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5381B3">
      <w:pPr>
        <w:rPr>
          <w:rFonts w:hint="default" w:ascii="Times New Roman" w:hAnsi="Times New Roman" w:cs="Times New Roman"/>
          <w:highlight w:val="none"/>
        </w:rPr>
      </w:pPr>
    </w:p>
    <w:p w14:paraId="082F0E5E">
      <w:pPr>
        <w:rPr>
          <w:rFonts w:hint="default" w:ascii="Times New Roman" w:hAnsi="Times New Roman" w:cs="Times New Roman"/>
          <w:highlight w:val="none"/>
        </w:rPr>
      </w:pPr>
    </w:p>
    <w:p w14:paraId="1F716A2E">
      <w:pPr>
        <w:rPr>
          <w:rFonts w:hint="default" w:ascii="Times New Roman" w:hAnsi="Times New Roman" w:cs="Times New Roman"/>
          <w:highlight w:val="none"/>
        </w:rPr>
      </w:pPr>
    </w:p>
    <w:p w14:paraId="0CD8D5B4">
      <w:pPr>
        <w:rPr>
          <w:rFonts w:hint="default" w:ascii="Times New Roman" w:hAnsi="Times New Roman" w:cs="Times New Roman"/>
          <w:highlight w:val="none"/>
        </w:rPr>
      </w:pPr>
    </w:p>
    <w:p w14:paraId="0115D143">
      <w:pPr>
        <w:rPr>
          <w:rFonts w:hint="default" w:ascii="Times New Roman" w:hAnsi="Times New Roman" w:cs="Times New Roman"/>
          <w:highlight w:val="none"/>
        </w:rPr>
      </w:pPr>
    </w:p>
    <w:p w14:paraId="56881DC8">
      <w:pPr>
        <w:rPr>
          <w:rFonts w:hint="default" w:ascii="Times New Roman" w:hAnsi="Times New Roman" w:cs="Times New Roman"/>
          <w:highlight w:val="none"/>
        </w:rPr>
      </w:pPr>
    </w:p>
    <w:p w14:paraId="131F2D0A">
      <w:pPr>
        <w:ind w:left="0" w:leftChars="0" w:firstLine="0" w:firstLineChars="0"/>
        <w:jc w:val="center"/>
        <w:outlineLvl w:val="0"/>
        <w:rPr>
          <w:rFonts w:hint="default" w:ascii="Times New Roman" w:hAnsi="Times New Roman" w:cs="Times New Roman"/>
          <w:sz w:val="44"/>
          <w:szCs w:val="44"/>
          <w:highlight w:val="none"/>
          <w:lang w:val="en-US" w:eastAsia="zh-CN"/>
        </w:rPr>
      </w:pPr>
      <w:bookmarkStart w:id="0" w:name="_Toc15967"/>
      <w:bookmarkStart w:id="1" w:name="_Toc18005"/>
      <w:r>
        <w:rPr>
          <w:rFonts w:hint="default" w:ascii="Times New Roman" w:hAnsi="Times New Roman" w:cs="Times New Roman"/>
          <w:sz w:val="44"/>
          <w:szCs w:val="44"/>
          <w:highlight w:val="none"/>
          <w:lang w:val="en-US" w:eastAsia="zh-CN"/>
        </w:rPr>
        <w:t>甘孜州乡城县冷龙沟流域综合规划</w:t>
      </w:r>
      <w:bookmarkEnd w:id="0"/>
      <w:bookmarkEnd w:id="1"/>
    </w:p>
    <w:p w14:paraId="3A031BC5">
      <w:pPr>
        <w:jc w:val="center"/>
        <w:rPr>
          <w:rFonts w:hint="default" w:ascii="Times New Roman" w:hAnsi="Times New Roman" w:cs="Times New Roman"/>
          <w:highlight w:val="none"/>
          <w:lang w:val="en-US" w:eastAsia="zh-CN"/>
        </w:rPr>
      </w:pPr>
    </w:p>
    <w:p w14:paraId="621AE18F">
      <w:pPr>
        <w:ind w:left="0" w:leftChars="0" w:firstLine="0" w:firstLineChars="0"/>
        <w:jc w:val="center"/>
        <w:rPr>
          <w:rFonts w:hint="default" w:ascii="Times New Roman" w:hAnsi="Times New Roman" w:cs="Times New Roman"/>
          <w:sz w:val="84"/>
          <w:szCs w:val="84"/>
          <w:highlight w:val="none"/>
          <w:lang w:val="en-US" w:eastAsia="zh-CN"/>
        </w:rPr>
      </w:pPr>
      <w:r>
        <w:rPr>
          <w:rFonts w:hint="default" w:ascii="Times New Roman" w:hAnsi="Times New Roman" w:cs="Times New Roman"/>
          <w:b/>
          <w:bCs/>
          <w:sz w:val="84"/>
          <w:szCs w:val="84"/>
          <w:highlight w:val="none"/>
          <w:lang w:val="en-US" w:eastAsia="zh-CN"/>
        </w:rPr>
        <w:t>环境影响报告书</w:t>
      </w:r>
    </w:p>
    <w:p w14:paraId="1A1BA0C1">
      <w:pPr>
        <w:ind w:left="0" w:leftChars="0" w:firstLine="0" w:firstLineChars="0"/>
        <w:jc w:val="center"/>
        <w:rPr>
          <w:rFonts w:hint="default" w:ascii="Times New Roman" w:hAnsi="Times New Roman" w:cs="Times New Roman"/>
          <w:sz w:val="84"/>
          <w:szCs w:val="84"/>
          <w:highlight w:val="none"/>
          <w:lang w:val="en-US" w:eastAsia="zh-CN"/>
        </w:rPr>
      </w:pPr>
    </w:p>
    <w:p w14:paraId="0C64F6F0">
      <w:pPr>
        <w:bidi w:val="0"/>
        <w:rPr>
          <w:rFonts w:hint="default" w:ascii="Times New Roman" w:hAnsi="Times New Roman" w:cs="Times New Roman"/>
          <w:highlight w:val="none"/>
          <w:lang w:val="en-US" w:eastAsia="zh-CN"/>
        </w:rPr>
      </w:pPr>
    </w:p>
    <w:p w14:paraId="369AD2AE">
      <w:pPr>
        <w:bidi w:val="0"/>
        <w:rPr>
          <w:rFonts w:hint="default" w:ascii="Times New Roman" w:hAnsi="Times New Roman" w:cs="Times New Roman"/>
          <w:highlight w:val="none"/>
          <w:lang w:val="en-US" w:eastAsia="zh-CN"/>
        </w:rPr>
      </w:pPr>
    </w:p>
    <w:p w14:paraId="2859C771">
      <w:pPr>
        <w:bidi w:val="0"/>
        <w:rPr>
          <w:rFonts w:hint="default" w:ascii="Times New Roman" w:hAnsi="Times New Roman" w:cs="Times New Roman"/>
          <w:highlight w:val="none"/>
          <w:lang w:val="en-US" w:eastAsia="zh-CN"/>
        </w:rPr>
      </w:pPr>
    </w:p>
    <w:p w14:paraId="63A0E988">
      <w:pPr>
        <w:bidi w:val="0"/>
        <w:rPr>
          <w:rFonts w:hint="default" w:ascii="Times New Roman" w:hAnsi="Times New Roman" w:cs="Times New Roman"/>
          <w:highlight w:val="none"/>
          <w:lang w:val="en-US" w:eastAsia="zh-CN"/>
        </w:rPr>
      </w:pPr>
    </w:p>
    <w:p w14:paraId="3E1A0CD0">
      <w:pPr>
        <w:bidi w:val="0"/>
        <w:rPr>
          <w:rFonts w:hint="default" w:ascii="Times New Roman" w:hAnsi="Times New Roman" w:cs="Times New Roman"/>
          <w:highlight w:val="none"/>
          <w:lang w:val="en-US" w:eastAsia="zh-CN"/>
        </w:rPr>
      </w:pPr>
    </w:p>
    <w:p w14:paraId="79A84A56">
      <w:pPr>
        <w:bidi w:val="0"/>
        <w:rPr>
          <w:rFonts w:hint="default" w:ascii="Times New Roman" w:hAnsi="Times New Roman" w:cs="Times New Roman"/>
          <w:highlight w:val="none"/>
          <w:lang w:val="en-US" w:eastAsia="zh-CN"/>
        </w:rPr>
      </w:pPr>
    </w:p>
    <w:p w14:paraId="6F1B300F">
      <w:pPr>
        <w:bidi w:val="0"/>
        <w:rPr>
          <w:rFonts w:hint="default" w:ascii="Times New Roman" w:hAnsi="Times New Roman" w:cs="Times New Roman"/>
          <w:highlight w:val="none"/>
          <w:lang w:val="en-US" w:eastAsia="zh-CN"/>
        </w:rPr>
      </w:pPr>
    </w:p>
    <w:p w14:paraId="2A5FA2BC">
      <w:pPr>
        <w:bidi w:val="0"/>
        <w:rPr>
          <w:rFonts w:hint="default" w:ascii="Times New Roman" w:hAnsi="Times New Roman" w:cs="Times New Roman"/>
          <w:highlight w:val="none"/>
          <w:lang w:val="en-US" w:eastAsia="zh-CN"/>
        </w:rPr>
      </w:pPr>
    </w:p>
    <w:p w14:paraId="3F5F3E3E">
      <w:pPr>
        <w:bidi w:val="0"/>
        <w:rPr>
          <w:rFonts w:hint="default" w:ascii="Times New Roman" w:hAnsi="Times New Roman" w:cs="Times New Roman"/>
          <w:highlight w:val="none"/>
          <w:lang w:val="en-US" w:eastAsia="zh-CN"/>
        </w:rPr>
      </w:pPr>
    </w:p>
    <w:p w14:paraId="25DD10E2">
      <w:pPr>
        <w:bidi w:val="0"/>
        <w:rPr>
          <w:rFonts w:hint="default" w:ascii="Times New Roman" w:hAnsi="Times New Roman" w:cs="Times New Roman"/>
          <w:highlight w:val="none"/>
          <w:lang w:val="en-US" w:eastAsia="zh-CN"/>
        </w:rPr>
      </w:pPr>
    </w:p>
    <w:p w14:paraId="2B8A214A">
      <w:pPr>
        <w:bidi w:val="0"/>
        <w:rPr>
          <w:rFonts w:hint="default" w:ascii="Times New Roman" w:hAnsi="Times New Roman" w:cs="Times New Roman"/>
          <w:highlight w:val="none"/>
          <w:lang w:val="en-US" w:eastAsia="zh-CN"/>
        </w:rPr>
      </w:pPr>
    </w:p>
    <w:p w14:paraId="66A007BE">
      <w:pPr>
        <w:bidi w:val="0"/>
        <w:ind w:left="0" w:leftChars="0" w:firstLine="0" w:firstLineChars="0"/>
        <w:jc w:val="both"/>
        <w:rPr>
          <w:rFonts w:hint="default" w:ascii="Times New Roman" w:hAnsi="Times New Roman" w:cs="Times New Roman"/>
          <w:highlight w:val="none"/>
          <w:lang w:val="en-US" w:eastAsia="zh-CN"/>
        </w:rPr>
      </w:pPr>
    </w:p>
    <w:p w14:paraId="5FE928C5">
      <w:pPr>
        <w:bidi w:val="0"/>
        <w:ind w:left="0" w:lef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规划编制</w:t>
      </w:r>
      <w:r>
        <w:rPr>
          <w:rFonts w:hint="eastAsia" w:cs="Times New Roman"/>
          <w:highlight w:val="none"/>
          <w:lang w:val="en-US" w:eastAsia="zh-CN"/>
        </w:rPr>
        <w:t>单位</w:t>
      </w:r>
      <w:r>
        <w:rPr>
          <w:rFonts w:hint="default" w:ascii="Times New Roman" w:hAnsi="Times New Roman" w:cs="Times New Roman"/>
          <w:highlight w:val="none"/>
          <w:lang w:val="en-US" w:eastAsia="zh-CN"/>
        </w:rPr>
        <w:t>：中实建设工程咨询有限公司</w:t>
      </w:r>
    </w:p>
    <w:p w14:paraId="77A32D35">
      <w:pPr>
        <w:bidi w:val="0"/>
        <w:ind w:left="0" w:leftChars="0" w:firstLine="0" w:firstLineChars="0"/>
        <w:jc w:val="center"/>
        <w:rPr>
          <w:rFonts w:hint="eastAsia" w:cs="Times New Roman"/>
          <w:highlight w:val="none"/>
          <w:lang w:val="en-US" w:eastAsia="zh-CN"/>
        </w:rPr>
      </w:pPr>
      <w:r>
        <w:rPr>
          <w:rFonts w:hint="default" w:ascii="Times New Roman" w:hAnsi="Times New Roman" w:cs="Times New Roman"/>
          <w:highlight w:val="none"/>
          <w:lang w:val="en-US" w:eastAsia="zh-CN"/>
        </w:rPr>
        <w:t>环评编制单位：</w:t>
      </w:r>
      <w:r>
        <w:rPr>
          <w:rFonts w:hint="eastAsia" w:cs="Times New Roman"/>
          <w:highlight w:val="none"/>
          <w:lang w:val="en-US" w:eastAsia="zh-CN"/>
        </w:rPr>
        <w:t>四川天府景鸿生态环境有限公司</w:t>
      </w:r>
    </w:p>
    <w:p w14:paraId="22338D35">
      <w:pPr>
        <w:bidi w:val="0"/>
        <w:ind w:left="0" w:leftChars="0" w:firstLine="0" w:firstLineChars="0"/>
        <w:jc w:val="center"/>
        <w:rPr>
          <w:rFonts w:hint="default" w:cs="Times New Roman"/>
          <w:highlight w:val="none"/>
          <w:lang w:val="en-US" w:eastAsia="zh-CN"/>
        </w:rPr>
      </w:pPr>
      <w:r>
        <w:rPr>
          <w:rFonts w:hint="eastAsia" w:cs="Times New Roman"/>
          <w:highlight w:val="none"/>
          <w:lang w:val="en-US" w:eastAsia="zh-CN"/>
        </w:rPr>
        <w:t>编制时间：二〇二五年七月</w:t>
      </w:r>
    </w:p>
    <w:p w14:paraId="285D25FF">
      <w:pPr>
        <w:bidi w:val="0"/>
        <w:rPr>
          <w:rFonts w:hint="default" w:ascii="Times New Roman" w:hAnsi="Times New Roman" w:cs="Times New Roman"/>
          <w:highlight w:val="none"/>
          <w:lang w:val="en-US" w:eastAsia="zh-CN"/>
        </w:rPr>
        <w:sectPr>
          <w:headerReference r:id="rId5" w:type="default"/>
          <w:pgSz w:w="11906" w:h="16838"/>
          <w:pgMar w:top="1440" w:right="1800" w:bottom="1440" w:left="1800" w:header="851" w:footer="992" w:gutter="0"/>
          <w:pgNumType w:fmt="decimal"/>
          <w:cols w:space="425" w:num="1"/>
          <w:docGrid w:type="lines" w:linePitch="312" w:charSpace="0"/>
        </w:sectPr>
      </w:pPr>
    </w:p>
    <w:sdt>
      <w:sdtPr>
        <w:rPr>
          <w:rFonts w:ascii="宋体" w:hAnsi="宋体" w:eastAsia="宋体" w:cstheme="minorBidi"/>
          <w:kern w:val="2"/>
          <w:sz w:val="32"/>
          <w:szCs w:val="32"/>
          <w:highlight w:val="none"/>
          <w:lang w:val="en-US" w:eastAsia="zh-CN" w:bidi="ar-SA"/>
        </w:rPr>
        <w:id w:val="147467140"/>
        <w15:color w:val="DBDBDB"/>
        <w:docPartObj>
          <w:docPartGallery w:val="Table of Contents"/>
          <w:docPartUnique/>
        </w:docPartObj>
      </w:sdtPr>
      <w:sdtEndPr>
        <w:rPr>
          <w:rFonts w:hint="default" w:ascii="Times New Roman" w:hAnsi="Times New Roman" w:cs="Times New Roman" w:eastAsiaTheme="minorEastAsia"/>
          <w:b/>
          <w:kern w:val="2"/>
          <w:sz w:val="24"/>
          <w:szCs w:val="24"/>
          <w:highlight w:val="none"/>
          <w:lang w:val="en-US" w:eastAsia="zh-CN" w:bidi="ar-SA"/>
        </w:rPr>
      </w:sdtEndPr>
      <w:sdtContent>
        <w:p w14:paraId="445A67E2">
          <w:pPr>
            <w:bidi w:val="0"/>
            <w:ind w:left="0" w:leftChars="0" w:firstLine="0" w:firstLineChars="0"/>
            <w:jc w:val="center"/>
            <w:rPr>
              <w:rFonts w:hint="default" w:ascii="Times New Roman" w:hAnsi="Times New Roman" w:eastAsia="+中文正文" w:cs="Times New Roman"/>
              <w:kern w:val="2"/>
              <w:sz w:val="24"/>
              <w:szCs w:val="24"/>
              <w:highlight w:val="none"/>
              <w:lang w:val="en-US" w:eastAsia="zh-CN" w:bidi="ar-SA"/>
            </w:rPr>
          </w:pPr>
          <w:r>
            <w:rPr>
              <w:rFonts w:ascii="宋体" w:hAnsi="宋体" w:eastAsia="宋体"/>
              <w:sz w:val="32"/>
              <w:szCs w:val="32"/>
              <w:highlight w:val="none"/>
            </w:rPr>
            <w:t>目录</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TOC \o "1-2" \h \u </w:instrText>
          </w:r>
          <w:r>
            <w:rPr>
              <w:rFonts w:hint="default" w:ascii="Times New Roman" w:hAnsi="Times New Roman" w:cs="Times New Roman"/>
              <w:highlight w:val="none"/>
              <w:lang w:val="en-US" w:eastAsia="zh-CN"/>
            </w:rPr>
            <w:fldChar w:fldCharType="separate"/>
          </w:r>
        </w:p>
        <w:p w14:paraId="7EB2ED17">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_Toc1077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1. </w:t>
          </w:r>
          <w:r>
            <w:rPr>
              <w:rFonts w:hint="default"/>
              <w:highlight w:val="none"/>
              <w:lang w:val="en-US" w:eastAsia="zh-CN"/>
            </w:rPr>
            <w:t>总则</w:t>
          </w:r>
          <w:r>
            <w:rPr>
              <w:highlight w:val="none"/>
            </w:rPr>
            <w:tab/>
          </w:r>
          <w:r>
            <w:rPr>
              <w:highlight w:val="none"/>
            </w:rPr>
            <w:fldChar w:fldCharType="begin"/>
          </w:r>
          <w:r>
            <w:rPr>
              <w:highlight w:val="none"/>
            </w:rPr>
            <w:instrText xml:space="preserve"> PAGEREF _Toc1077 \h </w:instrText>
          </w:r>
          <w:r>
            <w:rPr>
              <w:highlight w:val="none"/>
            </w:rPr>
            <w:fldChar w:fldCharType="separate"/>
          </w:r>
          <w:r>
            <w:rPr>
              <w:highlight w:val="none"/>
            </w:rPr>
            <w:t>1</w:t>
          </w:r>
          <w:r>
            <w:rPr>
              <w:highlight w:val="none"/>
            </w:rPr>
            <w:fldChar w:fldCharType="end"/>
          </w:r>
          <w:r>
            <w:rPr>
              <w:rFonts w:hint="default" w:ascii="Times New Roman" w:hAnsi="Times New Roman" w:cs="Times New Roman"/>
              <w:highlight w:val="none"/>
              <w:lang w:val="en-US" w:eastAsia="zh-CN"/>
            </w:rPr>
            <w:fldChar w:fldCharType="end"/>
          </w:r>
        </w:p>
        <w:p w14:paraId="452F910B">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_Toc30334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1.1. </w:t>
          </w:r>
          <w:r>
            <w:rPr>
              <w:rFonts w:hint="default"/>
              <w:highlight w:val="none"/>
              <w:lang w:val="en-US" w:eastAsia="zh-CN"/>
            </w:rPr>
            <w:t>规划背景及任务来源</w:t>
          </w:r>
          <w:r>
            <w:rPr>
              <w:highlight w:val="none"/>
            </w:rPr>
            <w:tab/>
          </w:r>
          <w:r>
            <w:rPr>
              <w:highlight w:val="none"/>
            </w:rPr>
            <w:fldChar w:fldCharType="begin"/>
          </w:r>
          <w:r>
            <w:rPr>
              <w:highlight w:val="none"/>
            </w:rPr>
            <w:instrText xml:space="preserve"> PAGEREF _Toc30334 \h </w:instrText>
          </w:r>
          <w:r>
            <w:rPr>
              <w:highlight w:val="none"/>
            </w:rPr>
            <w:fldChar w:fldCharType="separate"/>
          </w:r>
          <w:r>
            <w:rPr>
              <w:highlight w:val="none"/>
            </w:rPr>
            <w:t>1</w:t>
          </w:r>
          <w:r>
            <w:rPr>
              <w:highlight w:val="none"/>
            </w:rPr>
            <w:fldChar w:fldCharType="end"/>
          </w:r>
          <w:r>
            <w:rPr>
              <w:rFonts w:hint="default" w:ascii="Times New Roman" w:hAnsi="Times New Roman" w:cs="Times New Roman"/>
              <w:highlight w:val="none"/>
              <w:lang w:val="en-US" w:eastAsia="zh-CN"/>
            </w:rPr>
            <w:fldChar w:fldCharType="end"/>
          </w:r>
        </w:p>
        <w:p w14:paraId="7B6A34A7">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_Toc8021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rPr>
            <w:t xml:space="preserve">1.2. </w:t>
          </w:r>
          <w:r>
            <w:rPr>
              <w:rFonts w:hint="default"/>
              <w:highlight w:val="none"/>
            </w:rPr>
            <w:t>评价依据</w:t>
          </w:r>
          <w:r>
            <w:rPr>
              <w:highlight w:val="none"/>
            </w:rPr>
            <w:tab/>
          </w:r>
          <w:r>
            <w:rPr>
              <w:highlight w:val="none"/>
            </w:rPr>
            <w:fldChar w:fldCharType="begin"/>
          </w:r>
          <w:r>
            <w:rPr>
              <w:highlight w:val="none"/>
            </w:rPr>
            <w:instrText xml:space="preserve"> PAGEREF _Toc8021 \h </w:instrText>
          </w:r>
          <w:r>
            <w:rPr>
              <w:highlight w:val="none"/>
            </w:rPr>
            <w:fldChar w:fldCharType="separate"/>
          </w:r>
          <w:r>
            <w:rPr>
              <w:highlight w:val="none"/>
            </w:rPr>
            <w:t>2</w:t>
          </w:r>
          <w:r>
            <w:rPr>
              <w:highlight w:val="none"/>
            </w:rPr>
            <w:fldChar w:fldCharType="end"/>
          </w:r>
          <w:r>
            <w:rPr>
              <w:rFonts w:hint="default" w:ascii="Times New Roman" w:hAnsi="Times New Roman" w:cs="Times New Roman"/>
              <w:highlight w:val="none"/>
              <w:lang w:val="en-US" w:eastAsia="zh-CN"/>
            </w:rPr>
            <w:fldChar w:fldCharType="end"/>
          </w:r>
        </w:p>
        <w:p w14:paraId="474040FA">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_Toc23404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1.3. </w:t>
          </w:r>
          <w:r>
            <w:rPr>
              <w:rFonts w:hint="default"/>
              <w:highlight w:val="none"/>
              <w:lang w:val="en-US" w:eastAsia="zh-CN"/>
            </w:rPr>
            <w:t>评价目的</w:t>
          </w:r>
          <w:r>
            <w:rPr>
              <w:highlight w:val="none"/>
            </w:rPr>
            <w:tab/>
          </w:r>
          <w:r>
            <w:rPr>
              <w:highlight w:val="none"/>
            </w:rPr>
            <w:fldChar w:fldCharType="begin"/>
          </w:r>
          <w:r>
            <w:rPr>
              <w:highlight w:val="none"/>
            </w:rPr>
            <w:instrText xml:space="preserve"> PAGEREF _Toc23404 \h </w:instrText>
          </w:r>
          <w:r>
            <w:rPr>
              <w:highlight w:val="none"/>
            </w:rPr>
            <w:fldChar w:fldCharType="separate"/>
          </w:r>
          <w:r>
            <w:rPr>
              <w:highlight w:val="none"/>
            </w:rPr>
            <w:t>6</w:t>
          </w:r>
          <w:r>
            <w:rPr>
              <w:highlight w:val="none"/>
            </w:rPr>
            <w:fldChar w:fldCharType="end"/>
          </w:r>
          <w:r>
            <w:rPr>
              <w:rFonts w:hint="default" w:ascii="Times New Roman" w:hAnsi="Times New Roman" w:cs="Times New Roman"/>
              <w:highlight w:val="none"/>
              <w:lang w:val="en-US" w:eastAsia="zh-CN"/>
            </w:rPr>
            <w:fldChar w:fldCharType="end"/>
          </w:r>
        </w:p>
        <w:p w14:paraId="1ADF65CC">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_Toc8773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1.4. </w:t>
          </w:r>
          <w:r>
            <w:rPr>
              <w:rFonts w:hint="default"/>
              <w:highlight w:val="none"/>
              <w:lang w:val="en-US" w:eastAsia="zh-CN"/>
            </w:rPr>
            <w:t>评价原则</w:t>
          </w:r>
          <w:r>
            <w:rPr>
              <w:highlight w:val="none"/>
            </w:rPr>
            <w:tab/>
          </w:r>
          <w:r>
            <w:rPr>
              <w:highlight w:val="none"/>
            </w:rPr>
            <w:fldChar w:fldCharType="begin"/>
          </w:r>
          <w:r>
            <w:rPr>
              <w:highlight w:val="none"/>
            </w:rPr>
            <w:instrText xml:space="preserve"> PAGEREF _Toc8773 \h </w:instrText>
          </w:r>
          <w:r>
            <w:rPr>
              <w:highlight w:val="none"/>
            </w:rPr>
            <w:fldChar w:fldCharType="separate"/>
          </w:r>
          <w:r>
            <w:rPr>
              <w:highlight w:val="none"/>
            </w:rPr>
            <w:t>7</w:t>
          </w:r>
          <w:r>
            <w:rPr>
              <w:highlight w:val="none"/>
            </w:rPr>
            <w:fldChar w:fldCharType="end"/>
          </w:r>
          <w:r>
            <w:rPr>
              <w:rFonts w:hint="default" w:ascii="Times New Roman" w:hAnsi="Times New Roman" w:cs="Times New Roman"/>
              <w:highlight w:val="none"/>
              <w:lang w:val="en-US" w:eastAsia="zh-CN"/>
            </w:rPr>
            <w:fldChar w:fldCharType="end"/>
          </w:r>
        </w:p>
        <w:p w14:paraId="49FE7B5E">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_Toc16268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1.5. </w:t>
          </w:r>
          <w:r>
            <w:rPr>
              <w:rFonts w:hint="default"/>
              <w:highlight w:val="none"/>
              <w:lang w:val="en-US" w:eastAsia="zh-CN"/>
            </w:rPr>
            <w:t>评价范围及时段</w:t>
          </w:r>
          <w:r>
            <w:rPr>
              <w:highlight w:val="none"/>
            </w:rPr>
            <w:tab/>
          </w:r>
          <w:r>
            <w:rPr>
              <w:highlight w:val="none"/>
            </w:rPr>
            <w:fldChar w:fldCharType="begin"/>
          </w:r>
          <w:r>
            <w:rPr>
              <w:highlight w:val="none"/>
            </w:rPr>
            <w:instrText xml:space="preserve"> PAGEREF _Toc16268 \h </w:instrText>
          </w:r>
          <w:r>
            <w:rPr>
              <w:highlight w:val="none"/>
            </w:rPr>
            <w:fldChar w:fldCharType="separate"/>
          </w:r>
          <w:r>
            <w:rPr>
              <w:highlight w:val="none"/>
            </w:rPr>
            <w:t>8</w:t>
          </w:r>
          <w:r>
            <w:rPr>
              <w:highlight w:val="none"/>
            </w:rPr>
            <w:fldChar w:fldCharType="end"/>
          </w:r>
          <w:r>
            <w:rPr>
              <w:rFonts w:hint="default" w:ascii="Times New Roman" w:hAnsi="Times New Roman" w:cs="Times New Roman"/>
              <w:highlight w:val="none"/>
              <w:lang w:val="en-US" w:eastAsia="zh-CN"/>
            </w:rPr>
            <w:fldChar w:fldCharType="end"/>
          </w:r>
        </w:p>
        <w:p w14:paraId="3638E329">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_Toc10414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1.6. </w:t>
          </w:r>
          <w:r>
            <w:rPr>
              <w:rFonts w:hint="default"/>
              <w:highlight w:val="none"/>
              <w:lang w:val="en-US" w:eastAsia="zh-CN"/>
            </w:rPr>
            <w:t>环境保护目标</w:t>
          </w:r>
          <w:r>
            <w:rPr>
              <w:highlight w:val="none"/>
            </w:rPr>
            <w:tab/>
          </w:r>
          <w:r>
            <w:rPr>
              <w:highlight w:val="none"/>
            </w:rPr>
            <w:fldChar w:fldCharType="begin"/>
          </w:r>
          <w:r>
            <w:rPr>
              <w:highlight w:val="none"/>
            </w:rPr>
            <w:instrText xml:space="preserve"> PAGEREF _Toc10414 \h </w:instrText>
          </w:r>
          <w:r>
            <w:rPr>
              <w:highlight w:val="none"/>
            </w:rPr>
            <w:fldChar w:fldCharType="separate"/>
          </w:r>
          <w:r>
            <w:rPr>
              <w:highlight w:val="none"/>
            </w:rPr>
            <w:t>9</w:t>
          </w:r>
          <w:r>
            <w:rPr>
              <w:highlight w:val="none"/>
            </w:rPr>
            <w:fldChar w:fldCharType="end"/>
          </w:r>
          <w:r>
            <w:rPr>
              <w:rFonts w:hint="default" w:ascii="Times New Roman" w:hAnsi="Times New Roman" w:cs="Times New Roman"/>
              <w:highlight w:val="none"/>
              <w:lang w:val="en-US" w:eastAsia="zh-CN"/>
            </w:rPr>
            <w:fldChar w:fldCharType="end"/>
          </w:r>
        </w:p>
        <w:p w14:paraId="2FB10792">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_Toc10002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1.7. </w:t>
          </w:r>
          <w:r>
            <w:rPr>
              <w:rFonts w:hint="default"/>
              <w:highlight w:val="none"/>
              <w:lang w:val="en-US" w:eastAsia="zh-CN"/>
            </w:rPr>
            <w:t>评价标准</w:t>
          </w:r>
          <w:r>
            <w:rPr>
              <w:highlight w:val="none"/>
            </w:rPr>
            <w:tab/>
          </w:r>
          <w:r>
            <w:rPr>
              <w:highlight w:val="none"/>
            </w:rPr>
            <w:fldChar w:fldCharType="begin"/>
          </w:r>
          <w:r>
            <w:rPr>
              <w:highlight w:val="none"/>
            </w:rPr>
            <w:instrText xml:space="preserve"> PAGEREF _Toc10002 \h </w:instrText>
          </w:r>
          <w:r>
            <w:rPr>
              <w:highlight w:val="none"/>
            </w:rPr>
            <w:fldChar w:fldCharType="separate"/>
          </w:r>
          <w:r>
            <w:rPr>
              <w:highlight w:val="none"/>
            </w:rPr>
            <w:t>10</w:t>
          </w:r>
          <w:r>
            <w:rPr>
              <w:highlight w:val="none"/>
            </w:rPr>
            <w:fldChar w:fldCharType="end"/>
          </w:r>
          <w:r>
            <w:rPr>
              <w:rFonts w:hint="default" w:ascii="Times New Roman" w:hAnsi="Times New Roman" w:cs="Times New Roman"/>
              <w:highlight w:val="none"/>
              <w:lang w:val="en-US" w:eastAsia="zh-CN"/>
            </w:rPr>
            <w:fldChar w:fldCharType="end"/>
          </w:r>
        </w:p>
        <w:p w14:paraId="5FEB1EEA">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_Toc18554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1.8. </w:t>
          </w:r>
          <w:r>
            <w:rPr>
              <w:rFonts w:hint="default"/>
              <w:highlight w:val="none"/>
              <w:lang w:val="en-US" w:eastAsia="zh-CN"/>
            </w:rPr>
            <w:t>评价内容及评价重点</w:t>
          </w:r>
          <w:r>
            <w:rPr>
              <w:highlight w:val="none"/>
            </w:rPr>
            <w:tab/>
          </w:r>
          <w:r>
            <w:rPr>
              <w:highlight w:val="none"/>
            </w:rPr>
            <w:fldChar w:fldCharType="begin"/>
          </w:r>
          <w:r>
            <w:rPr>
              <w:highlight w:val="none"/>
            </w:rPr>
            <w:instrText xml:space="preserve"> PAGEREF _Toc18554 \h </w:instrText>
          </w:r>
          <w:r>
            <w:rPr>
              <w:highlight w:val="none"/>
            </w:rPr>
            <w:fldChar w:fldCharType="separate"/>
          </w:r>
          <w:r>
            <w:rPr>
              <w:highlight w:val="none"/>
            </w:rPr>
            <w:t>12</w:t>
          </w:r>
          <w:r>
            <w:rPr>
              <w:highlight w:val="none"/>
            </w:rPr>
            <w:fldChar w:fldCharType="end"/>
          </w:r>
          <w:r>
            <w:rPr>
              <w:rFonts w:hint="default" w:ascii="Times New Roman" w:hAnsi="Times New Roman" w:cs="Times New Roman"/>
              <w:highlight w:val="none"/>
              <w:lang w:val="en-US" w:eastAsia="zh-CN"/>
            </w:rPr>
            <w:fldChar w:fldCharType="end"/>
          </w:r>
        </w:p>
        <w:p w14:paraId="362B4767">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_Toc28857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1.9. </w:t>
          </w:r>
          <w:r>
            <w:rPr>
              <w:rFonts w:hint="default"/>
              <w:highlight w:val="none"/>
              <w:lang w:val="en-US" w:eastAsia="zh-CN"/>
            </w:rPr>
            <w:t>相关区划</w:t>
          </w:r>
          <w:r>
            <w:rPr>
              <w:highlight w:val="none"/>
            </w:rPr>
            <w:tab/>
          </w:r>
          <w:r>
            <w:rPr>
              <w:highlight w:val="none"/>
            </w:rPr>
            <w:fldChar w:fldCharType="begin"/>
          </w:r>
          <w:r>
            <w:rPr>
              <w:highlight w:val="none"/>
            </w:rPr>
            <w:instrText xml:space="preserve"> PAGEREF _Toc28857 \h </w:instrText>
          </w:r>
          <w:r>
            <w:rPr>
              <w:highlight w:val="none"/>
            </w:rPr>
            <w:fldChar w:fldCharType="separate"/>
          </w:r>
          <w:r>
            <w:rPr>
              <w:highlight w:val="none"/>
            </w:rPr>
            <w:t>13</w:t>
          </w:r>
          <w:r>
            <w:rPr>
              <w:highlight w:val="none"/>
            </w:rPr>
            <w:fldChar w:fldCharType="end"/>
          </w:r>
          <w:r>
            <w:rPr>
              <w:rFonts w:hint="default" w:ascii="Times New Roman" w:hAnsi="Times New Roman" w:cs="Times New Roman"/>
              <w:highlight w:val="none"/>
              <w:lang w:val="en-US" w:eastAsia="zh-CN"/>
            </w:rPr>
            <w:fldChar w:fldCharType="end"/>
          </w:r>
        </w:p>
        <w:p w14:paraId="501FDD3B">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_Toc27653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1.10. </w:t>
          </w:r>
          <w:r>
            <w:rPr>
              <w:rFonts w:hint="default"/>
              <w:highlight w:val="none"/>
              <w:lang w:val="en-US" w:eastAsia="zh-CN"/>
            </w:rPr>
            <w:t>评价方法与工作程序</w:t>
          </w:r>
          <w:r>
            <w:rPr>
              <w:highlight w:val="none"/>
            </w:rPr>
            <w:tab/>
          </w:r>
          <w:r>
            <w:rPr>
              <w:highlight w:val="none"/>
            </w:rPr>
            <w:fldChar w:fldCharType="begin"/>
          </w:r>
          <w:r>
            <w:rPr>
              <w:highlight w:val="none"/>
            </w:rPr>
            <w:instrText xml:space="preserve"> PAGEREF _Toc27653 \h </w:instrText>
          </w:r>
          <w:r>
            <w:rPr>
              <w:highlight w:val="none"/>
            </w:rPr>
            <w:fldChar w:fldCharType="separate"/>
          </w:r>
          <w:r>
            <w:rPr>
              <w:highlight w:val="none"/>
            </w:rPr>
            <w:t>17</w:t>
          </w:r>
          <w:r>
            <w:rPr>
              <w:highlight w:val="none"/>
            </w:rPr>
            <w:fldChar w:fldCharType="end"/>
          </w:r>
          <w:r>
            <w:rPr>
              <w:rFonts w:hint="default" w:ascii="Times New Roman" w:hAnsi="Times New Roman" w:cs="Times New Roman"/>
              <w:highlight w:val="none"/>
              <w:lang w:val="en-US" w:eastAsia="zh-CN"/>
            </w:rPr>
            <w:fldChar w:fldCharType="end"/>
          </w:r>
        </w:p>
        <w:p w14:paraId="0095F06B">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_Toc4535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2. </w:t>
          </w:r>
          <w:r>
            <w:rPr>
              <w:rFonts w:hint="default"/>
              <w:highlight w:val="none"/>
              <w:lang w:val="en-US" w:eastAsia="zh-CN"/>
            </w:rPr>
            <w:t>规划分析</w:t>
          </w:r>
          <w:r>
            <w:rPr>
              <w:highlight w:val="none"/>
            </w:rPr>
            <w:tab/>
          </w:r>
          <w:r>
            <w:rPr>
              <w:highlight w:val="none"/>
            </w:rPr>
            <w:fldChar w:fldCharType="begin"/>
          </w:r>
          <w:r>
            <w:rPr>
              <w:highlight w:val="none"/>
            </w:rPr>
            <w:instrText xml:space="preserve"> PAGEREF _Toc4535 \h </w:instrText>
          </w:r>
          <w:r>
            <w:rPr>
              <w:highlight w:val="none"/>
            </w:rPr>
            <w:fldChar w:fldCharType="separate"/>
          </w:r>
          <w:r>
            <w:rPr>
              <w:highlight w:val="none"/>
            </w:rPr>
            <w:t>19</w:t>
          </w:r>
          <w:r>
            <w:rPr>
              <w:highlight w:val="none"/>
            </w:rPr>
            <w:fldChar w:fldCharType="end"/>
          </w:r>
          <w:r>
            <w:rPr>
              <w:rFonts w:hint="default" w:ascii="Times New Roman" w:hAnsi="Times New Roman" w:cs="Times New Roman"/>
              <w:highlight w:val="none"/>
              <w:lang w:val="en-US" w:eastAsia="zh-CN"/>
            </w:rPr>
            <w:fldChar w:fldCharType="end"/>
          </w:r>
        </w:p>
        <w:p w14:paraId="3C42399F">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_Toc16083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2.1. </w:t>
          </w:r>
          <w:r>
            <w:rPr>
              <w:rFonts w:hint="default"/>
              <w:highlight w:val="none"/>
              <w:lang w:val="en-US" w:eastAsia="zh-CN"/>
            </w:rPr>
            <w:t>规划概述</w:t>
          </w:r>
          <w:r>
            <w:rPr>
              <w:highlight w:val="none"/>
            </w:rPr>
            <w:tab/>
          </w:r>
          <w:r>
            <w:rPr>
              <w:highlight w:val="none"/>
            </w:rPr>
            <w:fldChar w:fldCharType="begin"/>
          </w:r>
          <w:r>
            <w:rPr>
              <w:highlight w:val="none"/>
            </w:rPr>
            <w:instrText xml:space="preserve"> PAGEREF _Toc16083 \h </w:instrText>
          </w:r>
          <w:r>
            <w:rPr>
              <w:highlight w:val="none"/>
            </w:rPr>
            <w:fldChar w:fldCharType="separate"/>
          </w:r>
          <w:r>
            <w:rPr>
              <w:highlight w:val="none"/>
            </w:rPr>
            <w:t>19</w:t>
          </w:r>
          <w:r>
            <w:rPr>
              <w:highlight w:val="none"/>
            </w:rPr>
            <w:fldChar w:fldCharType="end"/>
          </w:r>
          <w:r>
            <w:rPr>
              <w:rFonts w:hint="default" w:ascii="Times New Roman" w:hAnsi="Times New Roman" w:cs="Times New Roman"/>
              <w:highlight w:val="none"/>
              <w:lang w:val="en-US" w:eastAsia="zh-CN"/>
            </w:rPr>
            <w:fldChar w:fldCharType="end"/>
          </w:r>
        </w:p>
        <w:p w14:paraId="4CB92DBC">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_Toc28182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2.2. </w:t>
          </w:r>
          <w:r>
            <w:rPr>
              <w:rFonts w:hint="default"/>
              <w:highlight w:val="none"/>
              <w:lang w:val="en-US" w:eastAsia="zh-CN"/>
            </w:rPr>
            <w:t>规划协调性分析</w:t>
          </w:r>
          <w:r>
            <w:rPr>
              <w:highlight w:val="none"/>
            </w:rPr>
            <w:tab/>
          </w:r>
          <w:r>
            <w:rPr>
              <w:highlight w:val="none"/>
            </w:rPr>
            <w:fldChar w:fldCharType="begin"/>
          </w:r>
          <w:r>
            <w:rPr>
              <w:highlight w:val="none"/>
            </w:rPr>
            <w:instrText xml:space="preserve"> PAGEREF _Toc28182 \h </w:instrText>
          </w:r>
          <w:r>
            <w:rPr>
              <w:highlight w:val="none"/>
            </w:rPr>
            <w:fldChar w:fldCharType="separate"/>
          </w:r>
          <w:r>
            <w:rPr>
              <w:highlight w:val="none"/>
            </w:rPr>
            <w:t>30</w:t>
          </w:r>
          <w:r>
            <w:rPr>
              <w:highlight w:val="none"/>
            </w:rPr>
            <w:fldChar w:fldCharType="end"/>
          </w:r>
          <w:r>
            <w:rPr>
              <w:rFonts w:hint="default" w:ascii="Times New Roman" w:hAnsi="Times New Roman" w:cs="Times New Roman"/>
              <w:highlight w:val="none"/>
              <w:lang w:val="en-US" w:eastAsia="zh-CN"/>
            </w:rPr>
            <w:fldChar w:fldCharType="end"/>
          </w:r>
        </w:p>
        <w:p w14:paraId="2C390308">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_Toc18678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3. </w:t>
          </w:r>
          <w:r>
            <w:rPr>
              <w:rFonts w:hint="default"/>
              <w:highlight w:val="none"/>
              <w:lang w:val="en-US" w:eastAsia="zh-CN"/>
            </w:rPr>
            <w:t>现状调查与评价</w:t>
          </w:r>
          <w:r>
            <w:rPr>
              <w:highlight w:val="none"/>
            </w:rPr>
            <w:tab/>
          </w:r>
          <w:r>
            <w:rPr>
              <w:highlight w:val="none"/>
            </w:rPr>
            <w:fldChar w:fldCharType="begin"/>
          </w:r>
          <w:r>
            <w:rPr>
              <w:highlight w:val="none"/>
            </w:rPr>
            <w:instrText xml:space="preserve"> PAGEREF _Toc18678 \h </w:instrText>
          </w:r>
          <w:r>
            <w:rPr>
              <w:highlight w:val="none"/>
            </w:rPr>
            <w:fldChar w:fldCharType="separate"/>
          </w:r>
          <w:r>
            <w:rPr>
              <w:highlight w:val="none"/>
            </w:rPr>
            <w:t>53</w:t>
          </w:r>
          <w:r>
            <w:rPr>
              <w:highlight w:val="none"/>
            </w:rPr>
            <w:fldChar w:fldCharType="end"/>
          </w:r>
          <w:r>
            <w:rPr>
              <w:rFonts w:hint="default" w:ascii="Times New Roman" w:hAnsi="Times New Roman" w:cs="Times New Roman"/>
              <w:highlight w:val="none"/>
              <w:lang w:val="en-US" w:eastAsia="zh-CN"/>
            </w:rPr>
            <w:fldChar w:fldCharType="end"/>
          </w:r>
        </w:p>
        <w:p w14:paraId="5F5B986C">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_Toc6417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3.1. </w:t>
          </w:r>
          <w:r>
            <w:rPr>
              <w:rFonts w:hint="default"/>
              <w:highlight w:val="none"/>
              <w:lang w:val="en-US" w:eastAsia="zh-CN"/>
            </w:rPr>
            <w:t>自然环境概况</w:t>
          </w:r>
          <w:r>
            <w:rPr>
              <w:highlight w:val="none"/>
            </w:rPr>
            <w:tab/>
          </w:r>
          <w:r>
            <w:rPr>
              <w:highlight w:val="none"/>
            </w:rPr>
            <w:fldChar w:fldCharType="begin"/>
          </w:r>
          <w:r>
            <w:rPr>
              <w:highlight w:val="none"/>
            </w:rPr>
            <w:instrText xml:space="preserve"> PAGEREF _Toc6417 \h </w:instrText>
          </w:r>
          <w:r>
            <w:rPr>
              <w:highlight w:val="none"/>
            </w:rPr>
            <w:fldChar w:fldCharType="separate"/>
          </w:r>
          <w:r>
            <w:rPr>
              <w:highlight w:val="none"/>
            </w:rPr>
            <w:t>53</w:t>
          </w:r>
          <w:r>
            <w:rPr>
              <w:highlight w:val="none"/>
            </w:rPr>
            <w:fldChar w:fldCharType="end"/>
          </w:r>
          <w:r>
            <w:rPr>
              <w:rFonts w:hint="default" w:ascii="Times New Roman" w:hAnsi="Times New Roman" w:cs="Times New Roman"/>
              <w:highlight w:val="none"/>
              <w:lang w:val="en-US" w:eastAsia="zh-CN"/>
            </w:rPr>
            <w:fldChar w:fldCharType="end"/>
          </w:r>
        </w:p>
        <w:p w14:paraId="0E682BE0">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_Toc25899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3.2. </w:t>
          </w:r>
          <w:r>
            <w:rPr>
              <w:rFonts w:hint="eastAsia"/>
              <w:highlight w:val="none"/>
              <w:lang w:val="en-US" w:eastAsia="zh-CN"/>
            </w:rPr>
            <w:t>社会经济概况</w:t>
          </w:r>
          <w:r>
            <w:rPr>
              <w:highlight w:val="none"/>
            </w:rPr>
            <w:tab/>
          </w:r>
          <w:r>
            <w:rPr>
              <w:highlight w:val="none"/>
            </w:rPr>
            <w:fldChar w:fldCharType="begin"/>
          </w:r>
          <w:r>
            <w:rPr>
              <w:highlight w:val="none"/>
            </w:rPr>
            <w:instrText xml:space="preserve"> PAGEREF _Toc25899 \h </w:instrText>
          </w:r>
          <w:r>
            <w:rPr>
              <w:highlight w:val="none"/>
            </w:rPr>
            <w:fldChar w:fldCharType="separate"/>
          </w:r>
          <w:r>
            <w:rPr>
              <w:highlight w:val="none"/>
            </w:rPr>
            <w:t>59</w:t>
          </w:r>
          <w:r>
            <w:rPr>
              <w:highlight w:val="none"/>
            </w:rPr>
            <w:fldChar w:fldCharType="end"/>
          </w:r>
          <w:r>
            <w:rPr>
              <w:rFonts w:hint="default" w:ascii="Times New Roman" w:hAnsi="Times New Roman" w:cs="Times New Roman"/>
              <w:highlight w:val="none"/>
              <w:lang w:val="en-US" w:eastAsia="zh-CN"/>
            </w:rPr>
            <w:fldChar w:fldCharType="end"/>
          </w:r>
        </w:p>
        <w:p w14:paraId="1BD978FF">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_Toc29623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3.3. </w:t>
          </w:r>
          <w:r>
            <w:rPr>
              <w:rFonts w:hint="default"/>
              <w:highlight w:val="none"/>
              <w:lang w:val="en-US" w:eastAsia="zh-CN"/>
            </w:rPr>
            <w:t>环境现状与回顾性分析</w:t>
          </w:r>
          <w:r>
            <w:rPr>
              <w:highlight w:val="none"/>
            </w:rPr>
            <w:tab/>
          </w:r>
          <w:r>
            <w:rPr>
              <w:highlight w:val="none"/>
            </w:rPr>
            <w:fldChar w:fldCharType="begin"/>
          </w:r>
          <w:r>
            <w:rPr>
              <w:highlight w:val="none"/>
            </w:rPr>
            <w:instrText xml:space="preserve"> PAGEREF _Toc29623 \h </w:instrText>
          </w:r>
          <w:r>
            <w:rPr>
              <w:highlight w:val="none"/>
            </w:rPr>
            <w:fldChar w:fldCharType="separate"/>
          </w:r>
          <w:r>
            <w:rPr>
              <w:highlight w:val="none"/>
            </w:rPr>
            <w:t>59</w:t>
          </w:r>
          <w:r>
            <w:rPr>
              <w:highlight w:val="none"/>
            </w:rPr>
            <w:fldChar w:fldCharType="end"/>
          </w:r>
          <w:r>
            <w:rPr>
              <w:rFonts w:hint="default" w:ascii="Times New Roman" w:hAnsi="Times New Roman" w:cs="Times New Roman"/>
              <w:highlight w:val="none"/>
              <w:lang w:val="en-US" w:eastAsia="zh-CN"/>
            </w:rPr>
            <w:fldChar w:fldCharType="end"/>
          </w:r>
        </w:p>
        <w:p w14:paraId="3EF52D34">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_Toc10768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3.4. </w:t>
          </w:r>
          <w:r>
            <w:rPr>
              <w:rFonts w:hint="eastAsia"/>
              <w:highlight w:val="none"/>
              <w:lang w:val="en-US" w:eastAsia="zh-CN"/>
            </w:rPr>
            <w:t>面临的环境问题与解决方向</w:t>
          </w:r>
          <w:r>
            <w:rPr>
              <w:highlight w:val="none"/>
            </w:rPr>
            <w:tab/>
          </w:r>
          <w:r>
            <w:rPr>
              <w:highlight w:val="none"/>
            </w:rPr>
            <w:fldChar w:fldCharType="begin"/>
          </w:r>
          <w:r>
            <w:rPr>
              <w:highlight w:val="none"/>
            </w:rPr>
            <w:instrText xml:space="preserve"> PAGEREF _Toc10768 \h </w:instrText>
          </w:r>
          <w:r>
            <w:rPr>
              <w:highlight w:val="none"/>
            </w:rPr>
            <w:fldChar w:fldCharType="separate"/>
          </w:r>
          <w:r>
            <w:rPr>
              <w:highlight w:val="none"/>
            </w:rPr>
            <w:t>141</w:t>
          </w:r>
          <w:r>
            <w:rPr>
              <w:highlight w:val="none"/>
            </w:rPr>
            <w:fldChar w:fldCharType="end"/>
          </w:r>
          <w:r>
            <w:rPr>
              <w:rFonts w:hint="default" w:ascii="Times New Roman" w:hAnsi="Times New Roman" w:cs="Times New Roman"/>
              <w:highlight w:val="none"/>
              <w:lang w:val="en-US" w:eastAsia="zh-CN"/>
            </w:rPr>
            <w:fldChar w:fldCharType="end"/>
          </w:r>
        </w:p>
        <w:p w14:paraId="27FAA41D">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_Toc19449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3.5. </w:t>
          </w:r>
          <w:r>
            <w:rPr>
              <w:rFonts w:hint="default"/>
              <w:highlight w:val="none"/>
              <w:lang w:val="en-US" w:eastAsia="zh-CN"/>
            </w:rPr>
            <w:t>环境制约性因素分析</w:t>
          </w:r>
          <w:r>
            <w:rPr>
              <w:highlight w:val="none"/>
            </w:rPr>
            <w:tab/>
          </w:r>
          <w:r>
            <w:rPr>
              <w:highlight w:val="none"/>
            </w:rPr>
            <w:fldChar w:fldCharType="begin"/>
          </w:r>
          <w:r>
            <w:rPr>
              <w:highlight w:val="none"/>
            </w:rPr>
            <w:instrText xml:space="preserve"> PAGEREF _Toc19449 \h </w:instrText>
          </w:r>
          <w:r>
            <w:rPr>
              <w:highlight w:val="none"/>
            </w:rPr>
            <w:fldChar w:fldCharType="separate"/>
          </w:r>
          <w:r>
            <w:rPr>
              <w:highlight w:val="none"/>
            </w:rPr>
            <w:t>142</w:t>
          </w:r>
          <w:r>
            <w:rPr>
              <w:highlight w:val="none"/>
            </w:rPr>
            <w:fldChar w:fldCharType="end"/>
          </w:r>
          <w:r>
            <w:rPr>
              <w:rFonts w:hint="default" w:ascii="Times New Roman" w:hAnsi="Times New Roman" w:cs="Times New Roman"/>
              <w:highlight w:val="none"/>
              <w:lang w:val="en-US" w:eastAsia="zh-CN"/>
            </w:rPr>
            <w:fldChar w:fldCharType="end"/>
          </w:r>
        </w:p>
        <w:p w14:paraId="294F2164">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_Toc5773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4. </w:t>
          </w:r>
          <w:r>
            <w:rPr>
              <w:rFonts w:hint="default"/>
              <w:highlight w:val="none"/>
              <w:lang w:val="en-US" w:eastAsia="zh-CN"/>
            </w:rPr>
            <w:t>环境影响识别与评价指标体系</w:t>
          </w:r>
          <w:r>
            <w:rPr>
              <w:highlight w:val="none"/>
            </w:rPr>
            <w:tab/>
          </w:r>
          <w:r>
            <w:rPr>
              <w:highlight w:val="none"/>
            </w:rPr>
            <w:fldChar w:fldCharType="begin"/>
          </w:r>
          <w:r>
            <w:rPr>
              <w:highlight w:val="none"/>
            </w:rPr>
            <w:instrText xml:space="preserve"> PAGEREF _Toc5773 \h </w:instrText>
          </w:r>
          <w:r>
            <w:rPr>
              <w:highlight w:val="none"/>
            </w:rPr>
            <w:fldChar w:fldCharType="separate"/>
          </w:r>
          <w:r>
            <w:rPr>
              <w:highlight w:val="none"/>
            </w:rPr>
            <w:t>144</w:t>
          </w:r>
          <w:r>
            <w:rPr>
              <w:highlight w:val="none"/>
            </w:rPr>
            <w:fldChar w:fldCharType="end"/>
          </w:r>
          <w:r>
            <w:rPr>
              <w:rFonts w:hint="default" w:ascii="Times New Roman" w:hAnsi="Times New Roman" w:cs="Times New Roman"/>
              <w:highlight w:val="none"/>
              <w:lang w:val="en-US" w:eastAsia="zh-CN"/>
            </w:rPr>
            <w:fldChar w:fldCharType="end"/>
          </w:r>
        </w:p>
        <w:p w14:paraId="371D5916">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_Toc26712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4.1. </w:t>
          </w:r>
          <w:r>
            <w:rPr>
              <w:rFonts w:hint="default"/>
              <w:highlight w:val="none"/>
              <w:lang w:val="en-US" w:eastAsia="zh-CN"/>
            </w:rPr>
            <w:t>环境影响识别</w:t>
          </w:r>
          <w:r>
            <w:rPr>
              <w:highlight w:val="none"/>
            </w:rPr>
            <w:tab/>
          </w:r>
          <w:r>
            <w:rPr>
              <w:highlight w:val="none"/>
            </w:rPr>
            <w:fldChar w:fldCharType="begin"/>
          </w:r>
          <w:r>
            <w:rPr>
              <w:highlight w:val="none"/>
            </w:rPr>
            <w:instrText xml:space="preserve"> PAGEREF _Toc26712 \h </w:instrText>
          </w:r>
          <w:r>
            <w:rPr>
              <w:highlight w:val="none"/>
            </w:rPr>
            <w:fldChar w:fldCharType="separate"/>
          </w:r>
          <w:r>
            <w:rPr>
              <w:highlight w:val="none"/>
            </w:rPr>
            <w:t>144</w:t>
          </w:r>
          <w:r>
            <w:rPr>
              <w:highlight w:val="none"/>
            </w:rPr>
            <w:fldChar w:fldCharType="end"/>
          </w:r>
          <w:r>
            <w:rPr>
              <w:rFonts w:hint="default" w:ascii="Times New Roman" w:hAnsi="Times New Roman" w:cs="Times New Roman"/>
              <w:highlight w:val="none"/>
              <w:lang w:val="en-US" w:eastAsia="zh-CN"/>
            </w:rPr>
            <w:fldChar w:fldCharType="end"/>
          </w:r>
        </w:p>
        <w:p w14:paraId="62619832">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_Toc22293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4.2. </w:t>
          </w:r>
          <w:r>
            <w:rPr>
              <w:rFonts w:hint="default"/>
              <w:highlight w:val="none"/>
              <w:lang w:val="en-US" w:eastAsia="zh-CN"/>
            </w:rPr>
            <w:t>生态环境保护定位</w:t>
          </w:r>
          <w:r>
            <w:rPr>
              <w:highlight w:val="none"/>
            </w:rPr>
            <w:tab/>
          </w:r>
          <w:r>
            <w:rPr>
              <w:highlight w:val="none"/>
            </w:rPr>
            <w:fldChar w:fldCharType="begin"/>
          </w:r>
          <w:r>
            <w:rPr>
              <w:highlight w:val="none"/>
            </w:rPr>
            <w:instrText xml:space="preserve"> PAGEREF _Toc22293 \h </w:instrText>
          </w:r>
          <w:r>
            <w:rPr>
              <w:highlight w:val="none"/>
            </w:rPr>
            <w:fldChar w:fldCharType="separate"/>
          </w:r>
          <w:r>
            <w:rPr>
              <w:highlight w:val="none"/>
            </w:rPr>
            <w:t>147</w:t>
          </w:r>
          <w:r>
            <w:rPr>
              <w:highlight w:val="none"/>
            </w:rPr>
            <w:fldChar w:fldCharType="end"/>
          </w:r>
          <w:r>
            <w:rPr>
              <w:rFonts w:hint="default" w:ascii="Times New Roman" w:hAnsi="Times New Roman" w:cs="Times New Roman"/>
              <w:highlight w:val="none"/>
              <w:lang w:val="en-US" w:eastAsia="zh-CN"/>
            </w:rPr>
            <w:fldChar w:fldCharType="end"/>
          </w:r>
        </w:p>
        <w:p w14:paraId="796C4BD8">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_Toc13431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4.3. </w:t>
          </w:r>
          <w:r>
            <w:rPr>
              <w:rFonts w:hint="default"/>
              <w:highlight w:val="none"/>
              <w:lang w:val="en-US" w:eastAsia="zh-CN"/>
            </w:rPr>
            <w:t>评价指标体系</w:t>
          </w:r>
          <w:r>
            <w:rPr>
              <w:highlight w:val="none"/>
            </w:rPr>
            <w:tab/>
          </w:r>
          <w:r>
            <w:rPr>
              <w:highlight w:val="none"/>
            </w:rPr>
            <w:fldChar w:fldCharType="begin"/>
          </w:r>
          <w:r>
            <w:rPr>
              <w:highlight w:val="none"/>
            </w:rPr>
            <w:instrText xml:space="preserve"> PAGEREF _Toc13431 \h </w:instrText>
          </w:r>
          <w:r>
            <w:rPr>
              <w:highlight w:val="none"/>
            </w:rPr>
            <w:fldChar w:fldCharType="separate"/>
          </w:r>
          <w:r>
            <w:rPr>
              <w:highlight w:val="none"/>
            </w:rPr>
            <w:t>149</w:t>
          </w:r>
          <w:r>
            <w:rPr>
              <w:highlight w:val="none"/>
            </w:rPr>
            <w:fldChar w:fldCharType="end"/>
          </w:r>
          <w:r>
            <w:rPr>
              <w:rFonts w:hint="default" w:ascii="Times New Roman" w:hAnsi="Times New Roman" w:cs="Times New Roman"/>
              <w:highlight w:val="none"/>
              <w:lang w:val="en-US" w:eastAsia="zh-CN"/>
            </w:rPr>
            <w:fldChar w:fldCharType="end"/>
          </w:r>
        </w:p>
        <w:p w14:paraId="2C1353A7">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_Toc23987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5. </w:t>
          </w:r>
          <w:r>
            <w:rPr>
              <w:rFonts w:hint="default"/>
              <w:highlight w:val="none"/>
              <w:lang w:val="en-US" w:eastAsia="zh-CN"/>
            </w:rPr>
            <w:t>环境影响预测与评价</w:t>
          </w:r>
          <w:r>
            <w:rPr>
              <w:highlight w:val="none"/>
            </w:rPr>
            <w:tab/>
          </w:r>
          <w:r>
            <w:rPr>
              <w:highlight w:val="none"/>
            </w:rPr>
            <w:fldChar w:fldCharType="begin"/>
          </w:r>
          <w:r>
            <w:rPr>
              <w:highlight w:val="none"/>
            </w:rPr>
            <w:instrText xml:space="preserve"> PAGEREF _Toc23987 \h </w:instrText>
          </w:r>
          <w:r>
            <w:rPr>
              <w:highlight w:val="none"/>
            </w:rPr>
            <w:fldChar w:fldCharType="separate"/>
          </w:r>
          <w:r>
            <w:rPr>
              <w:highlight w:val="none"/>
            </w:rPr>
            <w:t>151</w:t>
          </w:r>
          <w:r>
            <w:rPr>
              <w:highlight w:val="none"/>
            </w:rPr>
            <w:fldChar w:fldCharType="end"/>
          </w:r>
          <w:r>
            <w:rPr>
              <w:rFonts w:hint="default" w:ascii="Times New Roman" w:hAnsi="Times New Roman" w:cs="Times New Roman"/>
              <w:highlight w:val="none"/>
              <w:lang w:val="en-US" w:eastAsia="zh-CN"/>
            </w:rPr>
            <w:fldChar w:fldCharType="end"/>
          </w:r>
        </w:p>
        <w:p w14:paraId="6AF3B573">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_Toc9032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5.1. </w:t>
          </w:r>
          <w:r>
            <w:rPr>
              <w:rFonts w:hint="eastAsia"/>
              <w:highlight w:val="none"/>
              <w:lang w:val="en-US" w:eastAsia="zh-CN"/>
            </w:rPr>
            <w:t>预测情景设置</w:t>
          </w:r>
          <w:r>
            <w:rPr>
              <w:highlight w:val="none"/>
            </w:rPr>
            <w:tab/>
          </w:r>
          <w:r>
            <w:rPr>
              <w:highlight w:val="none"/>
            </w:rPr>
            <w:fldChar w:fldCharType="begin"/>
          </w:r>
          <w:r>
            <w:rPr>
              <w:highlight w:val="none"/>
            </w:rPr>
            <w:instrText xml:space="preserve"> PAGEREF _Toc9032 \h </w:instrText>
          </w:r>
          <w:r>
            <w:rPr>
              <w:highlight w:val="none"/>
            </w:rPr>
            <w:fldChar w:fldCharType="separate"/>
          </w:r>
          <w:r>
            <w:rPr>
              <w:highlight w:val="none"/>
            </w:rPr>
            <w:t>151</w:t>
          </w:r>
          <w:r>
            <w:rPr>
              <w:highlight w:val="none"/>
            </w:rPr>
            <w:fldChar w:fldCharType="end"/>
          </w:r>
          <w:r>
            <w:rPr>
              <w:rFonts w:hint="default" w:ascii="Times New Roman" w:hAnsi="Times New Roman" w:cs="Times New Roman"/>
              <w:highlight w:val="none"/>
              <w:lang w:val="en-US" w:eastAsia="zh-CN"/>
            </w:rPr>
            <w:fldChar w:fldCharType="end"/>
          </w:r>
        </w:p>
        <w:p w14:paraId="2DF49089">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_Toc23173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5.2. </w:t>
          </w:r>
          <w:r>
            <w:rPr>
              <w:rFonts w:hint="default"/>
              <w:highlight w:val="none"/>
              <w:lang w:val="en-US" w:eastAsia="zh-CN"/>
            </w:rPr>
            <w:t>水文水资源影响预测与评价</w:t>
          </w:r>
          <w:r>
            <w:rPr>
              <w:highlight w:val="none"/>
            </w:rPr>
            <w:tab/>
          </w:r>
          <w:r>
            <w:rPr>
              <w:highlight w:val="none"/>
            </w:rPr>
            <w:fldChar w:fldCharType="begin"/>
          </w:r>
          <w:r>
            <w:rPr>
              <w:highlight w:val="none"/>
            </w:rPr>
            <w:instrText xml:space="preserve"> PAGEREF _Toc23173 \h </w:instrText>
          </w:r>
          <w:r>
            <w:rPr>
              <w:highlight w:val="none"/>
            </w:rPr>
            <w:fldChar w:fldCharType="separate"/>
          </w:r>
          <w:r>
            <w:rPr>
              <w:highlight w:val="none"/>
            </w:rPr>
            <w:t>151</w:t>
          </w:r>
          <w:r>
            <w:rPr>
              <w:highlight w:val="none"/>
            </w:rPr>
            <w:fldChar w:fldCharType="end"/>
          </w:r>
          <w:r>
            <w:rPr>
              <w:rFonts w:hint="default" w:ascii="Times New Roman" w:hAnsi="Times New Roman" w:cs="Times New Roman"/>
              <w:highlight w:val="none"/>
              <w:lang w:val="en-US" w:eastAsia="zh-CN"/>
            </w:rPr>
            <w:fldChar w:fldCharType="end"/>
          </w:r>
        </w:p>
        <w:p w14:paraId="0B43C343">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_Toc27397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5.3. </w:t>
          </w:r>
          <w:r>
            <w:rPr>
              <w:rFonts w:hint="default"/>
              <w:highlight w:val="none"/>
              <w:lang w:val="en-US" w:eastAsia="zh-CN"/>
            </w:rPr>
            <w:t>水环境影响预测与评价</w:t>
          </w:r>
          <w:r>
            <w:rPr>
              <w:highlight w:val="none"/>
            </w:rPr>
            <w:tab/>
          </w:r>
          <w:r>
            <w:rPr>
              <w:highlight w:val="none"/>
            </w:rPr>
            <w:fldChar w:fldCharType="begin"/>
          </w:r>
          <w:r>
            <w:rPr>
              <w:highlight w:val="none"/>
            </w:rPr>
            <w:instrText xml:space="preserve"> PAGEREF _Toc27397 \h </w:instrText>
          </w:r>
          <w:r>
            <w:rPr>
              <w:highlight w:val="none"/>
            </w:rPr>
            <w:fldChar w:fldCharType="separate"/>
          </w:r>
          <w:r>
            <w:rPr>
              <w:highlight w:val="none"/>
            </w:rPr>
            <w:t>153</w:t>
          </w:r>
          <w:r>
            <w:rPr>
              <w:highlight w:val="none"/>
            </w:rPr>
            <w:fldChar w:fldCharType="end"/>
          </w:r>
          <w:r>
            <w:rPr>
              <w:rFonts w:hint="default" w:ascii="Times New Roman" w:hAnsi="Times New Roman" w:cs="Times New Roman"/>
              <w:highlight w:val="none"/>
              <w:lang w:val="en-US" w:eastAsia="zh-CN"/>
            </w:rPr>
            <w:fldChar w:fldCharType="end"/>
          </w:r>
        </w:p>
        <w:p w14:paraId="201DA9D4">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_Toc17180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5.4. </w:t>
          </w:r>
          <w:r>
            <w:rPr>
              <w:rFonts w:hint="default"/>
              <w:highlight w:val="none"/>
              <w:lang w:val="en-US" w:eastAsia="zh-CN"/>
            </w:rPr>
            <w:t>生态影响预测与评价</w:t>
          </w:r>
          <w:r>
            <w:rPr>
              <w:highlight w:val="none"/>
            </w:rPr>
            <w:tab/>
          </w:r>
          <w:r>
            <w:rPr>
              <w:highlight w:val="none"/>
            </w:rPr>
            <w:fldChar w:fldCharType="begin"/>
          </w:r>
          <w:r>
            <w:rPr>
              <w:highlight w:val="none"/>
            </w:rPr>
            <w:instrText xml:space="preserve"> PAGEREF _Toc17180 \h </w:instrText>
          </w:r>
          <w:r>
            <w:rPr>
              <w:highlight w:val="none"/>
            </w:rPr>
            <w:fldChar w:fldCharType="separate"/>
          </w:r>
          <w:r>
            <w:rPr>
              <w:highlight w:val="none"/>
            </w:rPr>
            <w:t>155</w:t>
          </w:r>
          <w:r>
            <w:rPr>
              <w:highlight w:val="none"/>
            </w:rPr>
            <w:fldChar w:fldCharType="end"/>
          </w:r>
          <w:r>
            <w:rPr>
              <w:rFonts w:hint="default" w:ascii="Times New Roman" w:hAnsi="Times New Roman" w:cs="Times New Roman"/>
              <w:highlight w:val="none"/>
              <w:lang w:val="en-US" w:eastAsia="zh-CN"/>
            </w:rPr>
            <w:fldChar w:fldCharType="end"/>
          </w:r>
        </w:p>
        <w:p w14:paraId="26CA14DA">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_Toc13509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5.5. </w:t>
          </w:r>
          <w:r>
            <w:rPr>
              <w:rFonts w:hint="default"/>
              <w:highlight w:val="none"/>
              <w:lang w:val="en-US" w:eastAsia="zh-CN"/>
            </w:rPr>
            <w:t>生态风险评价</w:t>
          </w:r>
          <w:r>
            <w:rPr>
              <w:highlight w:val="none"/>
            </w:rPr>
            <w:tab/>
          </w:r>
          <w:r>
            <w:rPr>
              <w:highlight w:val="none"/>
            </w:rPr>
            <w:fldChar w:fldCharType="begin"/>
          </w:r>
          <w:r>
            <w:rPr>
              <w:highlight w:val="none"/>
            </w:rPr>
            <w:instrText xml:space="preserve"> PAGEREF _Toc13509 \h </w:instrText>
          </w:r>
          <w:r>
            <w:rPr>
              <w:highlight w:val="none"/>
            </w:rPr>
            <w:fldChar w:fldCharType="separate"/>
          </w:r>
          <w:r>
            <w:rPr>
              <w:highlight w:val="none"/>
            </w:rPr>
            <w:t>168</w:t>
          </w:r>
          <w:r>
            <w:rPr>
              <w:highlight w:val="none"/>
            </w:rPr>
            <w:fldChar w:fldCharType="end"/>
          </w:r>
          <w:r>
            <w:rPr>
              <w:rFonts w:hint="default" w:ascii="Times New Roman" w:hAnsi="Times New Roman" w:cs="Times New Roman"/>
              <w:highlight w:val="none"/>
              <w:lang w:val="en-US" w:eastAsia="zh-CN"/>
            </w:rPr>
            <w:fldChar w:fldCharType="end"/>
          </w:r>
        </w:p>
        <w:p w14:paraId="0185F0E8">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_Toc28141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5.6. </w:t>
          </w:r>
          <w:r>
            <w:rPr>
              <w:rFonts w:hint="default"/>
              <w:highlight w:val="none"/>
              <w:lang w:val="en-US" w:eastAsia="zh-CN"/>
            </w:rPr>
            <w:t>资源环境承载状况评估</w:t>
          </w:r>
          <w:r>
            <w:rPr>
              <w:highlight w:val="none"/>
            </w:rPr>
            <w:tab/>
          </w:r>
          <w:r>
            <w:rPr>
              <w:highlight w:val="none"/>
            </w:rPr>
            <w:fldChar w:fldCharType="begin"/>
          </w:r>
          <w:r>
            <w:rPr>
              <w:highlight w:val="none"/>
            </w:rPr>
            <w:instrText xml:space="preserve"> PAGEREF _Toc28141 \h </w:instrText>
          </w:r>
          <w:r>
            <w:rPr>
              <w:highlight w:val="none"/>
            </w:rPr>
            <w:fldChar w:fldCharType="separate"/>
          </w:r>
          <w:r>
            <w:rPr>
              <w:highlight w:val="none"/>
            </w:rPr>
            <w:t>169</w:t>
          </w:r>
          <w:r>
            <w:rPr>
              <w:highlight w:val="none"/>
            </w:rPr>
            <w:fldChar w:fldCharType="end"/>
          </w:r>
          <w:r>
            <w:rPr>
              <w:rFonts w:hint="default" w:ascii="Times New Roman" w:hAnsi="Times New Roman" w:cs="Times New Roman"/>
              <w:highlight w:val="none"/>
              <w:lang w:val="en-US" w:eastAsia="zh-CN"/>
            </w:rPr>
            <w:fldChar w:fldCharType="end"/>
          </w:r>
        </w:p>
        <w:p w14:paraId="0F2C554A">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_Toc25654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6. </w:t>
          </w:r>
          <w:r>
            <w:rPr>
              <w:rFonts w:hint="default"/>
              <w:highlight w:val="none"/>
              <w:lang w:val="en-US" w:eastAsia="zh-CN"/>
            </w:rPr>
            <w:t>规划方案环境合理性论证和优化调整建议</w:t>
          </w:r>
          <w:r>
            <w:rPr>
              <w:highlight w:val="none"/>
            </w:rPr>
            <w:tab/>
          </w:r>
          <w:r>
            <w:rPr>
              <w:highlight w:val="none"/>
            </w:rPr>
            <w:fldChar w:fldCharType="begin"/>
          </w:r>
          <w:r>
            <w:rPr>
              <w:highlight w:val="none"/>
            </w:rPr>
            <w:instrText xml:space="preserve"> PAGEREF _Toc25654 \h </w:instrText>
          </w:r>
          <w:r>
            <w:rPr>
              <w:highlight w:val="none"/>
            </w:rPr>
            <w:fldChar w:fldCharType="separate"/>
          </w:r>
          <w:r>
            <w:rPr>
              <w:highlight w:val="none"/>
            </w:rPr>
            <w:t>171</w:t>
          </w:r>
          <w:r>
            <w:rPr>
              <w:highlight w:val="none"/>
            </w:rPr>
            <w:fldChar w:fldCharType="end"/>
          </w:r>
          <w:r>
            <w:rPr>
              <w:rFonts w:hint="default" w:ascii="Times New Roman" w:hAnsi="Times New Roman" w:cs="Times New Roman"/>
              <w:highlight w:val="none"/>
              <w:lang w:val="en-US" w:eastAsia="zh-CN"/>
            </w:rPr>
            <w:fldChar w:fldCharType="end"/>
          </w:r>
        </w:p>
        <w:p w14:paraId="1BDB64CD">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_Toc30604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6.1. </w:t>
          </w:r>
          <w:r>
            <w:rPr>
              <w:rFonts w:hint="default"/>
              <w:highlight w:val="none"/>
              <w:lang w:val="en-US" w:eastAsia="zh-CN"/>
            </w:rPr>
            <w:t>规划方案环境合理性论证</w:t>
          </w:r>
          <w:r>
            <w:rPr>
              <w:highlight w:val="none"/>
            </w:rPr>
            <w:tab/>
          </w:r>
          <w:r>
            <w:rPr>
              <w:highlight w:val="none"/>
            </w:rPr>
            <w:fldChar w:fldCharType="begin"/>
          </w:r>
          <w:r>
            <w:rPr>
              <w:highlight w:val="none"/>
            </w:rPr>
            <w:instrText xml:space="preserve"> PAGEREF _Toc30604 \h </w:instrText>
          </w:r>
          <w:r>
            <w:rPr>
              <w:highlight w:val="none"/>
            </w:rPr>
            <w:fldChar w:fldCharType="separate"/>
          </w:r>
          <w:r>
            <w:rPr>
              <w:highlight w:val="none"/>
            </w:rPr>
            <w:t>171</w:t>
          </w:r>
          <w:r>
            <w:rPr>
              <w:highlight w:val="none"/>
            </w:rPr>
            <w:fldChar w:fldCharType="end"/>
          </w:r>
          <w:r>
            <w:rPr>
              <w:rFonts w:hint="default" w:ascii="Times New Roman" w:hAnsi="Times New Roman" w:cs="Times New Roman"/>
              <w:highlight w:val="none"/>
              <w:lang w:val="en-US" w:eastAsia="zh-CN"/>
            </w:rPr>
            <w:fldChar w:fldCharType="end"/>
          </w:r>
        </w:p>
        <w:p w14:paraId="68490E59">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_Toc2219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6.2. </w:t>
          </w:r>
          <w:r>
            <w:rPr>
              <w:rFonts w:hint="default"/>
              <w:highlight w:val="none"/>
              <w:lang w:val="en-US" w:eastAsia="zh-CN"/>
            </w:rPr>
            <w:t>规划优化调整建议</w:t>
          </w:r>
          <w:r>
            <w:rPr>
              <w:highlight w:val="none"/>
            </w:rPr>
            <w:tab/>
          </w:r>
          <w:r>
            <w:rPr>
              <w:highlight w:val="none"/>
            </w:rPr>
            <w:fldChar w:fldCharType="begin"/>
          </w:r>
          <w:r>
            <w:rPr>
              <w:highlight w:val="none"/>
            </w:rPr>
            <w:instrText xml:space="preserve"> PAGEREF _Toc2219 \h </w:instrText>
          </w:r>
          <w:r>
            <w:rPr>
              <w:highlight w:val="none"/>
            </w:rPr>
            <w:fldChar w:fldCharType="separate"/>
          </w:r>
          <w:r>
            <w:rPr>
              <w:highlight w:val="none"/>
            </w:rPr>
            <w:t>182</w:t>
          </w:r>
          <w:r>
            <w:rPr>
              <w:highlight w:val="none"/>
            </w:rPr>
            <w:fldChar w:fldCharType="end"/>
          </w:r>
          <w:r>
            <w:rPr>
              <w:rFonts w:hint="default" w:ascii="Times New Roman" w:hAnsi="Times New Roman" w:cs="Times New Roman"/>
              <w:highlight w:val="none"/>
              <w:lang w:val="en-US" w:eastAsia="zh-CN"/>
            </w:rPr>
            <w:fldChar w:fldCharType="end"/>
          </w:r>
        </w:p>
        <w:p w14:paraId="417B8376">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_Toc10971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7. </w:t>
          </w:r>
          <w:r>
            <w:rPr>
              <w:rFonts w:hint="default"/>
              <w:highlight w:val="none"/>
              <w:lang w:val="en-US" w:eastAsia="zh-CN"/>
            </w:rPr>
            <w:t>环境影响减缓对策与措施</w:t>
          </w:r>
          <w:r>
            <w:rPr>
              <w:highlight w:val="none"/>
            </w:rPr>
            <w:tab/>
          </w:r>
          <w:r>
            <w:rPr>
              <w:highlight w:val="none"/>
            </w:rPr>
            <w:fldChar w:fldCharType="begin"/>
          </w:r>
          <w:r>
            <w:rPr>
              <w:highlight w:val="none"/>
            </w:rPr>
            <w:instrText xml:space="preserve"> PAGEREF _Toc10971 \h </w:instrText>
          </w:r>
          <w:r>
            <w:rPr>
              <w:highlight w:val="none"/>
            </w:rPr>
            <w:fldChar w:fldCharType="separate"/>
          </w:r>
          <w:r>
            <w:rPr>
              <w:highlight w:val="none"/>
            </w:rPr>
            <w:t>184</w:t>
          </w:r>
          <w:r>
            <w:rPr>
              <w:highlight w:val="none"/>
            </w:rPr>
            <w:fldChar w:fldCharType="end"/>
          </w:r>
          <w:r>
            <w:rPr>
              <w:rFonts w:hint="default" w:ascii="Times New Roman" w:hAnsi="Times New Roman" w:cs="Times New Roman"/>
              <w:highlight w:val="none"/>
              <w:lang w:val="en-US" w:eastAsia="zh-CN"/>
            </w:rPr>
            <w:fldChar w:fldCharType="end"/>
          </w:r>
        </w:p>
        <w:p w14:paraId="7FB92B64">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_Toc24276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7.1. </w:t>
          </w:r>
          <w:r>
            <w:rPr>
              <w:rFonts w:hint="default"/>
              <w:highlight w:val="none"/>
              <w:lang w:val="en-US" w:eastAsia="zh-CN"/>
            </w:rPr>
            <w:t>流域生态环境管控</w:t>
          </w:r>
          <w:r>
            <w:rPr>
              <w:highlight w:val="none"/>
            </w:rPr>
            <w:tab/>
          </w:r>
          <w:r>
            <w:rPr>
              <w:highlight w:val="none"/>
            </w:rPr>
            <w:fldChar w:fldCharType="begin"/>
          </w:r>
          <w:r>
            <w:rPr>
              <w:highlight w:val="none"/>
            </w:rPr>
            <w:instrText xml:space="preserve"> PAGEREF _Toc24276 \h </w:instrText>
          </w:r>
          <w:r>
            <w:rPr>
              <w:highlight w:val="none"/>
            </w:rPr>
            <w:fldChar w:fldCharType="separate"/>
          </w:r>
          <w:r>
            <w:rPr>
              <w:highlight w:val="none"/>
            </w:rPr>
            <w:t>184</w:t>
          </w:r>
          <w:r>
            <w:rPr>
              <w:highlight w:val="none"/>
            </w:rPr>
            <w:fldChar w:fldCharType="end"/>
          </w:r>
          <w:r>
            <w:rPr>
              <w:rFonts w:hint="default" w:ascii="Times New Roman" w:hAnsi="Times New Roman" w:cs="Times New Roman"/>
              <w:highlight w:val="none"/>
              <w:lang w:val="en-US" w:eastAsia="zh-CN"/>
            </w:rPr>
            <w:fldChar w:fldCharType="end"/>
          </w:r>
        </w:p>
        <w:p w14:paraId="3A8E9D03">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_Toc25022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7.2. </w:t>
          </w:r>
          <w:r>
            <w:rPr>
              <w:rFonts w:hint="default"/>
              <w:highlight w:val="none"/>
              <w:lang w:val="en-US" w:eastAsia="zh-CN"/>
            </w:rPr>
            <w:t>生态环境保护与污染防治对策和措施</w:t>
          </w:r>
          <w:r>
            <w:rPr>
              <w:highlight w:val="none"/>
            </w:rPr>
            <w:tab/>
          </w:r>
          <w:r>
            <w:rPr>
              <w:highlight w:val="none"/>
            </w:rPr>
            <w:fldChar w:fldCharType="begin"/>
          </w:r>
          <w:r>
            <w:rPr>
              <w:highlight w:val="none"/>
            </w:rPr>
            <w:instrText xml:space="preserve"> PAGEREF _Toc25022 \h </w:instrText>
          </w:r>
          <w:r>
            <w:rPr>
              <w:highlight w:val="none"/>
            </w:rPr>
            <w:fldChar w:fldCharType="separate"/>
          </w:r>
          <w:r>
            <w:rPr>
              <w:highlight w:val="none"/>
            </w:rPr>
            <w:t>186</w:t>
          </w:r>
          <w:r>
            <w:rPr>
              <w:highlight w:val="none"/>
            </w:rPr>
            <w:fldChar w:fldCharType="end"/>
          </w:r>
          <w:r>
            <w:rPr>
              <w:rFonts w:hint="default" w:ascii="Times New Roman" w:hAnsi="Times New Roman" w:cs="Times New Roman"/>
              <w:highlight w:val="none"/>
              <w:lang w:val="en-US" w:eastAsia="zh-CN"/>
            </w:rPr>
            <w:fldChar w:fldCharType="end"/>
          </w:r>
        </w:p>
        <w:p w14:paraId="266B6094">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_Toc28975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8. </w:t>
          </w:r>
          <w:r>
            <w:rPr>
              <w:rFonts w:hint="default"/>
              <w:highlight w:val="none"/>
              <w:lang w:val="en-US" w:eastAsia="zh-CN"/>
            </w:rPr>
            <w:t>环境监测与环境影响跟踪评价计划和建设项目环境影响评价要求</w:t>
          </w:r>
          <w:r>
            <w:rPr>
              <w:highlight w:val="none"/>
            </w:rPr>
            <w:tab/>
          </w:r>
          <w:r>
            <w:rPr>
              <w:highlight w:val="none"/>
            </w:rPr>
            <w:fldChar w:fldCharType="begin"/>
          </w:r>
          <w:r>
            <w:rPr>
              <w:highlight w:val="none"/>
            </w:rPr>
            <w:instrText xml:space="preserve"> PAGEREF _Toc28975 \h </w:instrText>
          </w:r>
          <w:r>
            <w:rPr>
              <w:highlight w:val="none"/>
            </w:rPr>
            <w:fldChar w:fldCharType="separate"/>
          </w:r>
          <w:r>
            <w:rPr>
              <w:highlight w:val="none"/>
            </w:rPr>
            <w:t>198</w:t>
          </w:r>
          <w:r>
            <w:rPr>
              <w:highlight w:val="none"/>
            </w:rPr>
            <w:fldChar w:fldCharType="end"/>
          </w:r>
          <w:r>
            <w:rPr>
              <w:rFonts w:hint="default" w:ascii="Times New Roman" w:hAnsi="Times New Roman" w:cs="Times New Roman"/>
              <w:highlight w:val="none"/>
              <w:lang w:val="en-US" w:eastAsia="zh-CN"/>
            </w:rPr>
            <w:fldChar w:fldCharType="end"/>
          </w:r>
        </w:p>
        <w:p w14:paraId="5534853E">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_Toc23614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8.1. </w:t>
          </w:r>
          <w:r>
            <w:rPr>
              <w:rFonts w:hint="default"/>
              <w:highlight w:val="none"/>
              <w:lang w:val="en-US" w:eastAsia="zh-CN"/>
            </w:rPr>
            <w:t>监测与跟踪评价原则</w:t>
          </w:r>
          <w:r>
            <w:rPr>
              <w:highlight w:val="none"/>
            </w:rPr>
            <w:tab/>
          </w:r>
          <w:r>
            <w:rPr>
              <w:highlight w:val="none"/>
            </w:rPr>
            <w:fldChar w:fldCharType="begin"/>
          </w:r>
          <w:r>
            <w:rPr>
              <w:highlight w:val="none"/>
            </w:rPr>
            <w:instrText xml:space="preserve"> PAGEREF _Toc23614 \h </w:instrText>
          </w:r>
          <w:r>
            <w:rPr>
              <w:highlight w:val="none"/>
            </w:rPr>
            <w:fldChar w:fldCharType="separate"/>
          </w:r>
          <w:r>
            <w:rPr>
              <w:highlight w:val="none"/>
            </w:rPr>
            <w:t>198</w:t>
          </w:r>
          <w:r>
            <w:rPr>
              <w:highlight w:val="none"/>
            </w:rPr>
            <w:fldChar w:fldCharType="end"/>
          </w:r>
          <w:r>
            <w:rPr>
              <w:rFonts w:hint="default" w:ascii="Times New Roman" w:hAnsi="Times New Roman" w:cs="Times New Roman"/>
              <w:highlight w:val="none"/>
              <w:lang w:val="en-US" w:eastAsia="zh-CN"/>
            </w:rPr>
            <w:fldChar w:fldCharType="end"/>
          </w:r>
        </w:p>
        <w:p w14:paraId="2E91F073">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_Toc26909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8.2. </w:t>
          </w:r>
          <w:r>
            <w:rPr>
              <w:rFonts w:hint="default"/>
              <w:highlight w:val="none"/>
              <w:lang w:val="en-US" w:eastAsia="zh-CN"/>
            </w:rPr>
            <w:t>目的和任务</w:t>
          </w:r>
          <w:r>
            <w:rPr>
              <w:highlight w:val="none"/>
            </w:rPr>
            <w:tab/>
          </w:r>
          <w:r>
            <w:rPr>
              <w:highlight w:val="none"/>
            </w:rPr>
            <w:fldChar w:fldCharType="begin"/>
          </w:r>
          <w:r>
            <w:rPr>
              <w:highlight w:val="none"/>
            </w:rPr>
            <w:instrText xml:space="preserve"> PAGEREF _Toc26909 \h </w:instrText>
          </w:r>
          <w:r>
            <w:rPr>
              <w:highlight w:val="none"/>
            </w:rPr>
            <w:fldChar w:fldCharType="separate"/>
          </w:r>
          <w:r>
            <w:rPr>
              <w:highlight w:val="none"/>
            </w:rPr>
            <w:t>198</w:t>
          </w:r>
          <w:r>
            <w:rPr>
              <w:highlight w:val="none"/>
            </w:rPr>
            <w:fldChar w:fldCharType="end"/>
          </w:r>
          <w:r>
            <w:rPr>
              <w:rFonts w:hint="default" w:ascii="Times New Roman" w:hAnsi="Times New Roman" w:cs="Times New Roman"/>
              <w:highlight w:val="none"/>
              <w:lang w:val="en-US" w:eastAsia="zh-CN"/>
            </w:rPr>
            <w:fldChar w:fldCharType="end"/>
          </w:r>
        </w:p>
        <w:p w14:paraId="07E1F67E">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_Toc18888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8.3. </w:t>
          </w:r>
          <w:r>
            <w:rPr>
              <w:rFonts w:hint="default"/>
              <w:highlight w:val="none"/>
              <w:lang w:val="en-US" w:eastAsia="zh-CN"/>
            </w:rPr>
            <w:t>环境监测计划</w:t>
          </w:r>
          <w:r>
            <w:rPr>
              <w:highlight w:val="none"/>
            </w:rPr>
            <w:tab/>
          </w:r>
          <w:r>
            <w:rPr>
              <w:highlight w:val="none"/>
            </w:rPr>
            <w:fldChar w:fldCharType="begin"/>
          </w:r>
          <w:r>
            <w:rPr>
              <w:highlight w:val="none"/>
            </w:rPr>
            <w:instrText xml:space="preserve"> PAGEREF _Toc18888 \h </w:instrText>
          </w:r>
          <w:r>
            <w:rPr>
              <w:highlight w:val="none"/>
            </w:rPr>
            <w:fldChar w:fldCharType="separate"/>
          </w:r>
          <w:r>
            <w:rPr>
              <w:highlight w:val="none"/>
            </w:rPr>
            <w:t>199</w:t>
          </w:r>
          <w:r>
            <w:rPr>
              <w:highlight w:val="none"/>
            </w:rPr>
            <w:fldChar w:fldCharType="end"/>
          </w:r>
          <w:r>
            <w:rPr>
              <w:rFonts w:hint="default" w:ascii="Times New Roman" w:hAnsi="Times New Roman" w:cs="Times New Roman"/>
              <w:highlight w:val="none"/>
              <w:lang w:val="en-US" w:eastAsia="zh-CN"/>
            </w:rPr>
            <w:fldChar w:fldCharType="end"/>
          </w:r>
        </w:p>
        <w:p w14:paraId="44E2B98B">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_Toc32163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8.4. </w:t>
          </w:r>
          <w:r>
            <w:rPr>
              <w:rFonts w:hint="default"/>
              <w:highlight w:val="none"/>
              <w:lang w:val="en-US" w:eastAsia="zh-CN"/>
            </w:rPr>
            <w:t>环境影响跟踪评价计划</w:t>
          </w:r>
          <w:r>
            <w:rPr>
              <w:highlight w:val="none"/>
            </w:rPr>
            <w:tab/>
          </w:r>
          <w:r>
            <w:rPr>
              <w:highlight w:val="none"/>
            </w:rPr>
            <w:fldChar w:fldCharType="begin"/>
          </w:r>
          <w:r>
            <w:rPr>
              <w:highlight w:val="none"/>
            </w:rPr>
            <w:instrText xml:space="preserve"> PAGEREF _Toc32163 \h </w:instrText>
          </w:r>
          <w:r>
            <w:rPr>
              <w:highlight w:val="none"/>
            </w:rPr>
            <w:fldChar w:fldCharType="separate"/>
          </w:r>
          <w:r>
            <w:rPr>
              <w:highlight w:val="none"/>
            </w:rPr>
            <w:t>201</w:t>
          </w:r>
          <w:r>
            <w:rPr>
              <w:highlight w:val="none"/>
            </w:rPr>
            <w:fldChar w:fldCharType="end"/>
          </w:r>
          <w:r>
            <w:rPr>
              <w:rFonts w:hint="default" w:ascii="Times New Roman" w:hAnsi="Times New Roman" w:cs="Times New Roman"/>
              <w:highlight w:val="none"/>
              <w:lang w:val="en-US" w:eastAsia="zh-CN"/>
            </w:rPr>
            <w:fldChar w:fldCharType="end"/>
          </w:r>
        </w:p>
        <w:p w14:paraId="4D740BFE">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_Toc23921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8.5. </w:t>
          </w:r>
          <w:r>
            <w:rPr>
              <w:rFonts w:hint="default"/>
              <w:highlight w:val="none"/>
              <w:lang w:val="en-US" w:eastAsia="zh-CN"/>
            </w:rPr>
            <w:t>建设项目环境影响评价的重点内容和基本要求</w:t>
          </w:r>
          <w:r>
            <w:rPr>
              <w:highlight w:val="none"/>
            </w:rPr>
            <w:tab/>
          </w:r>
          <w:r>
            <w:rPr>
              <w:highlight w:val="none"/>
            </w:rPr>
            <w:fldChar w:fldCharType="begin"/>
          </w:r>
          <w:r>
            <w:rPr>
              <w:highlight w:val="none"/>
            </w:rPr>
            <w:instrText xml:space="preserve"> PAGEREF _Toc23921 \h </w:instrText>
          </w:r>
          <w:r>
            <w:rPr>
              <w:highlight w:val="none"/>
            </w:rPr>
            <w:fldChar w:fldCharType="separate"/>
          </w:r>
          <w:r>
            <w:rPr>
              <w:highlight w:val="none"/>
            </w:rPr>
            <w:t>203</w:t>
          </w:r>
          <w:r>
            <w:rPr>
              <w:highlight w:val="none"/>
            </w:rPr>
            <w:fldChar w:fldCharType="end"/>
          </w:r>
          <w:r>
            <w:rPr>
              <w:rFonts w:hint="default" w:ascii="Times New Roman" w:hAnsi="Times New Roman" w:cs="Times New Roman"/>
              <w:highlight w:val="none"/>
              <w:lang w:val="en-US" w:eastAsia="zh-CN"/>
            </w:rPr>
            <w:fldChar w:fldCharType="end"/>
          </w:r>
        </w:p>
        <w:p w14:paraId="485B0056">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_Toc5397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9. </w:t>
          </w:r>
          <w:r>
            <w:rPr>
              <w:rFonts w:hint="default"/>
              <w:highlight w:val="none"/>
              <w:lang w:val="en-US" w:eastAsia="zh-CN"/>
            </w:rPr>
            <w:t>公众参与和会商意见</w:t>
          </w:r>
          <w:r>
            <w:rPr>
              <w:highlight w:val="none"/>
            </w:rPr>
            <w:tab/>
          </w:r>
          <w:r>
            <w:rPr>
              <w:highlight w:val="none"/>
            </w:rPr>
            <w:fldChar w:fldCharType="begin"/>
          </w:r>
          <w:r>
            <w:rPr>
              <w:highlight w:val="none"/>
            </w:rPr>
            <w:instrText xml:space="preserve"> PAGEREF _Toc5397 \h </w:instrText>
          </w:r>
          <w:r>
            <w:rPr>
              <w:highlight w:val="none"/>
            </w:rPr>
            <w:fldChar w:fldCharType="separate"/>
          </w:r>
          <w:r>
            <w:rPr>
              <w:highlight w:val="none"/>
            </w:rPr>
            <w:t>205</w:t>
          </w:r>
          <w:r>
            <w:rPr>
              <w:highlight w:val="none"/>
            </w:rPr>
            <w:fldChar w:fldCharType="end"/>
          </w:r>
          <w:r>
            <w:rPr>
              <w:rFonts w:hint="default" w:ascii="Times New Roman" w:hAnsi="Times New Roman" w:cs="Times New Roman"/>
              <w:highlight w:val="none"/>
              <w:lang w:val="en-US" w:eastAsia="zh-CN"/>
            </w:rPr>
            <w:fldChar w:fldCharType="end"/>
          </w:r>
        </w:p>
        <w:p w14:paraId="2A086596">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_Toc19824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9.1. </w:t>
          </w:r>
          <w:r>
            <w:rPr>
              <w:rFonts w:hint="default"/>
              <w:highlight w:val="none"/>
              <w:lang w:val="en-US" w:eastAsia="zh-CN"/>
            </w:rPr>
            <w:t>公众参与的目的与原则</w:t>
          </w:r>
          <w:r>
            <w:rPr>
              <w:highlight w:val="none"/>
            </w:rPr>
            <w:tab/>
          </w:r>
          <w:r>
            <w:rPr>
              <w:highlight w:val="none"/>
            </w:rPr>
            <w:fldChar w:fldCharType="begin"/>
          </w:r>
          <w:r>
            <w:rPr>
              <w:highlight w:val="none"/>
            </w:rPr>
            <w:instrText xml:space="preserve"> PAGEREF _Toc19824 \h </w:instrText>
          </w:r>
          <w:r>
            <w:rPr>
              <w:highlight w:val="none"/>
            </w:rPr>
            <w:fldChar w:fldCharType="separate"/>
          </w:r>
          <w:r>
            <w:rPr>
              <w:highlight w:val="none"/>
            </w:rPr>
            <w:t>205</w:t>
          </w:r>
          <w:r>
            <w:rPr>
              <w:highlight w:val="none"/>
            </w:rPr>
            <w:fldChar w:fldCharType="end"/>
          </w:r>
          <w:r>
            <w:rPr>
              <w:rFonts w:hint="default" w:ascii="Times New Roman" w:hAnsi="Times New Roman" w:cs="Times New Roman"/>
              <w:highlight w:val="none"/>
              <w:lang w:val="en-US" w:eastAsia="zh-CN"/>
            </w:rPr>
            <w:fldChar w:fldCharType="end"/>
          </w:r>
        </w:p>
        <w:p w14:paraId="03EEA40B">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_Toc6464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9.2. </w:t>
          </w:r>
          <w:r>
            <w:rPr>
              <w:rFonts w:hint="default"/>
              <w:highlight w:val="none"/>
              <w:lang w:val="en-US" w:eastAsia="zh-CN"/>
            </w:rPr>
            <w:t>公众参与的内容与作用</w:t>
          </w:r>
          <w:r>
            <w:rPr>
              <w:highlight w:val="none"/>
            </w:rPr>
            <w:tab/>
          </w:r>
          <w:r>
            <w:rPr>
              <w:highlight w:val="none"/>
            </w:rPr>
            <w:fldChar w:fldCharType="begin"/>
          </w:r>
          <w:r>
            <w:rPr>
              <w:highlight w:val="none"/>
            </w:rPr>
            <w:instrText xml:space="preserve"> PAGEREF _Toc6464 \h </w:instrText>
          </w:r>
          <w:r>
            <w:rPr>
              <w:highlight w:val="none"/>
            </w:rPr>
            <w:fldChar w:fldCharType="separate"/>
          </w:r>
          <w:r>
            <w:rPr>
              <w:highlight w:val="none"/>
            </w:rPr>
            <w:t>205</w:t>
          </w:r>
          <w:r>
            <w:rPr>
              <w:highlight w:val="none"/>
            </w:rPr>
            <w:fldChar w:fldCharType="end"/>
          </w:r>
          <w:r>
            <w:rPr>
              <w:rFonts w:hint="default" w:ascii="Times New Roman" w:hAnsi="Times New Roman" w:cs="Times New Roman"/>
              <w:highlight w:val="none"/>
              <w:lang w:val="en-US" w:eastAsia="zh-CN"/>
            </w:rPr>
            <w:fldChar w:fldCharType="end"/>
          </w:r>
        </w:p>
        <w:p w14:paraId="4E9B934F">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_Toc24347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9.3. </w:t>
          </w:r>
          <w:r>
            <w:rPr>
              <w:rFonts w:hint="default"/>
              <w:highlight w:val="none"/>
              <w:lang w:val="en-US" w:eastAsia="zh-CN"/>
            </w:rPr>
            <w:t>公众参与对象、方式与过程</w:t>
          </w:r>
          <w:r>
            <w:rPr>
              <w:highlight w:val="none"/>
            </w:rPr>
            <w:tab/>
          </w:r>
          <w:r>
            <w:rPr>
              <w:highlight w:val="none"/>
            </w:rPr>
            <w:fldChar w:fldCharType="begin"/>
          </w:r>
          <w:r>
            <w:rPr>
              <w:highlight w:val="none"/>
            </w:rPr>
            <w:instrText xml:space="preserve"> PAGEREF _Toc24347 \h </w:instrText>
          </w:r>
          <w:r>
            <w:rPr>
              <w:highlight w:val="none"/>
            </w:rPr>
            <w:fldChar w:fldCharType="separate"/>
          </w:r>
          <w:r>
            <w:rPr>
              <w:highlight w:val="none"/>
            </w:rPr>
            <w:t>206</w:t>
          </w:r>
          <w:r>
            <w:rPr>
              <w:highlight w:val="none"/>
            </w:rPr>
            <w:fldChar w:fldCharType="end"/>
          </w:r>
          <w:r>
            <w:rPr>
              <w:rFonts w:hint="default" w:ascii="Times New Roman" w:hAnsi="Times New Roman" w:cs="Times New Roman"/>
              <w:highlight w:val="none"/>
              <w:lang w:val="en-US" w:eastAsia="zh-CN"/>
            </w:rPr>
            <w:fldChar w:fldCharType="end"/>
          </w:r>
        </w:p>
        <w:p w14:paraId="00792BF8">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_Toc14805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9.4. </w:t>
          </w:r>
          <w:r>
            <w:rPr>
              <w:rFonts w:hint="default"/>
              <w:highlight w:val="none"/>
              <w:lang w:val="en-US" w:eastAsia="zh-CN"/>
            </w:rPr>
            <w:t>问卷调查</w:t>
          </w:r>
          <w:r>
            <w:rPr>
              <w:highlight w:val="none"/>
            </w:rPr>
            <w:tab/>
          </w:r>
          <w:r>
            <w:rPr>
              <w:highlight w:val="none"/>
            </w:rPr>
            <w:fldChar w:fldCharType="begin"/>
          </w:r>
          <w:r>
            <w:rPr>
              <w:highlight w:val="none"/>
            </w:rPr>
            <w:instrText xml:space="preserve"> PAGEREF _Toc14805 \h </w:instrText>
          </w:r>
          <w:r>
            <w:rPr>
              <w:highlight w:val="none"/>
            </w:rPr>
            <w:fldChar w:fldCharType="separate"/>
          </w:r>
          <w:r>
            <w:rPr>
              <w:highlight w:val="none"/>
            </w:rPr>
            <w:t>208</w:t>
          </w:r>
          <w:r>
            <w:rPr>
              <w:highlight w:val="none"/>
            </w:rPr>
            <w:fldChar w:fldCharType="end"/>
          </w:r>
          <w:r>
            <w:rPr>
              <w:rFonts w:hint="default" w:ascii="Times New Roman" w:hAnsi="Times New Roman" w:cs="Times New Roman"/>
              <w:highlight w:val="none"/>
              <w:lang w:val="en-US" w:eastAsia="zh-CN"/>
            </w:rPr>
            <w:fldChar w:fldCharType="end"/>
          </w:r>
        </w:p>
        <w:p w14:paraId="0F020EC3">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_Toc27701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9.5. </w:t>
          </w:r>
          <w:r>
            <w:rPr>
              <w:rFonts w:hint="default"/>
              <w:highlight w:val="none"/>
              <w:lang w:val="en-US" w:eastAsia="zh-CN"/>
            </w:rPr>
            <w:t>对公众意见的采纳情况</w:t>
          </w:r>
          <w:r>
            <w:rPr>
              <w:highlight w:val="none"/>
            </w:rPr>
            <w:tab/>
          </w:r>
          <w:r>
            <w:rPr>
              <w:highlight w:val="none"/>
            </w:rPr>
            <w:fldChar w:fldCharType="begin"/>
          </w:r>
          <w:r>
            <w:rPr>
              <w:highlight w:val="none"/>
            </w:rPr>
            <w:instrText xml:space="preserve"> PAGEREF _Toc27701 \h </w:instrText>
          </w:r>
          <w:r>
            <w:rPr>
              <w:highlight w:val="none"/>
            </w:rPr>
            <w:fldChar w:fldCharType="separate"/>
          </w:r>
          <w:r>
            <w:rPr>
              <w:highlight w:val="none"/>
            </w:rPr>
            <w:t>209</w:t>
          </w:r>
          <w:r>
            <w:rPr>
              <w:highlight w:val="none"/>
            </w:rPr>
            <w:fldChar w:fldCharType="end"/>
          </w:r>
          <w:r>
            <w:rPr>
              <w:rFonts w:hint="default" w:ascii="Times New Roman" w:hAnsi="Times New Roman" w:cs="Times New Roman"/>
              <w:highlight w:val="none"/>
              <w:lang w:val="en-US" w:eastAsia="zh-CN"/>
            </w:rPr>
            <w:fldChar w:fldCharType="end"/>
          </w:r>
        </w:p>
        <w:p w14:paraId="174CC5B0">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_Toc30488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9.6. </w:t>
          </w:r>
          <w:r>
            <w:rPr>
              <w:rFonts w:hint="default"/>
              <w:highlight w:val="none"/>
              <w:lang w:val="en-US" w:eastAsia="zh-CN"/>
            </w:rPr>
            <w:t>调查小结</w:t>
          </w:r>
          <w:r>
            <w:rPr>
              <w:highlight w:val="none"/>
            </w:rPr>
            <w:tab/>
          </w:r>
          <w:r>
            <w:rPr>
              <w:highlight w:val="none"/>
            </w:rPr>
            <w:fldChar w:fldCharType="begin"/>
          </w:r>
          <w:r>
            <w:rPr>
              <w:highlight w:val="none"/>
            </w:rPr>
            <w:instrText xml:space="preserve"> PAGEREF _Toc30488 \h </w:instrText>
          </w:r>
          <w:r>
            <w:rPr>
              <w:highlight w:val="none"/>
            </w:rPr>
            <w:fldChar w:fldCharType="separate"/>
          </w:r>
          <w:r>
            <w:rPr>
              <w:highlight w:val="none"/>
            </w:rPr>
            <w:t>209</w:t>
          </w:r>
          <w:r>
            <w:rPr>
              <w:highlight w:val="none"/>
            </w:rPr>
            <w:fldChar w:fldCharType="end"/>
          </w:r>
          <w:r>
            <w:rPr>
              <w:rFonts w:hint="default" w:ascii="Times New Roman" w:hAnsi="Times New Roman" w:cs="Times New Roman"/>
              <w:highlight w:val="none"/>
              <w:lang w:val="en-US" w:eastAsia="zh-CN"/>
            </w:rPr>
            <w:fldChar w:fldCharType="end"/>
          </w:r>
        </w:p>
        <w:p w14:paraId="573B5934">
          <w:pPr>
            <w:pStyle w:val="16"/>
            <w:tabs>
              <w:tab w:val="right" w:leader="dot" w:pos="8306"/>
              <w:tab w:val="clear" w:pos="829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_Toc29524 </w:instrText>
          </w:r>
          <w:r>
            <w:rPr>
              <w:rFonts w:hint="default" w:ascii="Times New Roman" w:hAnsi="Times New Roman" w:cs="Times New Roman"/>
              <w:highlight w:val="none"/>
              <w:lang w:val="en-US" w:eastAsia="zh-CN"/>
            </w:rPr>
            <w:fldChar w:fldCharType="separate"/>
          </w:r>
          <w:r>
            <w:rPr>
              <w:rFonts w:hint="default" w:ascii="Times New Roman" w:hAnsi="Times New Roman"/>
              <w:szCs w:val="32"/>
              <w:highlight w:val="none"/>
              <w:lang w:val="en-US" w:eastAsia="zh-CN"/>
            </w:rPr>
            <w:t xml:space="preserve">10. </w:t>
          </w:r>
          <w:r>
            <w:rPr>
              <w:rFonts w:hint="default"/>
              <w:highlight w:val="none"/>
              <w:lang w:val="en-US" w:eastAsia="zh-CN"/>
            </w:rPr>
            <w:t>评价结论</w:t>
          </w:r>
          <w:r>
            <w:rPr>
              <w:highlight w:val="none"/>
            </w:rPr>
            <w:tab/>
          </w:r>
          <w:r>
            <w:rPr>
              <w:highlight w:val="none"/>
            </w:rPr>
            <w:fldChar w:fldCharType="begin"/>
          </w:r>
          <w:r>
            <w:rPr>
              <w:highlight w:val="none"/>
            </w:rPr>
            <w:instrText xml:space="preserve"> PAGEREF _Toc29524 \h </w:instrText>
          </w:r>
          <w:r>
            <w:rPr>
              <w:highlight w:val="none"/>
            </w:rPr>
            <w:fldChar w:fldCharType="separate"/>
          </w:r>
          <w:r>
            <w:rPr>
              <w:highlight w:val="none"/>
            </w:rPr>
            <w:t>210</w:t>
          </w:r>
          <w:r>
            <w:rPr>
              <w:highlight w:val="none"/>
            </w:rPr>
            <w:fldChar w:fldCharType="end"/>
          </w:r>
          <w:r>
            <w:rPr>
              <w:rFonts w:hint="default" w:ascii="Times New Roman" w:hAnsi="Times New Roman" w:cs="Times New Roman"/>
              <w:highlight w:val="none"/>
              <w:lang w:val="en-US" w:eastAsia="zh-CN"/>
            </w:rPr>
            <w:fldChar w:fldCharType="end"/>
          </w:r>
        </w:p>
        <w:p w14:paraId="504A69F9">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_Toc24358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10.1. </w:t>
          </w:r>
          <w:r>
            <w:rPr>
              <w:rFonts w:hint="default"/>
              <w:highlight w:val="none"/>
              <w:lang w:val="en-US" w:eastAsia="zh-CN"/>
            </w:rPr>
            <w:t>规划概况</w:t>
          </w:r>
          <w:r>
            <w:rPr>
              <w:highlight w:val="none"/>
            </w:rPr>
            <w:tab/>
          </w:r>
          <w:r>
            <w:rPr>
              <w:highlight w:val="none"/>
            </w:rPr>
            <w:fldChar w:fldCharType="begin"/>
          </w:r>
          <w:r>
            <w:rPr>
              <w:highlight w:val="none"/>
            </w:rPr>
            <w:instrText xml:space="preserve"> PAGEREF _Toc24358 \h </w:instrText>
          </w:r>
          <w:r>
            <w:rPr>
              <w:highlight w:val="none"/>
            </w:rPr>
            <w:fldChar w:fldCharType="separate"/>
          </w:r>
          <w:r>
            <w:rPr>
              <w:highlight w:val="none"/>
            </w:rPr>
            <w:t>210</w:t>
          </w:r>
          <w:r>
            <w:rPr>
              <w:highlight w:val="none"/>
            </w:rPr>
            <w:fldChar w:fldCharType="end"/>
          </w:r>
          <w:r>
            <w:rPr>
              <w:rFonts w:hint="default" w:ascii="Times New Roman" w:hAnsi="Times New Roman" w:cs="Times New Roman"/>
              <w:highlight w:val="none"/>
              <w:lang w:val="en-US" w:eastAsia="zh-CN"/>
            </w:rPr>
            <w:fldChar w:fldCharType="end"/>
          </w:r>
        </w:p>
        <w:p w14:paraId="402B04BF">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_Toc5268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10.2. </w:t>
          </w:r>
          <w:r>
            <w:rPr>
              <w:rFonts w:hint="default"/>
              <w:highlight w:val="none"/>
              <w:lang w:val="en-US" w:eastAsia="zh-CN"/>
            </w:rPr>
            <w:t>流域生态环境保护定位和环境目标</w:t>
          </w:r>
          <w:r>
            <w:rPr>
              <w:highlight w:val="none"/>
            </w:rPr>
            <w:tab/>
          </w:r>
          <w:r>
            <w:rPr>
              <w:highlight w:val="none"/>
            </w:rPr>
            <w:fldChar w:fldCharType="begin"/>
          </w:r>
          <w:r>
            <w:rPr>
              <w:highlight w:val="none"/>
            </w:rPr>
            <w:instrText xml:space="preserve"> PAGEREF _Toc5268 \h </w:instrText>
          </w:r>
          <w:r>
            <w:rPr>
              <w:highlight w:val="none"/>
            </w:rPr>
            <w:fldChar w:fldCharType="separate"/>
          </w:r>
          <w:r>
            <w:rPr>
              <w:highlight w:val="none"/>
            </w:rPr>
            <w:t>211</w:t>
          </w:r>
          <w:r>
            <w:rPr>
              <w:highlight w:val="none"/>
            </w:rPr>
            <w:fldChar w:fldCharType="end"/>
          </w:r>
          <w:r>
            <w:rPr>
              <w:rFonts w:hint="default" w:ascii="Times New Roman" w:hAnsi="Times New Roman" w:cs="Times New Roman"/>
              <w:highlight w:val="none"/>
              <w:lang w:val="en-US" w:eastAsia="zh-CN"/>
            </w:rPr>
            <w:fldChar w:fldCharType="end"/>
          </w:r>
        </w:p>
        <w:p w14:paraId="53374BC6">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_Toc31309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10.3. </w:t>
          </w:r>
          <w:r>
            <w:rPr>
              <w:rFonts w:hint="default"/>
              <w:highlight w:val="none"/>
              <w:lang w:val="en-US" w:eastAsia="zh-CN"/>
            </w:rPr>
            <w:t>流域现状调查与评价</w:t>
          </w:r>
          <w:r>
            <w:rPr>
              <w:highlight w:val="none"/>
            </w:rPr>
            <w:tab/>
          </w:r>
          <w:r>
            <w:rPr>
              <w:highlight w:val="none"/>
            </w:rPr>
            <w:fldChar w:fldCharType="begin"/>
          </w:r>
          <w:r>
            <w:rPr>
              <w:highlight w:val="none"/>
            </w:rPr>
            <w:instrText xml:space="preserve"> PAGEREF _Toc31309 \h </w:instrText>
          </w:r>
          <w:r>
            <w:rPr>
              <w:highlight w:val="none"/>
            </w:rPr>
            <w:fldChar w:fldCharType="separate"/>
          </w:r>
          <w:r>
            <w:rPr>
              <w:highlight w:val="none"/>
            </w:rPr>
            <w:t>212</w:t>
          </w:r>
          <w:r>
            <w:rPr>
              <w:highlight w:val="none"/>
            </w:rPr>
            <w:fldChar w:fldCharType="end"/>
          </w:r>
          <w:r>
            <w:rPr>
              <w:rFonts w:hint="default" w:ascii="Times New Roman" w:hAnsi="Times New Roman" w:cs="Times New Roman"/>
              <w:highlight w:val="none"/>
              <w:lang w:val="en-US" w:eastAsia="zh-CN"/>
            </w:rPr>
            <w:fldChar w:fldCharType="end"/>
          </w:r>
        </w:p>
        <w:p w14:paraId="64BB6DBB">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_Toc9481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10.4. </w:t>
          </w:r>
          <w:r>
            <w:rPr>
              <w:rFonts w:hint="default"/>
              <w:highlight w:val="none"/>
              <w:lang w:val="en-US" w:eastAsia="zh-CN"/>
            </w:rPr>
            <w:t>规划实施环境影响预测与评价</w:t>
          </w:r>
          <w:r>
            <w:rPr>
              <w:highlight w:val="none"/>
            </w:rPr>
            <w:tab/>
          </w:r>
          <w:r>
            <w:rPr>
              <w:highlight w:val="none"/>
            </w:rPr>
            <w:fldChar w:fldCharType="begin"/>
          </w:r>
          <w:r>
            <w:rPr>
              <w:highlight w:val="none"/>
            </w:rPr>
            <w:instrText xml:space="preserve"> PAGEREF _Toc9481 \h </w:instrText>
          </w:r>
          <w:r>
            <w:rPr>
              <w:highlight w:val="none"/>
            </w:rPr>
            <w:fldChar w:fldCharType="separate"/>
          </w:r>
          <w:r>
            <w:rPr>
              <w:highlight w:val="none"/>
            </w:rPr>
            <w:t>215</w:t>
          </w:r>
          <w:r>
            <w:rPr>
              <w:highlight w:val="none"/>
            </w:rPr>
            <w:fldChar w:fldCharType="end"/>
          </w:r>
          <w:r>
            <w:rPr>
              <w:rFonts w:hint="default" w:ascii="Times New Roman" w:hAnsi="Times New Roman" w:cs="Times New Roman"/>
              <w:highlight w:val="none"/>
              <w:lang w:val="en-US" w:eastAsia="zh-CN"/>
            </w:rPr>
            <w:fldChar w:fldCharType="end"/>
          </w:r>
        </w:p>
        <w:p w14:paraId="12836CDE">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_Toc1870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10.5. </w:t>
          </w:r>
          <w:r>
            <w:rPr>
              <w:rFonts w:hint="default"/>
              <w:highlight w:val="none"/>
              <w:lang w:val="en-US" w:eastAsia="zh-CN"/>
            </w:rPr>
            <w:t>规划协调性分析及环境合理性</w:t>
          </w:r>
          <w:r>
            <w:rPr>
              <w:highlight w:val="none"/>
            </w:rPr>
            <w:tab/>
          </w:r>
          <w:r>
            <w:rPr>
              <w:highlight w:val="none"/>
            </w:rPr>
            <w:fldChar w:fldCharType="begin"/>
          </w:r>
          <w:r>
            <w:rPr>
              <w:highlight w:val="none"/>
            </w:rPr>
            <w:instrText xml:space="preserve"> PAGEREF _Toc1870 \h </w:instrText>
          </w:r>
          <w:r>
            <w:rPr>
              <w:highlight w:val="none"/>
            </w:rPr>
            <w:fldChar w:fldCharType="separate"/>
          </w:r>
          <w:r>
            <w:rPr>
              <w:highlight w:val="none"/>
            </w:rPr>
            <w:t>218</w:t>
          </w:r>
          <w:r>
            <w:rPr>
              <w:highlight w:val="none"/>
            </w:rPr>
            <w:fldChar w:fldCharType="end"/>
          </w:r>
          <w:r>
            <w:rPr>
              <w:rFonts w:hint="default" w:ascii="Times New Roman" w:hAnsi="Times New Roman" w:cs="Times New Roman"/>
              <w:highlight w:val="none"/>
              <w:lang w:val="en-US" w:eastAsia="zh-CN"/>
            </w:rPr>
            <w:fldChar w:fldCharType="end"/>
          </w:r>
        </w:p>
        <w:p w14:paraId="6220459A">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_Toc5764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10.6. </w:t>
          </w:r>
          <w:r>
            <w:rPr>
              <w:rFonts w:hint="default"/>
              <w:highlight w:val="none"/>
              <w:lang w:val="en-US" w:eastAsia="zh-CN"/>
            </w:rPr>
            <w:t>环境影响减缓措施</w:t>
          </w:r>
          <w:r>
            <w:rPr>
              <w:highlight w:val="none"/>
            </w:rPr>
            <w:tab/>
          </w:r>
          <w:r>
            <w:rPr>
              <w:highlight w:val="none"/>
            </w:rPr>
            <w:fldChar w:fldCharType="begin"/>
          </w:r>
          <w:r>
            <w:rPr>
              <w:highlight w:val="none"/>
            </w:rPr>
            <w:instrText xml:space="preserve"> PAGEREF _Toc5764 \h </w:instrText>
          </w:r>
          <w:r>
            <w:rPr>
              <w:highlight w:val="none"/>
            </w:rPr>
            <w:fldChar w:fldCharType="separate"/>
          </w:r>
          <w:r>
            <w:rPr>
              <w:highlight w:val="none"/>
            </w:rPr>
            <w:t>220</w:t>
          </w:r>
          <w:r>
            <w:rPr>
              <w:highlight w:val="none"/>
            </w:rPr>
            <w:fldChar w:fldCharType="end"/>
          </w:r>
          <w:r>
            <w:rPr>
              <w:rFonts w:hint="default" w:ascii="Times New Roman" w:hAnsi="Times New Roman" w:cs="Times New Roman"/>
              <w:highlight w:val="none"/>
              <w:lang w:val="en-US" w:eastAsia="zh-CN"/>
            </w:rPr>
            <w:fldChar w:fldCharType="end"/>
          </w:r>
        </w:p>
        <w:p w14:paraId="2ACA0B5D">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_Toc28289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10.7. </w:t>
          </w:r>
          <w:r>
            <w:rPr>
              <w:rFonts w:hint="default"/>
              <w:highlight w:val="none"/>
              <w:lang w:val="en-US" w:eastAsia="zh-CN"/>
            </w:rPr>
            <w:t>环境监测与跟踪评价计划</w:t>
          </w:r>
          <w:r>
            <w:rPr>
              <w:highlight w:val="none"/>
            </w:rPr>
            <w:tab/>
          </w:r>
          <w:r>
            <w:rPr>
              <w:highlight w:val="none"/>
            </w:rPr>
            <w:fldChar w:fldCharType="begin"/>
          </w:r>
          <w:r>
            <w:rPr>
              <w:highlight w:val="none"/>
            </w:rPr>
            <w:instrText xml:space="preserve"> PAGEREF _Toc28289 \h </w:instrText>
          </w:r>
          <w:r>
            <w:rPr>
              <w:highlight w:val="none"/>
            </w:rPr>
            <w:fldChar w:fldCharType="separate"/>
          </w:r>
          <w:r>
            <w:rPr>
              <w:highlight w:val="none"/>
            </w:rPr>
            <w:t>221</w:t>
          </w:r>
          <w:r>
            <w:rPr>
              <w:highlight w:val="none"/>
            </w:rPr>
            <w:fldChar w:fldCharType="end"/>
          </w:r>
          <w:r>
            <w:rPr>
              <w:rFonts w:hint="default" w:ascii="Times New Roman" w:hAnsi="Times New Roman" w:cs="Times New Roman"/>
              <w:highlight w:val="none"/>
              <w:lang w:val="en-US" w:eastAsia="zh-CN"/>
            </w:rPr>
            <w:fldChar w:fldCharType="end"/>
          </w:r>
        </w:p>
        <w:p w14:paraId="60D67D66">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_Toc7841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10.8. </w:t>
          </w:r>
          <w:r>
            <w:rPr>
              <w:rFonts w:hint="default"/>
              <w:highlight w:val="none"/>
              <w:lang w:val="en-US" w:eastAsia="zh-CN"/>
            </w:rPr>
            <w:t>公众参与及会商</w:t>
          </w:r>
          <w:r>
            <w:rPr>
              <w:highlight w:val="none"/>
            </w:rPr>
            <w:tab/>
          </w:r>
          <w:r>
            <w:rPr>
              <w:highlight w:val="none"/>
            </w:rPr>
            <w:fldChar w:fldCharType="begin"/>
          </w:r>
          <w:r>
            <w:rPr>
              <w:highlight w:val="none"/>
            </w:rPr>
            <w:instrText xml:space="preserve"> PAGEREF _Toc7841 \h </w:instrText>
          </w:r>
          <w:r>
            <w:rPr>
              <w:highlight w:val="none"/>
            </w:rPr>
            <w:fldChar w:fldCharType="separate"/>
          </w:r>
          <w:r>
            <w:rPr>
              <w:highlight w:val="none"/>
            </w:rPr>
            <w:t>222</w:t>
          </w:r>
          <w:r>
            <w:rPr>
              <w:highlight w:val="none"/>
            </w:rPr>
            <w:fldChar w:fldCharType="end"/>
          </w:r>
          <w:r>
            <w:rPr>
              <w:rFonts w:hint="default" w:ascii="Times New Roman" w:hAnsi="Times New Roman" w:cs="Times New Roman"/>
              <w:highlight w:val="none"/>
              <w:lang w:val="en-US" w:eastAsia="zh-CN"/>
            </w:rPr>
            <w:fldChar w:fldCharType="end"/>
          </w:r>
        </w:p>
        <w:p w14:paraId="2A4F8187">
          <w:pPr>
            <w:pStyle w:val="17"/>
            <w:tabs>
              <w:tab w:val="right" w:leader="dot" w:pos="8306"/>
            </w:tabs>
            <w:rPr>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_Toc19242 </w:instrText>
          </w:r>
          <w:r>
            <w:rPr>
              <w:rFonts w:hint="default" w:ascii="Times New Roman" w:hAnsi="Times New Roman" w:cs="Times New Roman"/>
              <w:highlight w:val="none"/>
              <w:lang w:val="en-US" w:eastAsia="zh-CN"/>
            </w:rPr>
            <w:fldChar w:fldCharType="separate"/>
          </w:r>
          <w:r>
            <w:rPr>
              <w:rFonts w:hint="default" w:ascii="Times New Roman" w:hAnsi="Times New Roman"/>
              <w:szCs w:val="28"/>
              <w:highlight w:val="none"/>
              <w:lang w:val="en-US" w:eastAsia="zh-CN"/>
            </w:rPr>
            <w:t xml:space="preserve">10.9. </w:t>
          </w:r>
          <w:r>
            <w:rPr>
              <w:rFonts w:hint="default"/>
              <w:highlight w:val="none"/>
              <w:lang w:val="en-US" w:eastAsia="zh-CN"/>
            </w:rPr>
            <w:t>总体评价结论</w:t>
          </w:r>
          <w:r>
            <w:rPr>
              <w:highlight w:val="none"/>
            </w:rPr>
            <w:tab/>
          </w:r>
          <w:r>
            <w:rPr>
              <w:highlight w:val="none"/>
            </w:rPr>
            <w:fldChar w:fldCharType="begin"/>
          </w:r>
          <w:r>
            <w:rPr>
              <w:highlight w:val="none"/>
            </w:rPr>
            <w:instrText xml:space="preserve"> PAGEREF _Toc19242 \h </w:instrText>
          </w:r>
          <w:r>
            <w:rPr>
              <w:highlight w:val="none"/>
            </w:rPr>
            <w:fldChar w:fldCharType="separate"/>
          </w:r>
          <w:r>
            <w:rPr>
              <w:highlight w:val="none"/>
            </w:rPr>
            <w:t>222</w:t>
          </w:r>
          <w:r>
            <w:rPr>
              <w:highlight w:val="none"/>
            </w:rPr>
            <w:fldChar w:fldCharType="end"/>
          </w:r>
          <w:r>
            <w:rPr>
              <w:rFonts w:hint="default" w:ascii="Times New Roman" w:hAnsi="Times New Roman" w:cs="Times New Roman"/>
              <w:highlight w:val="none"/>
              <w:lang w:val="en-US" w:eastAsia="zh-CN"/>
            </w:rPr>
            <w:fldChar w:fldCharType="end"/>
          </w:r>
        </w:p>
        <w:p w14:paraId="63CBE6D4">
          <w:pPr>
            <w:bidi w:val="0"/>
            <w:spacing w:before="0" w:beforeLines="0" w:after="0" w:afterLines="0" w:line="240" w:lineRule="auto"/>
            <w:ind w:left="0" w:leftChars="0" w:right="0" w:rightChars="0" w:firstLine="0" w:firstLineChars="0"/>
            <w:jc w:val="center"/>
            <w:rPr>
              <w:rFonts w:hint="default" w:ascii="Times New Roman" w:hAnsi="Times New Roman" w:cs="Times New Roman" w:eastAsiaTheme="minorEastAsia"/>
              <w:b/>
              <w:kern w:val="2"/>
              <w:sz w:val="24"/>
              <w:szCs w:val="24"/>
              <w:highlight w:val="none"/>
              <w:lang w:val="en-US" w:eastAsia="zh-CN" w:bidi="ar-SA"/>
            </w:rPr>
          </w:pPr>
          <w:r>
            <w:rPr>
              <w:rFonts w:hint="default" w:ascii="Times New Roman" w:hAnsi="Times New Roman" w:cs="Times New Roman"/>
              <w:highlight w:val="none"/>
              <w:lang w:val="en-US" w:eastAsia="zh-CN"/>
            </w:rPr>
            <w:fldChar w:fldCharType="end"/>
          </w:r>
        </w:p>
      </w:sdtContent>
    </w:sdt>
    <w:p w14:paraId="1A2B4467">
      <w:pPr>
        <w:bidi w:val="0"/>
        <w:ind w:left="0" w:leftChars="0" w:firstLine="0" w:firstLineChars="0"/>
        <w:rPr>
          <w:rFonts w:hint="default" w:ascii="Times New Roman" w:hAnsi="Times New Roman" w:cs="Times New Roman" w:eastAsiaTheme="minorEastAsia"/>
          <w:b/>
          <w:kern w:val="2"/>
          <w:sz w:val="24"/>
          <w:szCs w:val="24"/>
          <w:highlight w:val="none"/>
          <w:lang w:val="en-US" w:eastAsia="zh-CN" w:bidi="ar-SA"/>
        </w:rPr>
      </w:pPr>
    </w:p>
    <w:p w14:paraId="1B8686D8">
      <w:pPr>
        <w:bidi w:val="0"/>
        <w:ind w:left="0" w:leftChars="0" w:firstLine="0" w:firstLineChars="0"/>
        <w:rPr>
          <w:rFonts w:hint="default" w:ascii="Times New Roman" w:hAnsi="Times New Roman" w:cs="Times New Roman"/>
          <w:highlight w:val="none"/>
          <w:lang w:val="en-US" w:eastAsia="zh-CN"/>
        </w:rPr>
      </w:pPr>
    </w:p>
    <w:p w14:paraId="0A0850D5">
      <w:pPr>
        <w:bidi w:val="0"/>
        <w:ind w:left="0" w:leftChars="0" w:firstLine="0" w:firstLineChars="0"/>
        <w:rPr>
          <w:rFonts w:hint="default" w:ascii="Times New Roman" w:hAnsi="Times New Roman" w:cs="Times New Roman"/>
          <w:highlight w:val="none"/>
          <w:lang w:val="en-US" w:eastAsia="zh-CN"/>
        </w:rPr>
        <w:sectPr>
          <w:headerReference r:id="rId6" w:type="default"/>
          <w:footerReference r:id="rId7" w:type="default"/>
          <w:pgSz w:w="11906" w:h="16838"/>
          <w:pgMar w:top="1440" w:right="1800" w:bottom="1440" w:left="1800" w:header="851" w:footer="992" w:gutter="0"/>
          <w:pgNumType w:fmt="decimal"/>
          <w:cols w:space="425" w:num="1"/>
          <w:docGrid w:type="lines" w:linePitch="312" w:charSpace="0"/>
        </w:sectPr>
      </w:pPr>
    </w:p>
    <w:p w14:paraId="38F81BCC">
      <w:pPr>
        <w:pStyle w:val="2"/>
        <w:bidi w:val="0"/>
        <w:rPr>
          <w:rFonts w:hint="default"/>
          <w:highlight w:val="none"/>
          <w:lang w:val="en-US" w:eastAsia="zh-CN"/>
        </w:rPr>
      </w:pPr>
      <w:bookmarkStart w:id="2" w:name="_Toc1077"/>
      <w:r>
        <w:rPr>
          <w:rFonts w:hint="default"/>
          <w:highlight w:val="none"/>
          <w:lang w:val="en-US" w:eastAsia="zh-CN"/>
        </w:rPr>
        <w:t>总则</w:t>
      </w:r>
      <w:bookmarkEnd w:id="2"/>
    </w:p>
    <w:p w14:paraId="5C759434">
      <w:pPr>
        <w:pStyle w:val="3"/>
        <w:bidi w:val="0"/>
        <w:rPr>
          <w:rFonts w:hint="default"/>
          <w:highlight w:val="none"/>
          <w:lang w:val="en-US" w:eastAsia="zh-CN"/>
        </w:rPr>
      </w:pPr>
      <w:bookmarkStart w:id="3" w:name="_Toc30334"/>
      <w:r>
        <w:rPr>
          <w:rFonts w:hint="default"/>
          <w:highlight w:val="none"/>
          <w:lang w:val="en-US" w:eastAsia="zh-CN"/>
        </w:rPr>
        <w:t>规划背景及任务来源</w:t>
      </w:r>
      <w:bookmarkEnd w:id="3"/>
    </w:p>
    <w:p w14:paraId="4DB75E9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冷龙沟为硕曲右岸一级支流，定曲河二级支流。发源于格绕垭卡，从东北向西南经尼色拥村流至马安山折向东南，在冷龙村左纳热拥沟，在乡城县城处转向东流，在热卡村附近流入硕曲。全流域面积79.0km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，河长18.2km，比降68.704‰。</w:t>
      </w:r>
    </w:p>
    <w:p w14:paraId="7340013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内植被覆盖较好，主要分部在流域中下游河谷地带，植物种群多样，海拔4000m以上为高山草甸和高山灌丛草旬，海拔3000～4000m多为针阔叶混交林，海拔2500～3000m为河谷早生灌木丛。冷龙沟两岸物理地质作用较强烈，不良物理地质现象有崩塌、坍滑及滑坡，局部有小规模泥石流分布。冷龙沟降雨主要集+中在每年的6~9月，每年的蒸发量是降雨量5倍，导致山坡上植被差，生态十分脆弱。同时，冷龙沟也是县城饮水水源地，降水时空分布不均，季节性缺水严重，县城用水需求无法持续保障。由于冷龙沟流域未统筹开发规划，流域水资源尚未得到合理的开发区利用。因此，冷龙沟流域综合开发规划对优化资源配置、改善生态环境、实现乡城县经济可持续发展具有重要意义。</w:t>
      </w:r>
    </w:p>
    <w:p w14:paraId="25270E7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为了合理开发利用冷龙沟流域水资源，乡城县水</w:t>
      </w:r>
      <w:r>
        <w:rPr>
          <w:rFonts w:hint="eastAsia" w:cs="Times New Roman"/>
          <w:highlight w:val="none"/>
          <w:lang w:val="en-US" w:eastAsia="zh-CN"/>
        </w:rPr>
        <w:t>务</w:t>
      </w:r>
      <w:r>
        <w:rPr>
          <w:rFonts w:hint="default" w:ascii="Times New Roman" w:hAnsi="Times New Roman" w:cs="Times New Roman"/>
          <w:highlight w:val="none"/>
          <w:lang w:val="en-US" w:eastAsia="zh-CN"/>
        </w:rPr>
        <w:t>局委托中实建设工程咨询有限公司编制了《甘孜州乡城县冷龙沟流域综合规划》。本次规划工程以防洪减灾、水源工程为主，共规划工程6项。根据《中国人民共和国环境影响评价</w:t>
      </w:r>
      <w:r>
        <w:rPr>
          <w:rFonts w:hint="eastAsia" w:cs="Times New Roman"/>
          <w:highlight w:val="none"/>
          <w:lang w:val="en-US" w:eastAsia="zh-CN"/>
        </w:rPr>
        <w:t>法</w:t>
      </w:r>
      <w:r>
        <w:rPr>
          <w:rFonts w:hint="default" w:ascii="Times New Roman" w:hAnsi="Times New Roman" w:cs="Times New Roman"/>
          <w:highlight w:val="none"/>
          <w:lang w:val="en-US" w:eastAsia="zh-CN"/>
        </w:rPr>
        <w:t>》《规划环境影响评价条例》和《四川省环境保护条例》，规划编制单位中实建设工程咨询有限公司</w:t>
      </w:r>
      <w:r>
        <w:rPr>
          <w:rFonts w:hint="eastAsia" w:cs="Times New Roman"/>
          <w:highlight w:val="none"/>
          <w:lang w:val="en-US" w:eastAsia="zh-CN"/>
        </w:rPr>
        <w:t>于</w:t>
      </w:r>
      <w:r>
        <w:rPr>
          <w:rFonts w:hint="default" w:ascii="Times New Roman" w:hAnsi="Times New Roman" w:cs="Times New Roman"/>
          <w:highlight w:val="none"/>
          <w:lang w:val="en-US" w:eastAsia="zh-CN"/>
        </w:rPr>
        <w:t>2024年6月委托我公司编制《甘孜州乡城县冷龙沟流域综合规划环境影响报告书》。</w:t>
      </w:r>
    </w:p>
    <w:p w14:paraId="10A977B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我司接受委托后，按照《中华人民共和国环境影响评价法》《规划环境影响评价条例》《规划环境影响评价技术导则 总纲》和《规划环境影响评价技术导则 流域综合规划》（HJ 1218-2021）等要求，组织专业技术人员对</w:t>
      </w:r>
      <w:r>
        <w:rPr>
          <w:rFonts w:hint="eastAsia" w:cs="Times New Roman"/>
          <w:highlight w:val="none"/>
          <w:lang w:val="en-US" w:eastAsia="zh-CN"/>
        </w:rPr>
        <w:t>冷龙沟</w:t>
      </w:r>
      <w:r>
        <w:rPr>
          <w:rFonts w:hint="default" w:ascii="Times New Roman" w:hAnsi="Times New Roman" w:cs="Times New Roman"/>
          <w:highlight w:val="none"/>
          <w:lang w:val="en-US" w:eastAsia="zh-CN"/>
        </w:rPr>
        <w:t>流域进行现场踏勘、调研与资料收集，对规划实施后可能造成的环境影响作出分析、预测和评估，提出预防或减轻不良环境影响的对策和措施。</w:t>
      </w:r>
    </w:p>
    <w:p w14:paraId="64552E00">
      <w:pPr>
        <w:pStyle w:val="3"/>
        <w:bidi w:val="0"/>
        <w:rPr>
          <w:rFonts w:hint="default"/>
          <w:highlight w:val="none"/>
        </w:rPr>
      </w:pPr>
      <w:bookmarkStart w:id="4" w:name="_Toc8021"/>
      <w:r>
        <w:rPr>
          <w:rFonts w:hint="default"/>
          <w:highlight w:val="none"/>
        </w:rPr>
        <w:t>评价依据</w:t>
      </w:r>
      <w:bookmarkEnd w:id="4"/>
    </w:p>
    <w:p w14:paraId="01EB6F42">
      <w:pPr>
        <w:pStyle w:val="4"/>
        <w:bidi w:val="0"/>
        <w:rPr>
          <w:rFonts w:hint="default"/>
          <w:highlight w:val="none"/>
        </w:rPr>
      </w:pPr>
      <w:bookmarkStart w:id="5" w:name="bookmark5"/>
      <w:bookmarkEnd w:id="5"/>
      <w:r>
        <w:rPr>
          <w:rFonts w:hint="default"/>
          <w:highlight w:val="none"/>
        </w:rPr>
        <w:t>法律法规</w:t>
      </w:r>
    </w:p>
    <w:p w14:paraId="5FA53B95">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《中华人民共和国环境保护法》</w:t>
      </w:r>
      <w:r>
        <w:rPr>
          <w:rFonts w:hint="default" w:ascii="Times New Roman" w:hAnsi="Times New Roman" w:cs="Times New Roman"/>
          <w:highlight w:val="none"/>
          <w:lang w:eastAsia="zh-CN"/>
        </w:rPr>
        <w:t>（</w:t>
      </w:r>
      <w:r>
        <w:rPr>
          <w:rFonts w:hint="default" w:ascii="Times New Roman" w:hAnsi="Times New Roman" w:cs="Times New Roman"/>
          <w:highlight w:val="none"/>
        </w:rPr>
        <w:t>2014.04修订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6A255237">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《中华人民共和国环境影响评价法》</w:t>
      </w:r>
      <w:r>
        <w:rPr>
          <w:rFonts w:hint="default" w:ascii="Times New Roman" w:hAnsi="Times New Roman" w:cs="Times New Roman"/>
          <w:highlight w:val="none"/>
          <w:lang w:eastAsia="zh-CN"/>
        </w:rPr>
        <w:t>（</w:t>
      </w:r>
      <w:r>
        <w:rPr>
          <w:rFonts w:hint="default" w:ascii="Times New Roman" w:hAnsi="Times New Roman" w:cs="Times New Roman"/>
          <w:highlight w:val="none"/>
        </w:rPr>
        <w:t>2018.12修订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3D07235F">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3</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《中华人民共和国大气污染防治法》（2018.10修正）；</w:t>
      </w:r>
    </w:p>
    <w:p w14:paraId="286B8F87">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4</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《中华人民共和国水污染防治法》（2017.06修正）；</w:t>
      </w:r>
    </w:p>
    <w:p w14:paraId="5C053A05">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5</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《中华人民共和国噪声污染防治法》（2022.06）；</w:t>
      </w:r>
    </w:p>
    <w:p w14:paraId="356EB886">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6</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《中华人民共和国土壤污染防治法》（2019.01）；</w:t>
      </w:r>
    </w:p>
    <w:p w14:paraId="79ADF286">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7</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《中华人民共和国水土保持法》</w:t>
      </w:r>
      <w:r>
        <w:rPr>
          <w:rFonts w:hint="default" w:ascii="Times New Roman" w:hAnsi="Times New Roman" w:cs="Times New Roman"/>
          <w:highlight w:val="none"/>
          <w:lang w:eastAsia="zh-CN"/>
        </w:rPr>
        <w:t>（</w:t>
      </w:r>
      <w:r>
        <w:rPr>
          <w:rFonts w:hint="default" w:ascii="Times New Roman" w:hAnsi="Times New Roman" w:cs="Times New Roman"/>
          <w:highlight w:val="none"/>
        </w:rPr>
        <w:t>2010.12修订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E4A8B3F">
      <w:pPr>
        <w:bidi w:val="0"/>
        <w:rPr>
          <w:rFonts w:hint="default" w:ascii="Times New Roman" w:hAnsi="Times New Roman" w:cs="Times New Roman"/>
          <w:highlight w:val="none"/>
        </w:rPr>
      </w:pPr>
      <w:bookmarkStart w:id="6" w:name="bookmark196"/>
      <w:bookmarkEnd w:id="6"/>
      <w:r>
        <w:rPr>
          <w:rFonts w:hint="default" w:ascii="Times New Roman" w:hAnsi="Times New Roman" w:cs="Times New Roman"/>
          <w:highlight w:val="none"/>
          <w:lang w:eastAsia="zh-CN"/>
        </w:rPr>
        <w:t>（</w:t>
      </w:r>
      <w:r>
        <w:rPr>
          <w:rFonts w:hint="default" w:ascii="Times New Roman" w:hAnsi="Times New Roman" w:cs="Times New Roman"/>
          <w:highlight w:val="none"/>
        </w:rPr>
        <w:t>8</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《中华人民共和国土地管理法》</w:t>
      </w:r>
      <w:r>
        <w:rPr>
          <w:rFonts w:hint="default" w:ascii="Times New Roman" w:hAnsi="Times New Roman" w:cs="Times New Roman"/>
          <w:highlight w:val="none"/>
          <w:lang w:eastAsia="zh-CN"/>
        </w:rPr>
        <w:t>（</w:t>
      </w:r>
      <w:r>
        <w:rPr>
          <w:rFonts w:hint="default" w:ascii="Times New Roman" w:hAnsi="Times New Roman" w:cs="Times New Roman"/>
          <w:highlight w:val="none"/>
        </w:rPr>
        <w:t>2019.08修订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78F549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9</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《中华人民共和国水法》</w:t>
      </w:r>
      <w:r>
        <w:rPr>
          <w:rFonts w:hint="default" w:ascii="Times New Roman" w:hAnsi="Times New Roman" w:cs="Times New Roman"/>
          <w:highlight w:val="none"/>
          <w:lang w:eastAsia="zh-CN"/>
        </w:rPr>
        <w:t>（</w:t>
      </w:r>
      <w:r>
        <w:rPr>
          <w:rFonts w:hint="default" w:ascii="Times New Roman" w:hAnsi="Times New Roman" w:cs="Times New Roman"/>
          <w:highlight w:val="none"/>
        </w:rPr>
        <w:t>2016.07修订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821ED20">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10）《中华人民共和国农业法》（2013.01）；</w:t>
      </w:r>
    </w:p>
    <w:p w14:paraId="76D44DF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11）《中华人民共和国渔业法》（2013.12修订）；</w:t>
      </w:r>
    </w:p>
    <w:p w14:paraId="02065D3E">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12）《中华人民共和国防洪法》（2016.07修订）；</w:t>
      </w:r>
    </w:p>
    <w:p w14:paraId="626E9571">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13</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《中华人民共和国野生动物保护法》</w:t>
      </w:r>
      <w:r>
        <w:rPr>
          <w:rFonts w:hint="default" w:ascii="Times New Roman" w:hAnsi="Times New Roman" w:cs="Times New Roman"/>
          <w:highlight w:val="none"/>
          <w:lang w:eastAsia="zh-CN"/>
        </w:rPr>
        <w:t>（</w:t>
      </w:r>
      <w:r>
        <w:rPr>
          <w:rFonts w:hint="default" w:ascii="Times New Roman" w:hAnsi="Times New Roman" w:cs="Times New Roman"/>
          <w:highlight w:val="none"/>
        </w:rPr>
        <w:t>2023.05</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CC671D9">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14</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《中华人民共和国森林法》</w:t>
      </w:r>
      <w:r>
        <w:rPr>
          <w:rFonts w:hint="default" w:ascii="Times New Roman" w:hAnsi="Times New Roman" w:cs="Times New Roman"/>
          <w:highlight w:val="none"/>
          <w:lang w:eastAsia="zh-CN"/>
        </w:rPr>
        <w:t>（</w:t>
      </w:r>
      <w:r>
        <w:rPr>
          <w:rFonts w:hint="default" w:ascii="Times New Roman" w:hAnsi="Times New Roman" w:cs="Times New Roman"/>
          <w:highlight w:val="none"/>
        </w:rPr>
        <w:t>2019.12修订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6A8F88C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15</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《中华人民共和国草原法》</w:t>
      </w:r>
      <w:r>
        <w:rPr>
          <w:rFonts w:hint="default" w:ascii="Times New Roman" w:hAnsi="Times New Roman" w:cs="Times New Roman"/>
          <w:highlight w:val="none"/>
          <w:lang w:eastAsia="zh-CN"/>
        </w:rPr>
        <w:t>（</w:t>
      </w:r>
      <w:r>
        <w:rPr>
          <w:rFonts w:hint="default" w:ascii="Times New Roman" w:hAnsi="Times New Roman" w:cs="Times New Roman"/>
          <w:highlight w:val="none"/>
        </w:rPr>
        <w:t>2021.04</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953CD1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16</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《中华人民共和国长江保护法》</w:t>
      </w:r>
      <w:r>
        <w:rPr>
          <w:rFonts w:hint="default" w:ascii="Times New Roman" w:hAnsi="Times New Roman" w:cs="Times New Roman"/>
          <w:highlight w:val="none"/>
          <w:lang w:eastAsia="zh-CN"/>
        </w:rPr>
        <w:t>（</w:t>
      </w:r>
      <w:r>
        <w:rPr>
          <w:rFonts w:hint="default" w:ascii="Times New Roman" w:hAnsi="Times New Roman" w:cs="Times New Roman"/>
          <w:highlight w:val="none"/>
        </w:rPr>
        <w:t>2020.12</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AC69433">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17</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《中华人民共和国湿地保护法》</w:t>
      </w:r>
      <w:r>
        <w:rPr>
          <w:rFonts w:hint="default" w:ascii="Times New Roman" w:hAnsi="Times New Roman" w:cs="Times New Roman"/>
          <w:highlight w:val="none"/>
          <w:lang w:eastAsia="zh-CN"/>
        </w:rPr>
        <w:t>（</w:t>
      </w:r>
      <w:r>
        <w:rPr>
          <w:rFonts w:hint="default" w:ascii="Times New Roman" w:hAnsi="Times New Roman" w:cs="Times New Roman"/>
          <w:highlight w:val="none"/>
        </w:rPr>
        <w:t>2022.06</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3532A045">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18</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《中华人民共和国水生野生动物保护实施条例》</w:t>
      </w:r>
      <w:r>
        <w:rPr>
          <w:rFonts w:hint="default" w:ascii="Times New Roman" w:hAnsi="Times New Roman" w:cs="Times New Roman"/>
          <w:highlight w:val="none"/>
          <w:lang w:eastAsia="zh-CN"/>
        </w:rPr>
        <w:t>（</w:t>
      </w:r>
      <w:r>
        <w:rPr>
          <w:rFonts w:hint="default" w:ascii="Times New Roman" w:hAnsi="Times New Roman" w:cs="Times New Roman"/>
          <w:highlight w:val="none"/>
        </w:rPr>
        <w:t>2013.12</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0384388E">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19</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《中华人民共和国陆生野生动物保护实施条例》</w:t>
      </w:r>
      <w:r>
        <w:rPr>
          <w:rFonts w:hint="default" w:ascii="Times New Roman" w:hAnsi="Times New Roman" w:cs="Times New Roman"/>
          <w:highlight w:val="none"/>
          <w:lang w:eastAsia="zh-CN"/>
        </w:rPr>
        <w:t>（</w:t>
      </w:r>
      <w:r>
        <w:rPr>
          <w:rFonts w:hint="default" w:ascii="Times New Roman" w:hAnsi="Times New Roman" w:cs="Times New Roman"/>
          <w:highlight w:val="none"/>
        </w:rPr>
        <w:t>2016.02</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D9DEE2B">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20</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《中华人民共和国野生植物保护条例》</w:t>
      </w:r>
      <w:r>
        <w:rPr>
          <w:rFonts w:hint="default" w:ascii="Times New Roman" w:hAnsi="Times New Roman" w:cs="Times New Roman"/>
          <w:highlight w:val="none"/>
          <w:lang w:eastAsia="zh-CN"/>
        </w:rPr>
        <w:t>（</w:t>
      </w:r>
      <w:r>
        <w:rPr>
          <w:rFonts w:hint="default" w:ascii="Times New Roman" w:hAnsi="Times New Roman" w:cs="Times New Roman"/>
          <w:highlight w:val="none"/>
        </w:rPr>
        <w:t>2017.10修订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28E48A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21</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《中华人民共和国河道管理条例》</w:t>
      </w:r>
      <w:r>
        <w:rPr>
          <w:rFonts w:hint="default" w:ascii="Times New Roman" w:hAnsi="Times New Roman" w:cs="Times New Roman"/>
          <w:highlight w:val="none"/>
          <w:lang w:eastAsia="zh-CN"/>
        </w:rPr>
        <w:t>（</w:t>
      </w:r>
      <w:r>
        <w:rPr>
          <w:rFonts w:hint="default" w:ascii="Times New Roman" w:hAnsi="Times New Roman" w:cs="Times New Roman"/>
          <w:highlight w:val="none"/>
        </w:rPr>
        <w:t>2018.03修订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6DE75F72">
      <w:pPr>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rPr>
        <w:t>22</w:t>
      </w:r>
      <w:r>
        <w:rPr>
          <w:rFonts w:hint="default" w:ascii="Times New Roman" w:hAnsi="Times New Roman" w:cs="Times New Roman"/>
          <w:highlight w:val="none"/>
          <w:lang w:eastAsia="zh-CN"/>
        </w:rPr>
        <w:t>）</w:t>
      </w:r>
      <w:r>
        <w:rPr>
          <w:rFonts w:hint="default" w:ascii="Times New Roman" w:hAnsi="Times New Roman" w:cs="Times New Roman"/>
          <w:highlight w:val="none"/>
        </w:rPr>
        <w:t>《规划环境影响评价条例》</w:t>
      </w:r>
      <w:r>
        <w:rPr>
          <w:rFonts w:hint="default" w:ascii="Times New Roman" w:hAnsi="Times New Roman" w:cs="Times New Roman"/>
          <w:highlight w:val="none"/>
          <w:lang w:eastAsia="zh-CN"/>
        </w:rPr>
        <w:t>（</w:t>
      </w:r>
      <w:r>
        <w:rPr>
          <w:rFonts w:hint="default" w:ascii="Times New Roman" w:hAnsi="Times New Roman" w:cs="Times New Roman"/>
          <w:highlight w:val="none"/>
        </w:rPr>
        <w:t>2009.08</w:t>
      </w:r>
      <w:r>
        <w:rPr>
          <w:rFonts w:hint="default" w:ascii="Times New Roman" w:hAnsi="Times New Roman" w:cs="Times New Roman"/>
          <w:highlight w:val="none"/>
          <w:lang w:eastAsia="zh-CN"/>
        </w:rPr>
        <w:t>）；</w:t>
      </w:r>
    </w:p>
    <w:p w14:paraId="4E567FE0">
      <w:pPr>
        <w:bidi w:val="0"/>
        <w:rPr>
          <w:rFonts w:hint="default" w:ascii="Times New Roman" w:hAnsi="Times New Roman" w:cs="Times New Roman" w:eastAsiaTheme="minorEastAsia"/>
          <w:highlight w:val="none"/>
          <w:lang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23）</w:t>
      </w:r>
      <w:r>
        <w:rPr>
          <w:rFonts w:hint="default" w:ascii="Times New Roman" w:hAnsi="Times New Roman" w:cs="Times New Roman"/>
          <w:highlight w:val="none"/>
        </w:rPr>
        <w:t>《环境影响评价公众参与办法》（生态环境部令部令第4号）</w:t>
      </w:r>
      <w:r>
        <w:rPr>
          <w:rFonts w:hint="default" w:ascii="Times New Roman" w:hAnsi="Times New Roman" w:cs="Times New Roman"/>
          <w:highlight w:val="none"/>
          <w:lang w:eastAsia="zh-CN"/>
        </w:rPr>
        <w:t>；</w:t>
      </w:r>
    </w:p>
    <w:p w14:paraId="32CA2050">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24）</w:t>
      </w:r>
      <w:r>
        <w:rPr>
          <w:rFonts w:hint="default" w:ascii="Times New Roman" w:hAnsi="Times New Roman" w:eastAsia="宋体" w:cs="Times New Roman"/>
          <w:color w:val="000000"/>
          <w:kern w:val="0"/>
          <w:sz w:val="24"/>
          <w:szCs w:val="24"/>
          <w:highlight w:val="none"/>
          <w:lang w:val="en-US" w:eastAsia="zh-CN" w:bidi="ar"/>
        </w:rPr>
        <w:t>《基本农田保护条例》，2011年1月8日；</w:t>
      </w:r>
    </w:p>
    <w:p w14:paraId="1A650453">
      <w:pPr>
        <w:bidi w:val="0"/>
        <w:rPr>
          <w:rFonts w:hint="default" w:ascii="Times New Roman" w:hAnsi="Times New Roman" w:cs="Times New Roman"/>
          <w:szCs w:val="24"/>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25）《中华人民共和国防汛条例》，2011年1月8日</w:t>
      </w:r>
      <w:r>
        <w:rPr>
          <w:rFonts w:hint="default" w:ascii="Times New Roman" w:hAnsi="Times New Roman" w:cs="Times New Roman"/>
          <w:highlight w:val="none"/>
        </w:rPr>
        <w:t>。</w:t>
      </w:r>
    </w:p>
    <w:p w14:paraId="2E9FF957">
      <w:pPr>
        <w:pStyle w:val="4"/>
        <w:bidi w:val="0"/>
        <w:rPr>
          <w:rFonts w:hint="default"/>
          <w:highlight w:val="none"/>
        </w:rPr>
      </w:pPr>
      <w:bookmarkStart w:id="7" w:name="bookmark6"/>
      <w:bookmarkEnd w:id="7"/>
      <w:r>
        <w:rPr>
          <w:rFonts w:hint="default"/>
          <w:highlight w:val="none"/>
        </w:rPr>
        <w:t>部门规章与规范性文件</w:t>
      </w:r>
    </w:p>
    <w:p w14:paraId="144FD777">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w:t>
      </w:r>
      <w:r>
        <w:rPr>
          <w:rFonts w:hint="default" w:ascii="Times New Roman" w:hAnsi="Times New Roman" w:cs="Times New Roman"/>
          <w:highlight w:val="none"/>
          <w:lang w:eastAsia="zh-CN"/>
        </w:rPr>
        <w:t>）</w:t>
      </w:r>
      <w:r>
        <w:rPr>
          <w:rFonts w:hint="default" w:ascii="Times New Roman" w:hAnsi="Times New Roman" w:cs="Times New Roman"/>
          <w:highlight w:val="none"/>
        </w:rPr>
        <w:t>《森林公园管理办法》</w:t>
      </w:r>
      <w:r>
        <w:rPr>
          <w:rFonts w:hint="default" w:ascii="Times New Roman" w:hAnsi="Times New Roman" w:cs="Times New Roman"/>
          <w:highlight w:val="none"/>
          <w:lang w:eastAsia="zh-CN"/>
        </w:rPr>
        <w:t>（</w:t>
      </w:r>
      <w:r>
        <w:rPr>
          <w:rFonts w:hint="default" w:ascii="Times New Roman" w:hAnsi="Times New Roman" w:cs="Times New Roman"/>
          <w:highlight w:val="none"/>
        </w:rPr>
        <w:t>2016.9修订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6DE0D0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w:t>
      </w:r>
      <w:r>
        <w:rPr>
          <w:rFonts w:hint="default" w:ascii="Times New Roman" w:hAnsi="Times New Roman" w:cs="Times New Roman"/>
          <w:highlight w:val="none"/>
          <w:lang w:eastAsia="zh-CN"/>
        </w:rPr>
        <w:t>）</w:t>
      </w:r>
      <w:r>
        <w:rPr>
          <w:rFonts w:hint="default" w:ascii="Times New Roman" w:hAnsi="Times New Roman" w:cs="Times New Roman"/>
          <w:highlight w:val="none"/>
        </w:rPr>
        <w:t>《国家重点保护野生动物名录》</w:t>
      </w:r>
      <w:r>
        <w:rPr>
          <w:rFonts w:hint="default" w:ascii="Times New Roman" w:hAnsi="Times New Roman" w:cs="Times New Roman"/>
          <w:highlight w:val="none"/>
          <w:lang w:eastAsia="zh-CN"/>
        </w:rPr>
        <w:t>（</w:t>
      </w:r>
      <w:r>
        <w:rPr>
          <w:rFonts w:hint="default" w:ascii="Times New Roman" w:hAnsi="Times New Roman" w:cs="Times New Roman"/>
          <w:highlight w:val="none"/>
        </w:rPr>
        <w:t>2021.2</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72DED0F">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3</w:t>
      </w:r>
      <w:r>
        <w:rPr>
          <w:rFonts w:hint="default" w:ascii="Times New Roman" w:hAnsi="Times New Roman" w:cs="Times New Roman"/>
          <w:highlight w:val="none"/>
          <w:lang w:eastAsia="zh-CN"/>
        </w:rPr>
        <w:t>）</w:t>
      </w:r>
      <w:r>
        <w:rPr>
          <w:rFonts w:hint="default" w:ascii="Times New Roman" w:hAnsi="Times New Roman" w:cs="Times New Roman"/>
          <w:highlight w:val="none"/>
        </w:rPr>
        <w:t>《国家重点保护野生植物名录》</w:t>
      </w:r>
      <w:r>
        <w:rPr>
          <w:rFonts w:hint="default" w:ascii="Times New Roman" w:hAnsi="Times New Roman" w:cs="Times New Roman"/>
          <w:highlight w:val="none"/>
          <w:lang w:eastAsia="zh-CN"/>
        </w:rPr>
        <w:t>（</w:t>
      </w:r>
      <w:r>
        <w:rPr>
          <w:rFonts w:hint="default" w:ascii="Times New Roman" w:hAnsi="Times New Roman" w:cs="Times New Roman"/>
          <w:highlight w:val="none"/>
        </w:rPr>
        <w:t>2021.9</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08610394">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4</w:t>
      </w:r>
      <w:r>
        <w:rPr>
          <w:rFonts w:hint="default" w:ascii="Times New Roman" w:hAnsi="Times New Roman" w:cs="Times New Roman"/>
          <w:highlight w:val="none"/>
          <w:lang w:eastAsia="zh-CN"/>
        </w:rPr>
        <w:t>）</w:t>
      </w:r>
      <w:r>
        <w:rPr>
          <w:rFonts w:hint="default" w:ascii="Times New Roman" w:hAnsi="Times New Roman" w:cs="Times New Roman"/>
          <w:highlight w:val="none"/>
        </w:rPr>
        <w:t>《水生生物增殖放流管理规定》</w:t>
      </w:r>
      <w:r>
        <w:rPr>
          <w:rFonts w:hint="default" w:ascii="Times New Roman" w:hAnsi="Times New Roman" w:cs="Times New Roman"/>
          <w:highlight w:val="none"/>
          <w:lang w:eastAsia="zh-CN"/>
        </w:rPr>
        <w:t>（</w:t>
      </w:r>
      <w:r>
        <w:rPr>
          <w:rFonts w:hint="default" w:ascii="Times New Roman" w:hAnsi="Times New Roman" w:cs="Times New Roman"/>
          <w:highlight w:val="none"/>
        </w:rPr>
        <w:t>农业部令第20号，2009年5月</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0513339">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5</w:t>
      </w:r>
      <w:r>
        <w:rPr>
          <w:rFonts w:hint="default" w:ascii="Times New Roman" w:hAnsi="Times New Roman" w:cs="Times New Roman"/>
          <w:highlight w:val="none"/>
          <w:lang w:eastAsia="zh-CN"/>
        </w:rPr>
        <w:t>）</w:t>
      </w:r>
      <w:r>
        <w:rPr>
          <w:rFonts w:hint="default" w:ascii="Times New Roman" w:hAnsi="Times New Roman" w:cs="Times New Roman"/>
          <w:highlight w:val="none"/>
        </w:rPr>
        <w:t>《全国主体功能区规划》</w:t>
      </w:r>
      <w:r>
        <w:rPr>
          <w:rFonts w:hint="default" w:ascii="Times New Roman" w:hAnsi="Times New Roman" w:cs="Times New Roman"/>
          <w:highlight w:val="none"/>
          <w:lang w:eastAsia="zh-CN"/>
        </w:rPr>
        <w:t>（</w:t>
      </w:r>
      <w:r>
        <w:rPr>
          <w:rFonts w:hint="default" w:ascii="Times New Roman" w:hAnsi="Times New Roman" w:cs="Times New Roman"/>
          <w:highlight w:val="none"/>
        </w:rPr>
        <w:t>国发〔2010〕46号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29F5910">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6</w:t>
      </w:r>
      <w:r>
        <w:rPr>
          <w:rFonts w:hint="default" w:ascii="Times New Roman" w:hAnsi="Times New Roman" w:cs="Times New Roman"/>
          <w:highlight w:val="none"/>
          <w:lang w:eastAsia="zh-CN"/>
        </w:rPr>
        <w:t>）</w:t>
      </w:r>
      <w:r>
        <w:rPr>
          <w:rFonts w:hint="default" w:ascii="Times New Roman" w:hAnsi="Times New Roman" w:cs="Times New Roman"/>
          <w:highlight w:val="none"/>
        </w:rPr>
        <w:t>《全国生态功能区划</w:t>
      </w:r>
      <w:r>
        <w:rPr>
          <w:rFonts w:hint="default" w:ascii="Times New Roman" w:hAnsi="Times New Roman" w:cs="Times New Roman"/>
          <w:highlight w:val="none"/>
          <w:lang w:eastAsia="zh-CN"/>
        </w:rPr>
        <w:t>（</w:t>
      </w:r>
      <w:r>
        <w:rPr>
          <w:rFonts w:hint="default" w:ascii="Times New Roman" w:hAnsi="Times New Roman" w:cs="Times New Roman"/>
          <w:highlight w:val="none"/>
        </w:rPr>
        <w:t>修编版</w:t>
      </w:r>
      <w:r>
        <w:rPr>
          <w:rFonts w:hint="default" w:ascii="Times New Roman" w:hAnsi="Times New Roman" w:cs="Times New Roman"/>
          <w:highlight w:val="none"/>
          <w:lang w:eastAsia="zh-CN"/>
        </w:rPr>
        <w:t>）</w:t>
      </w:r>
      <w:r>
        <w:rPr>
          <w:rFonts w:hint="default" w:ascii="Times New Roman" w:hAnsi="Times New Roman" w:cs="Times New Roman"/>
          <w:highlight w:val="none"/>
        </w:rPr>
        <w:t>》</w:t>
      </w:r>
      <w:r>
        <w:rPr>
          <w:rFonts w:hint="default" w:ascii="Times New Roman" w:hAnsi="Times New Roman" w:cs="Times New Roman"/>
          <w:highlight w:val="none"/>
          <w:lang w:eastAsia="zh-CN"/>
        </w:rPr>
        <w:t>（</w:t>
      </w:r>
      <w:r>
        <w:rPr>
          <w:rFonts w:hint="default" w:ascii="Times New Roman" w:hAnsi="Times New Roman" w:cs="Times New Roman"/>
          <w:highlight w:val="none"/>
        </w:rPr>
        <w:t>2015年</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83E34E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7</w:t>
      </w:r>
      <w:r>
        <w:rPr>
          <w:rFonts w:hint="default" w:ascii="Times New Roman" w:hAnsi="Times New Roman" w:cs="Times New Roman"/>
          <w:highlight w:val="none"/>
          <w:lang w:eastAsia="zh-CN"/>
        </w:rPr>
        <w:t>）</w:t>
      </w:r>
      <w:r>
        <w:rPr>
          <w:rFonts w:hint="default" w:ascii="Times New Roman" w:hAnsi="Times New Roman" w:cs="Times New Roman"/>
          <w:highlight w:val="none"/>
        </w:rPr>
        <w:t>《长江经济带生态环境保护规划》</w:t>
      </w:r>
      <w:r>
        <w:rPr>
          <w:rFonts w:hint="default" w:ascii="Times New Roman" w:hAnsi="Times New Roman" w:cs="Times New Roman"/>
          <w:highlight w:val="none"/>
          <w:lang w:eastAsia="zh-CN"/>
        </w:rPr>
        <w:t>（</w:t>
      </w:r>
      <w:r>
        <w:rPr>
          <w:rFonts w:hint="default" w:ascii="Times New Roman" w:hAnsi="Times New Roman" w:cs="Times New Roman"/>
          <w:highlight w:val="none"/>
        </w:rPr>
        <w:t>环规财〔2017〕14号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32A478BC">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8</w:t>
      </w:r>
      <w:r>
        <w:rPr>
          <w:rFonts w:hint="default" w:ascii="Times New Roman" w:hAnsi="Times New Roman" w:cs="Times New Roman"/>
          <w:highlight w:val="none"/>
          <w:lang w:eastAsia="zh-CN"/>
        </w:rPr>
        <w:t>）</w:t>
      </w:r>
      <w:r>
        <w:rPr>
          <w:rFonts w:hint="default" w:ascii="Times New Roman" w:hAnsi="Times New Roman" w:cs="Times New Roman"/>
          <w:highlight w:val="none"/>
        </w:rPr>
        <w:t>《关于发布〈中国生物多样性保护优先区域范围〉的公告》</w:t>
      </w:r>
      <w:r>
        <w:rPr>
          <w:rFonts w:hint="default" w:ascii="Times New Roman" w:hAnsi="Times New Roman" w:cs="Times New Roman"/>
          <w:highlight w:val="none"/>
          <w:lang w:eastAsia="zh-CN"/>
        </w:rPr>
        <w:t>（</w:t>
      </w:r>
      <w:r>
        <w:rPr>
          <w:rFonts w:hint="default" w:ascii="Times New Roman" w:hAnsi="Times New Roman" w:cs="Times New Roman"/>
          <w:highlight w:val="none"/>
        </w:rPr>
        <w:t>环保部公告2015 年第94号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0E9040EF">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9</w:t>
      </w:r>
      <w:r>
        <w:rPr>
          <w:rFonts w:hint="default" w:ascii="Times New Roman" w:hAnsi="Times New Roman" w:cs="Times New Roman"/>
          <w:highlight w:val="none"/>
          <w:lang w:eastAsia="zh-CN"/>
        </w:rPr>
        <w:t>）</w:t>
      </w:r>
      <w:r>
        <w:rPr>
          <w:rFonts w:hint="default" w:ascii="Times New Roman" w:hAnsi="Times New Roman" w:cs="Times New Roman"/>
          <w:highlight w:val="none"/>
        </w:rPr>
        <w:t>《水利部 国家发展改革委关于印发“十四五”用水总量和强度双控目标的通 知》</w:t>
      </w:r>
      <w:r>
        <w:rPr>
          <w:rFonts w:hint="default" w:ascii="Times New Roman" w:hAnsi="Times New Roman" w:cs="Times New Roman"/>
          <w:highlight w:val="none"/>
          <w:lang w:eastAsia="zh-CN"/>
        </w:rPr>
        <w:t>（</w:t>
      </w:r>
      <w:r>
        <w:rPr>
          <w:rFonts w:hint="default" w:ascii="Times New Roman" w:hAnsi="Times New Roman" w:cs="Times New Roman"/>
          <w:highlight w:val="none"/>
        </w:rPr>
        <w:t>水节约〔2022〕113号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BB945D7">
      <w:pPr>
        <w:bidi w:val="0"/>
        <w:rPr>
          <w:rFonts w:hint="default" w:ascii="Times New Roman" w:hAnsi="Times New Roman" w:cs="Times New Roman"/>
          <w:highlight w:val="none"/>
        </w:rPr>
      </w:pPr>
      <w:bookmarkStart w:id="8" w:name="bookmark197"/>
      <w:bookmarkEnd w:id="8"/>
      <w:r>
        <w:rPr>
          <w:rFonts w:hint="default" w:ascii="Times New Roman" w:hAnsi="Times New Roman" w:cs="Times New Roman"/>
          <w:highlight w:val="none"/>
          <w:lang w:eastAsia="zh-CN"/>
        </w:rPr>
        <w:t>（</w:t>
      </w:r>
      <w:r>
        <w:rPr>
          <w:rFonts w:hint="default" w:ascii="Times New Roman" w:hAnsi="Times New Roman" w:cs="Times New Roman"/>
          <w:highlight w:val="none"/>
        </w:rPr>
        <w:t>11</w:t>
      </w:r>
      <w:r>
        <w:rPr>
          <w:rFonts w:hint="default" w:ascii="Times New Roman" w:hAnsi="Times New Roman" w:cs="Times New Roman"/>
          <w:highlight w:val="none"/>
          <w:lang w:eastAsia="zh-CN"/>
        </w:rPr>
        <w:t>）</w:t>
      </w:r>
      <w:r>
        <w:rPr>
          <w:rFonts w:hint="default" w:ascii="Times New Roman" w:hAnsi="Times New Roman" w:cs="Times New Roman"/>
          <w:highlight w:val="none"/>
        </w:rPr>
        <w:t>《国务院关于全国重要江河湖泊水功能区划</w:t>
      </w:r>
      <w:r>
        <w:rPr>
          <w:rFonts w:hint="default" w:ascii="Times New Roman" w:hAnsi="Times New Roman" w:cs="Times New Roman"/>
          <w:highlight w:val="none"/>
          <w:lang w:eastAsia="zh-CN"/>
        </w:rPr>
        <w:t>（</w:t>
      </w:r>
      <w:r>
        <w:rPr>
          <w:rFonts w:hint="default" w:ascii="Times New Roman" w:hAnsi="Times New Roman" w:cs="Times New Roman"/>
          <w:highlight w:val="none"/>
        </w:rPr>
        <w:t>2011-2030年</w:t>
      </w:r>
      <w:r>
        <w:rPr>
          <w:rFonts w:hint="default" w:ascii="Times New Roman" w:hAnsi="Times New Roman" w:cs="Times New Roman"/>
          <w:highlight w:val="none"/>
          <w:lang w:eastAsia="zh-CN"/>
        </w:rPr>
        <w:t>）</w:t>
      </w:r>
      <w:r>
        <w:rPr>
          <w:rFonts w:hint="default" w:ascii="Times New Roman" w:hAnsi="Times New Roman" w:cs="Times New Roman"/>
          <w:highlight w:val="none"/>
        </w:rPr>
        <w:t>的批复》</w:t>
      </w:r>
      <w:r>
        <w:rPr>
          <w:rFonts w:hint="default" w:ascii="Times New Roman" w:hAnsi="Times New Roman" w:cs="Times New Roman"/>
          <w:highlight w:val="none"/>
          <w:lang w:eastAsia="zh-CN"/>
        </w:rPr>
        <w:t>（</w:t>
      </w:r>
      <w:r>
        <w:rPr>
          <w:rFonts w:hint="default" w:ascii="Times New Roman" w:hAnsi="Times New Roman" w:cs="Times New Roman"/>
          <w:highlight w:val="none"/>
        </w:rPr>
        <w:t>国函 〔2011〕167号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6E7E33C">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12</w:t>
      </w:r>
      <w:r>
        <w:rPr>
          <w:rFonts w:hint="default" w:ascii="Times New Roman" w:hAnsi="Times New Roman" w:cs="Times New Roman"/>
          <w:highlight w:val="none"/>
          <w:lang w:eastAsia="zh-CN"/>
        </w:rPr>
        <w:t>）</w:t>
      </w:r>
      <w:r>
        <w:rPr>
          <w:rFonts w:hint="default" w:ascii="Times New Roman" w:hAnsi="Times New Roman" w:cs="Times New Roman"/>
          <w:highlight w:val="none"/>
        </w:rPr>
        <w:t>《关于深化落实水电开发生态环境保护措施的通知》</w:t>
      </w:r>
      <w:r>
        <w:rPr>
          <w:rFonts w:hint="default" w:ascii="Times New Roman" w:hAnsi="Times New Roman" w:cs="Times New Roman"/>
          <w:highlight w:val="none"/>
          <w:lang w:eastAsia="zh-CN"/>
        </w:rPr>
        <w:t>（</w:t>
      </w:r>
      <w:r>
        <w:rPr>
          <w:rFonts w:hint="default" w:ascii="Times New Roman" w:hAnsi="Times New Roman" w:cs="Times New Roman"/>
          <w:highlight w:val="none"/>
        </w:rPr>
        <w:t>环发〔2014〕65号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5AC34E7">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13</w:t>
      </w:r>
      <w:r>
        <w:rPr>
          <w:rFonts w:hint="default" w:ascii="Times New Roman" w:hAnsi="Times New Roman" w:cs="Times New Roman"/>
          <w:highlight w:val="none"/>
          <w:lang w:eastAsia="zh-CN"/>
        </w:rPr>
        <w:t>）</w:t>
      </w:r>
      <w:r>
        <w:rPr>
          <w:rFonts w:hint="default" w:ascii="Times New Roman" w:hAnsi="Times New Roman" w:cs="Times New Roman"/>
          <w:highlight w:val="none"/>
        </w:rPr>
        <w:t>《关于进一步加强水利规划环境影响评价工作的通知》</w:t>
      </w:r>
      <w:r>
        <w:rPr>
          <w:rFonts w:hint="default" w:ascii="Times New Roman" w:hAnsi="Times New Roman" w:cs="Times New Roman"/>
          <w:highlight w:val="none"/>
          <w:lang w:eastAsia="zh-CN"/>
        </w:rPr>
        <w:t>（</w:t>
      </w:r>
      <w:r>
        <w:rPr>
          <w:rFonts w:hint="default" w:ascii="Times New Roman" w:hAnsi="Times New Roman" w:cs="Times New Roman"/>
          <w:highlight w:val="none"/>
        </w:rPr>
        <w:t>环发〔2014〕43 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F2840AB">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14</w:t>
      </w:r>
      <w:r>
        <w:rPr>
          <w:rFonts w:hint="default" w:ascii="Times New Roman" w:hAnsi="Times New Roman" w:cs="Times New Roman"/>
          <w:highlight w:val="none"/>
          <w:lang w:eastAsia="zh-CN"/>
        </w:rPr>
        <w:t>）</w:t>
      </w:r>
      <w:r>
        <w:rPr>
          <w:rFonts w:hint="default" w:ascii="Times New Roman" w:hAnsi="Times New Roman" w:cs="Times New Roman"/>
          <w:highlight w:val="none"/>
        </w:rPr>
        <w:t>《关于规划环境影响评价加强空间管制、问题管控和环境准入的指导意见</w:t>
      </w:r>
      <w:r>
        <w:rPr>
          <w:rFonts w:hint="default" w:ascii="Times New Roman" w:hAnsi="Times New Roman" w:cs="Times New Roman"/>
          <w:highlight w:val="none"/>
          <w:lang w:eastAsia="zh-CN"/>
        </w:rPr>
        <w:t>（</w:t>
      </w:r>
      <w:r>
        <w:rPr>
          <w:rFonts w:hint="default" w:ascii="Times New Roman" w:hAnsi="Times New Roman" w:cs="Times New Roman"/>
          <w:highlight w:val="none"/>
        </w:rPr>
        <w:t>试行</w:t>
      </w:r>
      <w:r>
        <w:rPr>
          <w:rFonts w:hint="default" w:ascii="Times New Roman" w:hAnsi="Times New Roman" w:cs="Times New Roman"/>
          <w:highlight w:val="none"/>
          <w:lang w:eastAsia="zh-CN"/>
        </w:rPr>
        <w:t>）</w:t>
      </w:r>
      <w:r>
        <w:rPr>
          <w:rFonts w:hint="default" w:ascii="Times New Roman" w:hAnsi="Times New Roman" w:cs="Times New Roman"/>
          <w:highlight w:val="none"/>
        </w:rPr>
        <w:t>》</w:t>
      </w:r>
      <w:r>
        <w:rPr>
          <w:rFonts w:hint="default" w:ascii="Times New Roman" w:hAnsi="Times New Roman" w:cs="Times New Roman"/>
          <w:highlight w:val="none"/>
          <w:lang w:eastAsia="zh-CN"/>
        </w:rPr>
        <w:t>（</w:t>
      </w:r>
      <w:r>
        <w:rPr>
          <w:rFonts w:hint="default" w:ascii="Times New Roman" w:hAnsi="Times New Roman" w:cs="Times New Roman"/>
          <w:highlight w:val="none"/>
        </w:rPr>
        <w:t>环办环评〔2016〕14号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1BCE518">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15</w:t>
      </w:r>
      <w:r>
        <w:rPr>
          <w:rFonts w:hint="default" w:ascii="Times New Roman" w:hAnsi="Times New Roman" w:cs="Times New Roman"/>
          <w:highlight w:val="none"/>
          <w:lang w:eastAsia="zh-CN"/>
        </w:rPr>
        <w:t>）</w:t>
      </w:r>
      <w:r>
        <w:rPr>
          <w:rFonts w:hint="default" w:ascii="Times New Roman" w:hAnsi="Times New Roman" w:cs="Times New Roman"/>
          <w:highlight w:val="none"/>
        </w:rPr>
        <w:t>《关于做好生物多样性保护优先区域有关工作的通知》</w:t>
      </w:r>
      <w:r>
        <w:rPr>
          <w:rFonts w:hint="default" w:ascii="Times New Roman" w:hAnsi="Times New Roman" w:cs="Times New Roman"/>
          <w:highlight w:val="none"/>
          <w:lang w:eastAsia="zh-CN"/>
        </w:rPr>
        <w:t>（</w:t>
      </w:r>
      <w:r>
        <w:rPr>
          <w:rFonts w:hint="default" w:ascii="Times New Roman" w:hAnsi="Times New Roman" w:cs="Times New Roman"/>
          <w:highlight w:val="none"/>
        </w:rPr>
        <w:t>环发〔2015〕177号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A4805A5">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16</w:t>
      </w:r>
      <w:r>
        <w:rPr>
          <w:rFonts w:hint="default" w:ascii="Times New Roman" w:hAnsi="Times New Roman" w:cs="Times New Roman"/>
          <w:highlight w:val="none"/>
          <w:lang w:eastAsia="zh-CN"/>
        </w:rPr>
        <w:t>）</w:t>
      </w:r>
      <w:r>
        <w:rPr>
          <w:rFonts w:hint="default" w:ascii="Times New Roman" w:hAnsi="Times New Roman" w:cs="Times New Roman"/>
          <w:highlight w:val="none"/>
        </w:rPr>
        <w:t>《关于加强规划环境影响评价与建设项目环境影响评价联动工作的意见》</w:t>
      </w:r>
      <w:r>
        <w:rPr>
          <w:rFonts w:hint="default" w:ascii="Times New Roman" w:hAnsi="Times New Roman" w:cs="Times New Roman"/>
          <w:highlight w:val="none"/>
          <w:lang w:eastAsia="zh-CN"/>
        </w:rPr>
        <w:t>（</w:t>
      </w:r>
      <w:r>
        <w:rPr>
          <w:rFonts w:hint="default" w:ascii="Times New Roman" w:hAnsi="Times New Roman" w:cs="Times New Roman"/>
          <w:highlight w:val="none"/>
        </w:rPr>
        <w:t>环发〔2015〕178号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688ADF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17</w:t>
      </w:r>
      <w:r>
        <w:rPr>
          <w:rFonts w:hint="default" w:ascii="Times New Roman" w:hAnsi="Times New Roman" w:cs="Times New Roman"/>
          <w:highlight w:val="none"/>
          <w:lang w:eastAsia="zh-CN"/>
        </w:rPr>
        <w:t>）</w:t>
      </w:r>
      <w:r>
        <w:rPr>
          <w:rFonts w:hint="default" w:ascii="Times New Roman" w:hAnsi="Times New Roman" w:cs="Times New Roman"/>
          <w:highlight w:val="none"/>
        </w:rPr>
        <w:t>《关于以改善环境质量为核心加强环境影响评价管理的通知》</w:t>
      </w:r>
      <w:r>
        <w:rPr>
          <w:rFonts w:hint="default" w:ascii="Times New Roman" w:hAnsi="Times New Roman" w:cs="Times New Roman"/>
          <w:highlight w:val="none"/>
          <w:lang w:eastAsia="zh-CN"/>
        </w:rPr>
        <w:t>（</w:t>
      </w:r>
      <w:r>
        <w:rPr>
          <w:rFonts w:hint="default" w:ascii="Times New Roman" w:hAnsi="Times New Roman" w:cs="Times New Roman"/>
          <w:highlight w:val="none"/>
        </w:rPr>
        <w:t>环环评 〔2016〕150号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3D3208E8">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18</w:t>
      </w:r>
      <w:r>
        <w:rPr>
          <w:rFonts w:hint="default" w:ascii="Times New Roman" w:hAnsi="Times New Roman" w:cs="Times New Roman"/>
          <w:highlight w:val="none"/>
          <w:lang w:eastAsia="zh-CN"/>
        </w:rPr>
        <w:t>）</w:t>
      </w:r>
      <w:r>
        <w:rPr>
          <w:rFonts w:hint="default" w:ascii="Times New Roman" w:hAnsi="Times New Roman" w:cs="Times New Roman"/>
          <w:highlight w:val="none"/>
        </w:rPr>
        <w:t>《生态环境部、国家发展改革委关于印发长江保护修复攻坚战行动计划的通 知》</w:t>
      </w:r>
      <w:r>
        <w:rPr>
          <w:rFonts w:hint="default" w:ascii="Times New Roman" w:hAnsi="Times New Roman" w:cs="Times New Roman"/>
          <w:highlight w:val="none"/>
          <w:lang w:eastAsia="zh-CN"/>
        </w:rPr>
        <w:t>（</w:t>
      </w:r>
      <w:r>
        <w:rPr>
          <w:rFonts w:hint="default" w:ascii="Times New Roman" w:hAnsi="Times New Roman" w:cs="Times New Roman"/>
          <w:highlight w:val="none"/>
        </w:rPr>
        <w:t>环水体〔2018〕181号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1708FB8">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19</w:t>
      </w:r>
      <w:r>
        <w:rPr>
          <w:rFonts w:hint="default" w:ascii="Times New Roman" w:hAnsi="Times New Roman" w:cs="Times New Roman"/>
          <w:highlight w:val="none"/>
          <w:lang w:eastAsia="zh-CN"/>
        </w:rPr>
        <w:t>）</w:t>
      </w:r>
      <w:r>
        <w:rPr>
          <w:rFonts w:hint="default" w:ascii="Times New Roman" w:hAnsi="Times New Roman" w:cs="Times New Roman"/>
          <w:highlight w:val="none"/>
        </w:rPr>
        <w:t>《国务院关于印发2030年前碳达峰行动方案的通知》</w:t>
      </w:r>
      <w:r>
        <w:rPr>
          <w:rFonts w:hint="default" w:ascii="Times New Roman" w:hAnsi="Times New Roman" w:cs="Times New Roman"/>
          <w:highlight w:val="none"/>
          <w:lang w:eastAsia="zh-CN"/>
        </w:rPr>
        <w:t>（</w:t>
      </w:r>
      <w:r>
        <w:rPr>
          <w:rFonts w:hint="default" w:ascii="Times New Roman" w:hAnsi="Times New Roman" w:cs="Times New Roman"/>
          <w:highlight w:val="none"/>
        </w:rPr>
        <w:t>国发</w:t>
      </w:r>
      <w:r>
        <w:rPr>
          <w:rFonts w:hint="default" w:ascii="Times New Roman" w:hAnsi="Times New Roman" w:cs="Times New Roman"/>
          <w:highlight w:val="none"/>
          <w:lang w:eastAsia="zh-CN"/>
        </w:rPr>
        <w:t>（</w:t>
      </w:r>
      <w:r>
        <w:rPr>
          <w:rFonts w:hint="default" w:ascii="Times New Roman" w:hAnsi="Times New Roman" w:cs="Times New Roman"/>
          <w:highlight w:val="none"/>
        </w:rPr>
        <w:t>2021</w:t>
      </w:r>
      <w:r>
        <w:rPr>
          <w:rFonts w:hint="default" w:ascii="Times New Roman" w:hAnsi="Times New Roman" w:cs="Times New Roman"/>
          <w:highlight w:val="none"/>
          <w:lang w:eastAsia="zh-CN"/>
        </w:rPr>
        <w:t>）</w:t>
      </w:r>
      <w:r>
        <w:rPr>
          <w:rFonts w:hint="default" w:ascii="Times New Roman" w:hAnsi="Times New Roman" w:cs="Times New Roman"/>
          <w:highlight w:val="none"/>
        </w:rPr>
        <w:t>23号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20C3BC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20</w:t>
      </w:r>
      <w:r>
        <w:rPr>
          <w:rFonts w:hint="default" w:ascii="Times New Roman" w:hAnsi="Times New Roman" w:cs="Times New Roman"/>
          <w:highlight w:val="none"/>
          <w:lang w:eastAsia="zh-CN"/>
        </w:rPr>
        <w:t>）</w:t>
      </w:r>
      <w:r>
        <w:rPr>
          <w:rFonts w:hint="default" w:ascii="Times New Roman" w:hAnsi="Times New Roman" w:cs="Times New Roman"/>
          <w:highlight w:val="none"/>
        </w:rPr>
        <w:t>《关于进一步加强水生生物资源保护，严格环境影响评价管理的通知》</w:t>
      </w:r>
      <w:r>
        <w:rPr>
          <w:rFonts w:hint="default" w:ascii="Times New Roman" w:hAnsi="Times New Roman" w:cs="Times New Roman"/>
          <w:highlight w:val="none"/>
          <w:lang w:eastAsia="zh-CN"/>
        </w:rPr>
        <w:t>（</w:t>
      </w:r>
      <w:r>
        <w:rPr>
          <w:rFonts w:hint="default" w:ascii="Times New Roman" w:hAnsi="Times New Roman" w:cs="Times New Roman"/>
          <w:highlight w:val="none"/>
        </w:rPr>
        <w:t>环发 〔2013〕186号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38259A5C">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21</w:t>
      </w:r>
      <w:r>
        <w:rPr>
          <w:rFonts w:hint="default" w:ascii="Times New Roman" w:hAnsi="Times New Roman" w:cs="Times New Roman"/>
          <w:highlight w:val="none"/>
          <w:lang w:eastAsia="zh-CN"/>
        </w:rPr>
        <w:t>）</w:t>
      </w:r>
      <w:r>
        <w:rPr>
          <w:rFonts w:hint="default" w:ascii="Times New Roman" w:hAnsi="Times New Roman" w:cs="Times New Roman"/>
          <w:highlight w:val="none"/>
        </w:rPr>
        <w:t>《关于加强资源开发生态环境保护监管工作的意见》</w:t>
      </w:r>
      <w:r>
        <w:rPr>
          <w:rFonts w:hint="default" w:ascii="Times New Roman" w:hAnsi="Times New Roman" w:cs="Times New Roman"/>
          <w:highlight w:val="none"/>
          <w:lang w:eastAsia="zh-CN"/>
        </w:rPr>
        <w:t>（</w:t>
      </w:r>
      <w:r>
        <w:rPr>
          <w:rFonts w:hint="default" w:ascii="Times New Roman" w:hAnsi="Times New Roman" w:cs="Times New Roman"/>
          <w:highlight w:val="none"/>
        </w:rPr>
        <w:t>环发〔2004〕24号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4BDBA83">
      <w:pPr>
        <w:bidi w:val="0"/>
        <w:rPr>
          <w:rFonts w:hint="default" w:ascii="Times New Roman" w:hAnsi="Times New Roman" w:cs="Times New Roman" w:eastAsiaTheme="minorEastAsia"/>
          <w:highlight w:val="none"/>
          <w:lang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rPr>
        <w:t>22</w:t>
      </w:r>
      <w:r>
        <w:rPr>
          <w:rFonts w:hint="default" w:ascii="Times New Roman" w:hAnsi="Times New Roman" w:cs="Times New Roman"/>
          <w:highlight w:val="none"/>
          <w:lang w:eastAsia="zh-CN"/>
        </w:rPr>
        <w:t>）</w:t>
      </w:r>
      <w:r>
        <w:rPr>
          <w:rFonts w:hint="default" w:ascii="Times New Roman" w:hAnsi="Times New Roman" w:cs="Times New Roman"/>
          <w:highlight w:val="none"/>
        </w:rPr>
        <w:t>《关于实施“三线一单”生态环境分区管控的指导意见</w:t>
      </w:r>
      <w:r>
        <w:rPr>
          <w:rFonts w:hint="default" w:ascii="Times New Roman" w:hAnsi="Times New Roman" w:cs="Times New Roman"/>
          <w:highlight w:val="none"/>
          <w:lang w:eastAsia="zh-CN"/>
        </w:rPr>
        <w:t>（</w:t>
      </w:r>
      <w:r>
        <w:rPr>
          <w:rFonts w:hint="default" w:ascii="Times New Roman" w:hAnsi="Times New Roman" w:cs="Times New Roman"/>
          <w:highlight w:val="none"/>
        </w:rPr>
        <w:t>试行</w:t>
      </w:r>
      <w:r>
        <w:rPr>
          <w:rFonts w:hint="default" w:ascii="Times New Roman" w:hAnsi="Times New Roman" w:cs="Times New Roman"/>
          <w:highlight w:val="none"/>
          <w:lang w:eastAsia="zh-CN"/>
        </w:rPr>
        <w:t>）</w:t>
      </w:r>
      <w:r>
        <w:rPr>
          <w:rFonts w:hint="default" w:ascii="Times New Roman" w:hAnsi="Times New Roman" w:cs="Times New Roman"/>
          <w:highlight w:val="none"/>
        </w:rPr>
        <w:t>》</w:t>
      </w:r>
      <w:r>
        <w:rPr>
          <w:rFonts w:hint="default" w:ascii="Times New Roman" w:hAnsi="Times New Roman" w:cs="Times New Roman"/>
          <w:highlight w:val="none"/>
          <w:lang w:eastAsia="zh-CN"/>
        </w:rPr>
        <w:t>（</w:t>
      </w:r>
      <w:r>
        <w:rPr>
          <w:rFonts w:hint="default" w:ascii="Times New Roman" w:hAnsi="Times New Roman" w:cs="Times New Roman"/>
          <w:highlight w:val="none"/>
        </w:rPr>
        <w:t>环环评〔2021〕108号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94A302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23</w:t>
      </w:r>
      <w:r>
        <w:rPr>
          <w:rFonts w:hint="default" w:ascii="Times New Roman" w:hAnsi="Times New Roman" w:cs="Times New Roman"/>
          <w:highlight w:val="none"/>
          <w:lang w:eastAsia="zh-CN"/>
        </w:rPr>
        <w:t>）</w:t>
      </w:r>
      <w:r>
        <w:rPr>
          <w:rFonts w:hint="default" w:ascii="Times New Roman" w:hAnsi="Times New Roman" w:cs="Times New Roman"/>
          <w:highlight w:val="none"/>
        </w:rPr>
        <w:t>《长江流域重点水域禁捕和建立补偿制度实施方案》</w:t>
      </w:r>
      <w:r>
        <w:rPr>
          <w:rFonts w:hint="default" w:ascii="Times New Roman" w:hAnsi="Times New Roman" w:cs="Times New Roman"/>
          <w:highlight w:val="none"/>
          <w:lang w:eastAsia="zh-CN"/>
        </w:rPr>
        <w:t>（</w:t>
      </w:r>
      <w:r>
        <w:rPr>
          <w:rFonts w:hint="default" w:ascii="Times New Roman" w:hAnsi="Times New Roman" w:cs="Times New Roman"/>
          <w:highlight w:val="none"/>
        </w:rPr>
        <w:t>农长渔发〔2019〕1号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316CE037">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24</w:t>
      </w:r>
      <w:r>
        <w:rPr>
          <w:rFonts w:hint="default" w:ascii="Times New Roman" w:hAnsi="Times New Roman" w:cs="Times New Roman"/>
          <w:highlight w:val="none"/>
          <w:lang w:eastAsia="zh-CN"/>
        </w:rPr>
        <w:t>）</w:t>
      </w:r>
      <w:r>
        <w:rPr>
          <w:rFonts w:hint="default" w:ascii="Times New Roman" w:hAnsi="Times New Roman" w:cs="Times New Roman"/>
          <w:highlight w:val="none"/>
        </w:rPr>
        <w:t>《关于印发&lt;重点流域水生生物多样性保护方案&gt;的通知》</w:t>
      </w:r>
      <w:r>
        <w:rPr>
          <w:rFonts w:hint="default" w:ascii="Times New Roman" w:hAnsi="Times New Roman" w:cs="Times New Roman"/>
          <w:highlight w:val="none"/>
          <w:lang w:eastAsia="zh-CN"/>
        </w:rPr>
        <w:t>（</w:t>
      </w:r>
      <w:r>
        <w:rPr>
          <w:rFonts w:hint="default" w:ascii="Times New Roman" w:hAnsi="Times New Roman" w:cs="Times New Roman"/>
          <w:highlight w:val="none"/>
        </w:rPr>
        <w:t>环生态〔2018〕3号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6EBEC825">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25</w:t>
      </w:r>
      <w:r>
        <w:rPr>
          <w:rFonts w:hint="default" w:ascii="Times New Roman" w:hAnsi="Times New Roman" w:cs="Times New Roman"/>
          <w:highlight w:val="none"/>
          <w:lang w:eastAsia="zh-CN"/>
        </w:rPr>
        <w:t>）</w:t>
      </w:r>
      <w:r>
        <w:rPr>
          <w:rFonts w:hint="default" w:ascii="Times New Roman" w:hAnsi="Times New Roman" w:cs="Times New Roman"/>
          <w:highlight w:val="none"/>
        </w:rPr>
        <w:t xml:space="preserve">《国务院办公厅关于加强长江水生生物保护工作的意见》 </w:t>
      </w:r>
      <w:r>
        <w:rPr>
          <w:rFonts w:hint="default" w:ascii="Times New Roman" w:hAnsi="Times New Roman" w:cs="Times New Roman"/>
          <w:highlight w:val="none"/>
          <w:lang w:eastAsia="zh-CN"/>
        </w:rPr>
        <w:t>（</w:t>
      </w:r>
      <w:r>
        <w:rPr>
          <w:rFonts w:hint="default" w:ascii="Times New Roman" w:hAnsi="Times New Roman" w:cs="Times New Roman"/>
          <w:highlight w:val="none"/>
        </w:rPr>
        <w:t>国办发〔2018〕95号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9FC2035">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26</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《中华人民共和国国民经济和社会发展第十四个五年规划纲要》；</w:t>
      </w:r>
    </w:p>
    <w:p w14:paraId="151DA074">
      <w:pPr>
        <w:bidi w:val="0"/>
        <w:rPr>
          <w:rFonts w:hint="default" w:ascii="Times New Roman" w:hAnsi="Times New Roman" w:cs="Times New Roman"/>
          <w:highlight w:val="none"/>
        </w:rPr>
      </w:pPr>
      <w:bookmarkStart w:id="9" w:name="bookmark198"/>
      <w:bookmarkEnd w:id="9"/>
      <w:r>
        <w:rPr>
          <w:rFonts w:hint="default" w:ascii="Times New Roman" w:hAnsi="Times New Roman" w:cs="Times New Roman"/>
          <w:highlight w:val="none"/>
          <w:lang w:eastAsia="zh-CN"/>
        </w:rPr>
        <w:t>（</w:t>
      </w:r>
      <w:r>
        <w:rPr>
          <w:rFonts w:hint="default" w:ascii="Times New Roman" w:hAnsi="Times New Roman" w:cs="Times New Roman"/>
          <w:highlight w:val="none"/>
        </w:rPr>
        <w:t>28</w:t>
      </w:r>
      <w:r>
        <w:rPr>
          <w:rFonts w:hint="default" w:ascii="Times New Roman" w:hAnsi="Times New Roman" w:cs="Times New Roman"/>
          <w:highlight w:val="none"/>
          <w:lang w:eastAsia="zh-CN"/>
        </w:rPr>
        <w:t>）</w:t>
      </w:r>
      <w:r>
        <w:rPr>
          <w:rFonts w:hint="default" w:ascii="Times New Roman" w:hAnsi="Times New Roman" w:cs="Times New Roman"/>
          <w:highlight w:val="none"/>
        </w:rPr>
        <w:t>《四川省长江经济带发展负面清单指南（试行）》；</w:t>
      </w:r>
    </w:p>
    <w:p w14:paraId="04EA071B">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29</w:t>
      </w:r>
      <w:r>
        <w:rPr>
          <w:rFonts w:hint="default" w:ascii="Times New Roman" w:hAnsi="Times New Roman" w:cs="Times New Roman"/>
          <w:highlight w:val="none"/>
          <w:lang w:eastAsia="zh-CN"/>
        </w:rPr>
        <w:t>）</w:t>
      </w:r>
      <w:r>
        <w:rPr>
          <w:rFonts w:hint="default" w:ascii="Times New Roman" w:hAnsi="Times New Roman" w:cs="Times New Roman"/>
          <w:highlight w:val="none"/>
        </w:rPr>
        <w:t>《长江经济带战略环境评价四川省“三线一单”编制文本》（四川省生态环境厅，2019年4月）；</w:t>
      </w:r>
    </w:p>
    <w:p w14:paraId="447E351E">
      <w:pPr>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rPr>
        <w:t>30</w:t>
      </w:r>
      <w:r>
        <w:rPr>
          <w:rFonts w:hint="default" w:ascii="Times New Roman" w:hAnsi="Times New Roman" w:cs="Times New Roman"/>
          <w:highlight w:val="none"/>
          <w:lang w:eastAsia="zh-CN"/>
        </w:rPr>
        <w:t>）</w:t>
      </w:r>
      <w:r>
        <w:rPr>
          <w:rFonts w:hint="default" w:ascii="Times New Roman" w:hAnsi="Times New Roman" w:cs="Times New Roman"/>
          <w:highlight w:val="none"/>
        </w:rPr>
        <w:t>《全国生态环境保护纲要》（国发〔2000〕38号）</w:t>
      </w:r>
      <w:r>
        <w:rPr>
          <w:rFonts w:hint="default" w:ascii="Times New Roman" w:hAnsi="Times New Roman" w:cs="Times New Roman"/>
          <w:highlight w:val="none"/>
          <w:lang w:eastAsia="zh-CN"/>
        </w:rPr>
        <w:t>；</w:t>
      </w:r>
    </w:p>
    <w:p w14:paraId="7B8B133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（31）《水利部关于强化流域治理管理的指导意见》（水办〔2022〕1号）；</w:t>
      </w:r>
    </w:p>
    <w:p w14:paraId="0A583469">
      <w:pPr>
        <w:pStyle w:val="4"/>
        <w:bidi w:val="0"/>
        <w:rPr>
          <w:rFonts w:hint="default"/>
          <w:highlight w:val="none"/>
        </w:rPr>
      </w:pPr>
      <w:bookmarkStart w:id="10" w:name="bookmark7"/>
      <w:bookmarkEnd w:id="10"/>
      <w:r>
        <w:rPr>
          <w:rFonts w:hint="default"/>
          <w:highlight w:val="none"/>
        </w:rPr>
        <w:t>地方性法规、规章和地方规范性文件</w:t>
      </w:r>
    </w:p>
    <w:p w14:paraId="66C3AA79">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《四川省环境保护条例》</w:t>
      </w:r>
      <w:r>
        <w:rPr>
          <w:rFonts w:hint="default" w:ascii="Times New Roman" w:hAnsi="Times New Roman" w:cs="Times New Roman"/>
          <w:highlight w:val="none"/>
          <w:lang w:eastAsia="zh-CN"/>
        </w:rPr>
        <w:t>（</w:t>
      </w:r>
      <w:r>
        <w:rPr>
          <w:rFonts w:hint="default" w:ascii="Times New Roman" w:hAnsi="Times New Roman" w:cs="Times New Roman"/>
          <w:highlight w:val="none"/>
        </w:rPr>
        <w:t>2017.9修订</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72E67DA">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《四川省土壤污染防治条例》</w:t>
      </w:r>
      <w:r>
        <w:rPr>
          <w:rFonts w:hint="eastAsia" w:cs="Times New Roman"/>
          <w:highlight w:val="none"/>
          <w:lang w:eastAsia="zh-CN"/>
        </w:rPr>
        <w:t>（</w:t>
      </w:r>
      <w:r>
        <w:rPr>
          <w:rFonts w:hint="default" w:ascii="Times New Roman" w:hAnsi="Times New Roman" w:cs="Times New Roman"/>
          <w:highlight w:val="none"/>
        </w:rPr>
        <w:t>2023年7月1日</w:t>
      </w:r>
      <w:r>
        <w:rPr>
          <w:rFonts w:hint="eastAsia" w:cs="Times New Roman"/>
          <w:highlight w:val="none"/>
          <w:lang w:eastAsia="zh-CN"/>
        </w:rPr>
        <w:t>）</w:t>
      </w:r>
      <w:r>
        <w:rPr>
          <w:rFonts w:hint="default" w:ascii="Times New Roman" w:hAnsi="Times New Roman" w:cs="Times New Roman"/>
          <w:highlight w:val="none"/>
        </w:rPr>
        <w:t>；</w:t>
      </w:r>
    </w:p>
    <w:p w14:paraId="1E6C98FA">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《四川省森林公园管理条例》</w:t>
      </w:r>
      <w:r>
        <w:rPr>
          <w:rFonts w:hint="default" w:ascii="Times New Roman" w:hAnsi="Times New Roman" w:cs="Times New Roman"/>
          <w:highlight w:val="none"/>
          <w:lang w:eastAsia="zh-CN"/>
        </w:rPr>
        <w:t>（</w:t>
      </w:r>
      <w:r>
        <w:rPr>
          <w:rFonts w:hint="default" w:ascii="Times New Roman" w:hAnsi="Times New Roman" w:cs="Times New Roman"/>
          <w:highlight w:val="none"/>
        </w:rPr>
        <w:t>2000.11</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3AF8BEC">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《四川省野生植物保护条例》</w:t>
      </w:r>
      <w:r>
        <w:rPr>
          <w:rFonts w:hint="default" w:ascii="Times New Roman" w:hAnsi="Times New Roman" w:cs="Times New Roman"/>
          <w:highlight w:val="none"/>
          <w:lang w:eastAsia="zh-CN"/>
        </w:rPr>
        <w:t>（</w:t>
      </w:r>
      <w:r>
        <w:rPr>
          <w:rFonts w:hint="default" w:ascii="Times New Roman" w:hAnsi="Times New Roman" w:cs="Times New Roman"/>
          <w:highlight w:val="none"/>
        </w:rPr>
        <w:t>2014.11</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144BCD8">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《四川省主体功能区规划》</w:t>
      </w:r>
      <w:r>
        <w:rPr>
          <w:rFonts w:hint="default" w:ascii="Times New Roman" w:hAnsi="Times New Roman" w:cs="Times New Roman"/>
          <w:highlight w:val="none"/>
          <w:lang w:eastAsia="zh-CN"/>
        </w:rPr>
        <w:t>（</w:t>
      </w:r>
      <w:r>
        <w:rPr>
          <w:rFonts w:hint="default" w:ascii="Times New Roman" w:hAnsi="Times New Roman" w:cs="Times New Roman"/>
          <w:highlight w:val="none"/>
        </w:rPr>
        <w:t>四川省人民政府，2013年</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695D058">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《四川省生态功能区划》</w:t>
      </w:r>
      <w:r>
        <w:rPr>
          <w:rFonts w:hint="default" w:ascii="Times New Roman" w:hAnsi="Times New Roman" w:cs="Times New Roman"/>
          <w:highlight w:val="none"/>
          <w:lang w:eastAsia="zh-CN"/>
        </w:rPr>
        <w:t>（</w:t>
      </w:r>
      <w:r>
        <w:rPr>
          <w:rFonts w:hint="default" w:ascii="Times New Roman" w:hAnsi="Times New Roman" w:cs="Times New Roman"/>
          <w:highlight w:val="none"/>
        </w:rPr>
        <w:t>四川省人民政府，2006年</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D35B45C">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《四川省水功能区划》</w:t>
      </w:r>
      <w:r>
        <w:rPr>
          <w:rFonts w:hint="default" w:ascii="Times New Roman" w:hAnsi="Times New Roman" w:cs="Times New Roman"/>
          <w:highlight w:val="none"/>
          <w:lang w:eastAsia="zh-CN"/>
        </w:rPr>
        <w:t>（</w:t>
      </w:r>
      <w:r>
        <w:rPr>
          <w:rFonts w:hint="default" w:ascii="Times New Roman" w:hAnsi="Times New Roman" w:cs="Times New Roman"/>
          <w:highlight w:val="none"/>
        </w:rPr>
        <w:t>2010年</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097482C5">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《四川省人民政府关于进一步加强规划环境影响评价的意见》</w:t>
      </w:r>
      <w:r>
        <w:rPr>
          <w:rFonts w:hint="default" w:ascii="Times New Roman" w:hAnsi="Times New Roman" w:cs="Times New Roman"/>
          <w:highlight w:val="none"/>
          <w:lang w:eastAsia="zh-CN"/>
        </w:rPr>
        <w:t>（</w:t>
      </w:r>
      <w:r>
        <w:rPr>
          <w:rFonts w:hint="default" w:ascii="Times New Roman" w:hAnsi="Times New Roman" w:cs="Times New Roman"/>
          <w:highlight w:val="none"/>
        </w:rPr>
        <w:t>川府发 〔2018〕21号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D5288B2">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《四川省人民政府关于进一步加强和规范水电建设管理的意见》</w:t>
      </w:r>
      <w:r>
        <w:rPr>
          <w:rFonts w:hint="default" w:ascii="Times New Roman" w:hAnsi="Times New Roman" w:cs="Times New Roman"/>
          <w:highlight w:val="none"/>
          <w:lang w:eastAsia="zh-CN"/>
        </w:rPr>
        <w:t>（</w:t>
      </w:r>
      <w:r>
        <w:rPr>
          <w:rFonts w:hint="default" w:ascii="Times New Roman" w:hAnsi="Times New Roman" w:cs="Times New Roman"/>
          <w:highlight w:val="none"/>
        </w:rPr>
        <w:t>川府发〔2016〕47号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D3A0A6D">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《四川省国民经济和社会发展第十四个五年规划和二〇三五年远景目标纲要》</w:t>
      </w:r>
      <w:r>
        <w:rPr>
          <w:rFonts w:hint="default" w:ascii="Times New Roman" w:hAnsi="Times New Roman" w:cs="Times New Roman"/>
          <w:highlight w:val="none"/>
          <w:lang w:eastAsia="zh-CN"/>
        </w:rPr>
        <w:t>（</w:t>
      </w:r>
      <w:r>
        <w:rPr>
          <w:rFonts w:hint="default" w:ascii="Times New Roman" w:hAnsi="Times New Roman" w:cs="Times New Roman"/>
          <w:highlight w:val="none"/>
        </w:rPr>
        <w:t>2021.2</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25EE360">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《四川省人民政府关于印发四川省生态保护红线方案的通知》</w:t>
      </w:r>
      <w:r>
        <w:rPr>
          <w:rFonts w:hint="default" w:ascii="Times New Roman" w:hAnsi="Times New Roman" w:cs="Times New Roman"/>
          <w:highlight w:val="none"/>
          <w:lang w:eastAsia="zh-CN"/>
        </w:rPr>
        <w:t>（</w:t>
      </w:r>
      <w:r>
        <w:rPr>
          <w:rFonts w:hint="default" w:ascii="Times New Roman" w:hAnsi="Times New Roman" w:cs="Times New Roman"/>
          <w:highlight w:val="none"/>
        </w:rPr>
        <w:t>川府发〔2018〕24号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9F84EB0">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《四川省人民政府关于落实生态保护红线、环境质量底线、资源利用上线制定生态环境准入清单实施生态环境分区管控的通知》</w:t>
      </w:r>
      <w:r>
        <w:rPr>
          <w:rFonts w:hint="default" w:ascii="Times New Roman" w:hAnsi="Times New Roman" w:cs="Times New Roman"/>
          <w:highlight w:val="none"/>
          <w:lang w:eastAsia="zh-CN"/>
        </w:rPr>
        <w:t>（</w:t>
      </w:r>
      <w:r>
        <w:rPr>
          <w:rFonts w:hint="default" w:ascii="Times New Roman" w:hAnsi="Times New Roman" w:cs="Times New Roman"/>
          <w:highlight w:val="none"/>
        </w:rPr>
        <w:t>川府发〔2020〕9号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B1692BD">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《四川省、重庆市长江经济带发展负面清单实施细则</w:t>
      </w:r>
      <w:r>
        <w:rPr>
          <w:rFonts w:hint="default" w:ascii="Times New Roman" w:hAnsi="Times New Roman" w:cs="Times New Roman"/>
          <w:highlight w:val="none"/>
          <w:lang w:eastAsia="zh-CN"/>
        </w:rPr>
        <w:t>（</w:t>
      </w:r>
      <w:r>
        <w:rPr>
          <w:rFonts w:hint="default" w:ascii="Times New Roman" w:hAnsi="Times New Roman" w:cs="Times New Roman"/>
          <w:highlight w:val="none"/>
        </w:rPr>
        <w:t>试行，2022年版</w:t>
      </w:r>
      <w:r>
        <w:rPr>
          <w:rFonts w:hint="default" w:ascii="Times New Roman" w:hAnsi="Times New Roman" w:cs="Times New Roman"/>
          <w:highlight w:val="none"/>
          <w:lang w:eastAsia="zh-CN"/>
        </w:rPr>
        <w:t>）</w:t>
      </w:r>
      <w:r>
        <w:rPr>
          <w:rFonts w:hint="default" w:ascii="Times New Roman" w:hAnsi="Times New Roman" w:cs="Times New Roman"/>
          <w:highlight w:val="none"/>
        </w:rPr>
        <w:t>》</w:t>
      </w:r>
      <w:r>
        <w:rPr>
          <w:rFonts w:hint="default" w:ascii="Times New Roman" w:hAnsi="Times New Roman" w:cs="Times New Roman"/>
          <w:highlight w:val="none"/>
          <w:lang w:eastAsia="zh-CN"/>
        </w:rPr>
        <w:t>（</w:t>
      </w:r>
      <w:r>
        <w:rPr>
          <w:rFonts w:hint="default" w:ascii="Times New Roman" w:hAnsi="Times New Roman" w:cs="Times New Roman"/>
          <w:highlight w:val="none"/>
        </w:rPr>
        <w:t>川长江办〔2022〕17号</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6C0FA59">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《四川省新增重点保护野生动物名录》</w:t>
      </w:r>
      <w:r>
        <w:rPr>
          <w:rFonts w:hint="default" w:ascii="Times New Roman" w:hAnsi="Times New Roman" w:cs="Times New Roman"/>
          <w:highlight w:val="none"/>
          <w:lang w:eastAsia="zh-CN"/>
        </w:rPr>
        <w:t>（</w:t>
      </w:r>
      <w:r>
        <w:rPr>
          <w:rFonts w:hint="default" w:ascii="Times New Roman" w:hAnsi="Times New Roman" w:cs="Times New Roman"/>
          <w:highlight w:val="none"/>
        </w:rPr>
        <w:t>2000.9.13</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8D537DC">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《四川省重点保护野生动物名录》</w:t>
      </w:r>
      <w:r>
        <w:rPr>
          <w:rFonts w:hint="default" w:ascii="Times New Roman" w:hAnsi="Times New Roman" w:cs="Times New Roman"/>
          <w:highlight w:val="none"/>
          <w:lang w:eastAsia="zh-CN"/>
        </w:rPr>
        <w:t>（</w:t>
      </w:r>
      <w:r>
        <w:rPr>
          <w:rFonts w:hint="default" w:ascii="Times New Roman" w:hAnsi="Times New Roman" w:cs="Times New Roman"/>
          <w:highlight w:val="none"/>
        </w:rPr>
        <w:t>1990.3</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43B71C7">
      <w:pPr>
        <w:numPr>
          <w:ilvl w:val="0"/>
          <w:numId w:val="2"/>
        </w:numPr>
        <w:bidi w:val="0"/>
        <w:ind w:left="0" w:leftChars="0" w:firstLine="480" w:firstLineChars="200"/>
        <w:rPr>
          <w:rFonts w:hint="default" w:ascii="Times New Roman" w:hAnsi="Times New Roman" w:cs="Times New Roman"/>
          <w:highlight w:val="none"/>
        </w:rPr>
      </w:pPr>
      <w:bookmarkStart w:id="11" w:name="bookmark199"/>
      <w:bookmarkEnd w:id="11"/>
      <w:r>
        <w:rPr>
          <w:rFonts w:hint="default" w:ascii="Times New Roman" w:hAnsi="Times New Roman" w:cs="Times New Roman"/>
          <w:highlight w:val="none"/>
        </w:rPr>
        <w:t>关于印发《产业园区规划环评“三线一单”符合性分析技术要点</w:t>
      </w:r>
      <w:r>
        <w:rPr>
          <w:rFonts w:hint="default" w:ascii="Times New Roman" w:hAnsi="Times New Roman" w:cs="Times New Roman"/>
          <w:highlight w:val="none"/>
          <w:lang w:eastAsia="zh-CN"/>
        </w:rPr>
        <w:t>（</w:t>
      </w:r>
      <w:r>
        <w:rPr>
          <w:rFonts w:hint="default" w:ascii="Times New Roman" w:hAnsi="Times New Roman" w:cs="Times New Roman"/>
          <w:highlight w:val="none"/>
        </w:rPr>
        <w:t>试行</w:t>
      </w:r>
      <w:r>
        <w:rPr>
          <w:rFonts w:hint="default" w:ascii="Times New Roman" w:hAnsi="Times New Roman" w:cs="Times New Roman"/>
          <w:highlight w:val="none"/>
          <w:lang w:eastAsia="zh-CN"/>
        </w:rPr>
        <w:t>）</w:t>
      </w:r>
      <w:r>
        <w:rPr>
          <w:rFonts w:hint="default" w:ascii="Times New Roman" w:hAnsi="Times New Roman" w:cs="Times New Roman"/>
          <w:highlight w:val="none"/>
        </w:rPr>
        <w:t>》和 《项目环评“三线一单”符合分析技术要点</w:t>
      </w:r>
      <w:r>
        <w:rPr>
          <w:rFonts w:hint="default" w:ascii="Times New Roman" w:hAnsi="Times New Roman" w:cs="Times New Roman"/>
          <w:highlight w:val="none"/>
          <w:lang w:eastAsia="zh-CN"/>
        </w:rPr>
        <w:t>（</w:t>
      </w:r>
      <w:r>
        <w:rPr>
          <w:rFonts w:hint="default" w:ascii="Times New Roman" w:hAnsi="Times New Roman" w:cs="Times New Roman"/>
          <w:highlight w:val="none"/>
        </w:rPr>
        <w:t>试行</w:t>
      </w:r>
      <w:r>
        <w:rPr>
          <w:rFonts w:hint="default" w:ascii="Times New Roman" w:hAnsi="Times New Roman" w:cs="Times New Roman"/>
          <w:highlight w:val="none"/>
          <w:lang w:eastAsia="zh-CN"/>
        </w:rPr>
        <w:t>）</w:t>
      </w:r>
      <w:r>
        <w:rPr>
          <w:rFonts w:hint="default" w:ascii="Times New Roman" w:hAnsi="Times New Roman" w:cs="Times New Roman"/>
          <w:highlight w:val="none"/>
        </w:rPr>
        <w:t>》的通知</w:t>
      </w:r>
      <w:r>
        <w:rPr>
          <w:rFonts w:hint="default" w:ascii="Times New Roman" w:hAnsi="Times New Roman" w:cs="Times New Roman"/>
          <w:highlight w:val="none"/>
          <w:lang w:eastAsia="zh-CN"/>
        </w:rPr>
        <w:t>（</w:t>
      </w:r>
      <w:r>
        <w:rPr>
          <w:rFonts w:hint="default" w:ascii="Times New Roman" w:hAnsi="Times New Roman" w:cs="Times New Roman"/>
          <w:highlight w:val="none"/>
        </w:rPr>
        <w:t>2021.12</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4C086D3">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《四川省国土空间生态修复规划</w:t>
      </w:r>
      <w:r>
        <w:rPr>
          <w:rFonts w:hint="default" w:ascii="Times New Roman" w:hAnsi="Times New Roman" w:cs="Times New Roman"/>
          <w:highlight w:val="none"/>
          <w:lang w:eastAsia="zh-CN"/>
        </w:rPr>
        <w:t>（</w:t>
      </w:r>
      <w:r>
        <w:rPr>
          <w:rFonts w:hint="default" w:ascii="Times New Roman" w:hAnsi="Times New Roman" w:cs="Times New Roman"/>
          <w:highlight w:val="none"/>
        </w:rPr>
        <w:t>2021-2035年</w:t>
      </w:r>
      <w:r>
        <w:rPr>
          <w:rFonts w:hint="default" w:ascii="Times New Roman" w:hAnsi="Times New Roman" w:cs="Times New Roman"/>
          <w:highlight w:val="none"/>
          <w:lang w:eastAsia="zh-CN"/>
        </w:rPr>
        <w:t>）</w:t>
      </w:r>
      <w:r>
        <w:rPr>
          <w:rFonts w:hint="default" w:ascii="Times New Roman" w:hAnsi="Times New Roman" w:cs="Times New Roman"/>
          <w:highlight w:val="none"/>
        </w:rPr>
        <w:t>》</w:t>
      </w:r>
      <w:r>
        <w:rPr>
          <w:rFonts w:hint="default" w:ascii="Times New Roman" w:hAnsi="Times New Roman" w:cs="Times New Roman"/>
          <w:highlight w:val="none"/>
          <w:lang w:eastAsia="zh-CN"/>
        </w:rPr>
        <w:t>（</w:t>
      </w:r>
      <w:r>
        <w:rPr>
          <w:rFonts w:hint="default" w:ascii="Times New Roman" w:hAnsi="Times New Roman" w:cs="Times New Roman"/>
          <w:highlight w:val="none"/>
        </w:rPr>
        <w:t>2022.6</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40AA913C">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四川省“三区三线”划定成果</w:t>
      </w:r>
      <w:r>
        <w:rPr>
          <w:rFonts w:hint="default" w:ascii="Times New Roman" w:hAnsi="Times New Roman" w:cs="Times New Roman"/>
          <w:highlight w:val="none"/>
          <w:lang w:eastAsia="zh-CN"/>
        </w:rPr>
        <w:t>》（</w:t>
      </w:r>
      <w:r>
        <w:rPr>
          <w:rFonts w:hint="default" w:ascii="Times New Roman" w:hAnsi="Times New Roman" w:cs="Times New Roman"/>
          <w:highlight w:val="none"/>
        </w:rPr>
        <w:t>2022.11</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C95F37F">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《四川省“十四五”生态环境保护规划》；</w:t>
      </w:r>
    </w:p>
    <w:p w14:paraId="1E53B669">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《四川省“十四五”水安全保障规划》；</w:t>
      </w:r>
    </w:p>
    <w:p w14:paraId="3F31373E">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《四川省水资源综合规划》（2014年）；</w:t>
      </w:r>
    </w:p>
    <w:p w14:paraId="6093EC76">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rPr>
        <w:t>《四川省“十四五”自然资源保护和利用规划》；</w:t>
      </w:r>
    </w:p>
    <w:p w14:paraId="0B507D86">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lang w:eastAsia="zh-CN"/>
        </w:rPr>
        <w:t>《关于进一步加强水利规划环境影响评价工作的通知》（环发〔2014〕43号）；</w:t>
      </w:r>
    </w:p>
    <w:p w14:paraId="5B949246">
      <w:pPr>
        <w:numPr>
          <w:ilvl w:val="0"/>
          <w:numId w:val="2"/>
        </w:numPr>
        <w:bidi w:val="0"/>
        <w:ind w:left="0" w:leftChars="0" w:firstLine="480" w:firstLineChars="200"/>
        <w:rPr>
          <w:rFonts w:hint="default" w:ascii="Times New Roman" w:hAnsi="Times New Roman" w:cs="Times New Roman"/>
          <w:highlight w:val="none"/>
        </w:rPr>
      </w:pPr>
      <w:r>
        <w:rPr>
          <w:rFonts w:hint="default" w:ascii="Times New Roman" w:hAnsi="Times New Roman" w:cs="Times New Roman"/>
          <w:highlight w:val="none"/>
          <w:lang w:eastAsia="zh-CN"/>
        </w:rPr>
        <w:t>《关于进一步加强规划环境影响评价的意见》（川府发〔2018〕21号）；</w:t>
      </w:r>
    </w:p>
    <w:p w14:paraId="66139D38">
      <w:pPr>
        <w:numPr>
          <w:ilvl w:val="0"/>
          <w:numId w:val="2"/>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《乡城县水土保持“十四五”规划》；</w:t>
      </w:r>
    </w:p>
    <w:p w14:paraId="7B89589D">
      <w:pPr>
        <w:numPr>
          <w:ilvl w:val="0"/>
          <w:numId w:val="2"/>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《乡城县“十四五”水安全保障规划（2021</w:t>
      </w:r>
      <w:r>
        <w:rPr>
          <w:rFonts w:hint="eastAsia" w:cs="Times New Roman"/>
          <w:highlight w:val="none"/>
          <w:lang w:val="en-US" w:eastAsia="zh-CN"/>
        </w:rPr>
        <w:t>-</w:t>
      </w:r>
      <w:r>
        <w:rPr>
          <w:rFonts w:hint="default" w:ascii="Times New Roman" w:hAnsi="Times New Roman" w:cs="Times New Roman"/>
          <w:highlight w:val="none"/>
          <w:lang w:val="en-US" w:eastAsia="zh-CN"/>
        </w:rPr>
        <w:t>2025）》；</w:t>
      </w:r>
    </w:p>
    <w:p w14:paraId="53254006">
      <w:pPr>
        <w:numPr>
          <w:ilvl w:val="0"/>
          <w:numId w:val="2"/>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《甘孜藏族自治州乡城县国土空间总体规划（2021</w:t>
      </w:r>
      <w:r>
        <w:rPr>
          <w:rFonts w:hint="eastAsia" w:cs="Times New Roman"/>
          <w:highlight w:val="none"/>
          <w:lang w:val="en-US" w:eastAsia="zh-CN"/>
        </w:rPr>
        <w:t>-</w:t>
      </w:r>
      <w:r>
        <w:rPr>
          <w:rFonts w:hint="default" w:ascii="Times New Roman" w:hAnsi="Times New Roman" w:cs="Times New Roman"/>
          <w:highlight w:val="none"/>
          <w:lang w:val="en-US" w:eastAsia="zh-CN"/>
        </w:rPr>
        <w:t>2035）》。</w:t>
      </w:r>
    </w:p>
    <w:p w14:paraId="423740BB">
      <w:pPr>
        <w:pStyle w:val="4"/>
        <w:bidi w:val="0"/>
        <w:rPr>
          <w:rFonts w:hint="default"/>
          <w:highlight w:val="none"/>
        </w:rPr>
      </w:pPr>
      <w:bookmarkStart w:id="12" w:name="bookmark8"/>
      <w:bookmarkEnd w:id="12"/>
      <w:r>
        <w:rPr>
          <w:rFonts w:hint="default"/>
          <w:highlight w:val="none"/>
        </w:rPr>
        <w:t>技术规范</w:t>
      </w:r>
    </w:p>
    <w:p w14:paraId="3FF49743">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w:t>
      </w:r>
      <w:r>
        <w:rPr>
          <w:rFonts w:hint="default" w:ascii="Times New Roman" w:hAnsi="Times New Roman" w:cs="Times New Roman"/>
          <w:highlight w:val="none"/>
          <w:lang w:eastAsia="zh-CN"/>
        </w:rPr>
        <w:t>）</w:t>
      </w:r>
      <w:r>
        <w:rPr>
          <w:rFonts w:hint="default" w:ascii="Times New Roman" w:hAnsi="Times New Roman" w:cs="Times New Roman"/>
          <w:highlight w:val="none"/>
        </w:rPr>
        <w:t>《规划环境影响评价技术导则  总纲》</w:t>
      </w:r>
      <w:r>
        <w:rPr>
          <w:rFonts w:hint="default" w:ascii="Times New Roman" w:hAnsi="Times New Roman" w:cs="Times New Roman"/>
          <w:highlight w:val="none"/>
          <w:lang w:eastAsia="zh-CN"/>
        </w:rPr>
        <w:t>（</w:t>
      </w:r>
      <w:r>
        <w:rPr>
          <w:rFonts w:hint="default" w:ascii="Times New Roman" w:hAnsi="Times New Roman" w:cs="Times New Roman"/>
          <w:highlight w:val="none"/>
        </w:rPr>
        <w:t>HJ130-2019</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7F8F004">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2</w:t>
      </w:r>
      <w:r>
        <w:rPr>
          <w:rFonts w:hint="default" w:ascii="Times New Roman" w:hAnsi="Times New Roman" w:cs="Times New Roman"/>
          <w:highlight w:val="none"/>
          <w:lang w:eastAsia="zh-CN"/>
        </w:rPr>
        <w:t>）</w:t>
      </w:r>
      <w:r>
        <w:rPr>
          <w:rFonts w:hint="default" w:ascii="Times New Roman" w:hAnsi="Times New Roman" w:cs="Times New Roman"/>
          <w:highlight w:val="none"/>
        </w:rPr>
        <w:t>《规划环境影响评价技术导则  流域综合规划》</w:t>
      </w:r>
      <w:r>
        <w:rPr>
          <w:rFonts w:hint="default" w:ascii="Times New Roman" w:hAnsi="Times New Roman" w:cs="Times New Roman"/>
          <w:highlight w:val="none"/>
          <w:lang w:eastAsia="zh-CN"/>
        </w:rPr>
        <w:t>（</w:t>
      </w:r>
      <w:r>
        <w:rPr>
          <w:rFonts w:hint="default" w:ascii="Times New Roman" w:hAnsi="Times New Roman" w:cs="Times New Roman"/>
          <w:highlight w:val="none"/>
        </w:rPr>
        <w:t>HJ1218-2021</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1A38CD8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3</w:t>
      </w:r>
      <w:r>
        <w:rPr>
          <w:rFonts w:hint="default" w:ascii="Times New Roman" w:hAnsi="Times New Roman" w:cs="Times New Roman"/>
          <w:highlight w:val="none"/>
          <w:lang w:eastAsia="zh-CN"/>
        </w:rPr>
        <w:t>）</w:t>
      </w:r>
      <w:r>
        <w:rPr>
          <w:rFonts w:hint="default" w:ascii="Times New Roman" w:hAnsi="Times New Roman" w:cs="Times New Roman"/>
          <w:highlight w:val="none"/>
        </w:rPr>
        <w:t>《环境影响评价技术导则  地表水环境》</w:t>
      </w:r>
      <w:r>
        <w:rPr>
          <w:rFonts w:hint="default" w:ascii="Times New Roman" w:hAnsi="Times New Roman" w:cs="Times New Roman"/>
          <w:highlight w:val="none"/>
          <w:lang w:eastAsia="zh-CN"/>
        </w:rPr>
        <w:t>（</w:t>
      </w:r>
      <w:r>
        <w:rPr>
          <w:rFonts w:hint="default" w:ascii="Times New Roman" w:hAnsi="Times New Roman" w:cs="Times New Roman"/>
          <w:highlight w:val="none"/>
        </w:rPr>
        <w:t>HJ2.3-2018</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54CFDE9">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4</w:t>
      </w:r>
      <w:r>
        <w:rPr>
          <w:rFonts w:hint="default" w:ascii="Times New Roman" w:hAnsi="Times New Roman" w:cs="Times New Roman"/>
          <w:highlight w:val="none"/>
          <w:lang w:eastAsia="zh-CN"/>
        </w:rPr>
        <w:t>）</w:t>
      </w:r>
      <w:r>
        <w:rPr>
          <w:rFonts w:hint="default" w:ascii="Times New Roman" w:hAnsi="Times New Roman" w:cs="Times New Roman"/>
          <w:highlight w:val="none"/>
        </w:rPr>
        <w:t>《环境影响评价技术导则  生态影响》</w:t>
      </w:r>
      <w:r>
        <w:rPr>
          <w:rFonts w:hint="default" w:ascii="Times New Roman" w:hAnsi="Times New Roman" w:cs="Times New Roman"/>
          <w:highlight w:val="none"/>
          <w:lang w:eastAsia="zh-CN"/>
        </w:rPr>
        <w:t>（</w:t>
      </w:r>
      <w:r>
        <w:rPr>
          <w:rFonts w:hint="default" w:ascii="Times New Roman" w:hAnsi="Times New Roman" w:cs="Times New Roman"/>
          <w:highlight w:val="none"/>
        </w:rPr>
        <w:t>HJ19-2022</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6DF0F1A">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5</w:t>
      </w:r>
      <w:r>
        <w:rPr>
          <w:rFonts w:hint="default" w:ascii="Times New Roman" w:hAnsi="Times New Roman" w:cs="Times New Roman"/>
          <w:highlight w:val="none"/>
          <w:lang w:eastAsia="zh-CN"/>
        </w:rPr>
        <w:t>）</w:t>
      </w:r>
      <w:r>
        <w:rPr>
          <w:rFonts w:hint="default" w:ascii="Times New Roman" w:hAnsi="Times New Roman" w:cs="Times New Roman"/>
          <w:highlight w:val="none"/>
        </w:rPr>
        <w:t>《生态环境状况评价技术规范》</w:t>
      </w:r>
      <w:r>
        <w:rPr>
          <w:rFonts w:hint="default" w:ascii="Times New Roman" w:hAnsi="Times New Roman" w:cs="Times New Roman"/>
          <w:highlight w:val="none"/>
          <w:lang w:eastAsia="zh-CN"/>
        </w:rPr>
        <w:t>（</w:t>
      </w:r>
      <w:r>
        <w:rPr>
          <w:rFonts w:hint="default" w:ascii="Times New Roman" w:hAnsi="Times New Roman" w:cs="Times New Roman"/>
          <w:highlight w:val="none"/>
        </w:rPr>
        <w:t>HJ 192-2015</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FA7D63A">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6</w:t>
      </w:r>
      <w:r>
        <w:rPr>
          <w:rFonts w:hint="default" w:ascii="Times New Roman" w:hAnsi="Times New Roman" w:cs="Times New Roman"/>
          <w:highlight w:val="none"/>
          <w:lang w:eastAsia="zh-CN"/>
        </w:rPr>
        <w:t>）</w:t>
      </w:r>
      <w:r>
        <w:rPr>
          <w:rFonts w:hint="default" w:ascii="Times New Roman" w:hAnsi="Times New Roman" w:cs="Times New Roman"/>
          <w:highlight w:val="none"/>
        </w:rPr>
        <w:t>《河流水生生物栖息地保护技术规范》</w:t>
      </w:r>
      <w:r>
        <w:rPr>
          <w:rFonts w:hint="default" w:ascii="Times New Roman" w:hAnsi="Times New Roman" w:cs="Times New Roman"/>
          <w:highlight w:val="none"/>
          <w:lang w:eastAsia="zh-CN"/>
        </w:rPr>
        <w:t>（</w:t>
      </w:r>
      <w:r>
        <w:rPr>
          <w:rFonts w:hint="default" w:ascii="Times New Roman" w:hAnsi="Times New Roman" w:cs="Times New Roman"/>
          <w:highlight w:val="none"/>
        </w:rPr>
        <w:t>NB/T 10485-2021</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628BC36A">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7</w:t>
      </w:r>
      <w:r>
        <w:rPr>
          <w:rFonts w:hint="default" w:ascii="Times New Roman" w:hAnsi="Times New Roman" w:cs="Times New Roman"/>
          <w:highlight w:val="none"/>
          <w:lang w:eastAsia="zh-CN"/>
        </w:rPr>
        <w:t>）</w:t>
      </w:r>
      <w:r>
        <w:rPr>
          <w:rFonts w:hint="default" w:ascii="Times New Roman" w:hAnsi="Times New Roman" w:cs="Times New Roman"/>
          <w:highlight w:val="none"/>
        </w:rPr>
        <w:t>《河湖生态环境需水计算规范》</w:t>
      </w:r>
      <w:r>
        <w:rPr>
          <w:rFonts w:hint="default" w:ascii="Times New Roman" w:hAnsi="Times New Roman" w:cs="Times New Roman"/>
          <w:highlight w:val="none"/>
          <w:lang w:eastAsia="zh-CN"/>
        </w:rPr>
        <w:t>（</w:t>
      </w:r>
      <w:r>
        <w:rPr>
          <w:rFonts w:hint="default" w:ascii="Times New Roman" w:hAnsi="Times New Roman" w:cs="Times New Roman"/>
          <w:highlight w:val="none"/>
        </w:rPr>
        <w:t>SL/T712-2021</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28450184">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8</w:t>
      </w:r>
      <w:r>
        <w:rPr>
          <w:rFonts w:hint="default" w:ascii="Times New Roman" w:hAnsi="Times New Roman" w:cs="Times New Roman"/>
          <w:highlight w:val="none"/>
          <w:lang w:eastAsia="zh-CN"/>
        </w:rPr>
        <w:t>）</w:t>
      </w:r>
      <w:r>
        <w:rPr>
          <w:rFonts w:hint="default" w:ascii="Times New Roman" w:hAnsi="Times New Roman" w:cs="Times New Roman"/>
          <w:highlight w:val="none"/>
        </w:rPr>
        <w:t>《水域纳污能力计算规程》</w:t>
      </w:r>
      <w:r>
        <w:rPr>
          <w:rFonts w:hint="default" w:ascii="Times New Roman" w:hAnsi="Times New Roman" w:cs="Times New Roman"/>
          <w:highlight w:val="none"/>
          <w:lang w:eastAsia="zh-CN"/>
        </w:rPr>
        <w:t>（</w:t>
      </w:r>
      <w:r>
        <w:rPr>
          <w:rFonts w:hint="default" w:ascii="Times New Roman" w:hAnsi="Times New Roman" w:cs="Times New Roman"/>
          <w:highlight w:val="none"/>
        </w:rPr>
        <w:t>GB/T25173-2010</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B9421B1">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9</w:t>
      </w:r>
      <w:r>
        <w:rPr>
          <w:rFonts w:hint="default" w:ascii="Times New Roman" w:hAnsi="Times New Roman" w:cs="Times New Roman"/>
          <w:highlight w:val="none"/>
          <w:lang w:eastAsia="zh-CN"/>
        </w:rPr>
        <w:t>）</w:t>
      </w:r>
      <w:r>
        <w:rPr>
          <w:rFonts w:hint="default" w:ascii="Times New Roman" w:hAnsi="Times New Roman" w:cs="Times New Roman"/>
          <w:highlight w:val="none"/>
        </w:rPr>
        <w:t>《水库渔业资源调查规范》</w:t>
      </w:r>
      <w:r>
        <w:rPr>
          <w:rFonts w:hint="default" w:ascii="Times New Roman" w:hAnsi="Times New Roman" w:cs="Times New Roman"/>
          <w:highlight w:val="none"/>
          <w:lang w:eastAsia="zh-CN"/>
        </w:rPr>
        <w:t>（</w:t>
      </w:r>
      <w:r>
        <w:rPr>
          <w:rFonts w:hint="default" w:ascii="Times New Roman" w:hAnsi="Times New Roman" w:cs="Times New Roman"/>
          <w:highlight w:val="none"/>
        </w:rPr>
        <w:t>SL167-2014</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5381331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10</w:t>
      </w:r>
      <w:r>
        <w:rPr>
          <w:rFonts w:hint="default" w:ascii="Times New Roman" w:hAnsi="Times New Roman" w:cs="Times New Roman"/>
          <w:highlight w:val="none"/>
          <w:lang w:eastAsia="zh-CN"/>
        </w:rPr>
        <w:t>）</w:t>
      </w:r>
      <w:r>
        <w:rPr>
          <w:rFonts w:hint="default" w:ascii="Times New Roman" w:hAnsi="Times New Roman" w:cs="Times New Roman"/>
          <w:highlight w:val="none"/>
        </w:rPr>
        <w:t>《渔业生态环境监测规范》</w:t>
      </w:r>
      <w:r>
        <w:rPr>
          <w:rFonts w:hint="default" w:ascii="Times New Roman" w:hAnsi="Times New Roman" w:cs="Times New Roman"/>
          <w:highlight w:val="none"/>
          <w:lang w:eastAsia="zh-CN"/>
        </w:rPr>
        <w:t>（</w:t>
      </w:r>
      <w:r>
        <w:rPr>
          <w:rFonts w:hint="default" w:ascii="Times New Roman" w:hAnsi="Times New Roman" w:cs="Times New Roman"/>
          <w:highlight w:val="none"/>
        </w:rPr>
        <w:t>SC/T9102-2007</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4BF1C1C">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11</w:t>
      </w:r>
      <w:r>
        <w:rPr>
          <w:rFonts w:hint="default" w:ascii="Times New Roman" w:hAnsi="Times New Roman" w:cs="Times New Roman"/>
          <w:highlight w:val="none"/>
          <w:lang w:eastAsia="zh-CN"/>
        </w:rPr>
        <w:t>）</w:t>
      </w:r>
      <w:r>
        <w:rPr>
          <w:rFonts w:hint="default" w:ascii="Times New Roman" w:hAnsi="Times New Roman" w:cs="Times New Roman"/>
          <w:highlight w:val="none"/>
        </w:rPr>
        <w:t>《淡水浮游生物调查技术规范》</w:t>
      </w:r>
      <w:r>
        <w:rPr>
          <w:rFonts w:hint="default" w:ascii="Times New Roman" w:hAnsi="Times New Roman" w:cs="Times New Roman"/>
          <w:highlight w:val="none"/>
          <w:lang w:eastAsia="zh-CN"/>
        </w:rPr>
        <w:t>（</w:t>
      </w:r>
      <w:r>
        <w:rPr>
          <w:rFonts w:hint="default" w:ascii="Times New Roman" w:hAnsi="Times New Roman" w:cs="Times New Roman"/>
          <w:highlight w:val="none"/>
        </w:rPr>
        <w:t>SC/T9402-2010</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1BB48F7">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12</w:t>
      </w:r>
      <w:r>
        <w:rPr>
          <w:rFonts w:hint="default" w:ascii="Times New Roman" w:hAnsi="Times New Roman" w:cs="Times New Roman"/>
          <w:highlight w:val="none"/>
          <w:lang w:eastAsia="zh-CN"/>
        </w:rPr>
        <w:t>）</w:t>
      </w:r>
      <w:r>
        <w:rPr>
          <w:rFonts w:hint="default" w:ascii="Times New Roman" w:hAnsi="Times New Roman" w:cs="Times New Roman"/>
          <w:highlight w:val="none"/>
        </w:rPr>
        <w:t>《野生植物资源调查技术规程》</w:t>
      </w:r>
      <w:r>
        <w:rPr>
          <w:rFonts w:hint="default" w:ascii="Times New Roman" w:hAnsi="Times New Roman" w:cs="Times New Roman"/>
          <w:highlight w:val="none"/>
          <w:lang w:eastAsia="zh-CN"/>
        </w:rPr>
        <w:t>（</w:t>
      </w:r>
      <w:r>
        <w:rPr>
          <w:rFonts w:hint="default" w:ascii="Times New Roman" w:hAnsi="Times New Roman" w:cs="Times New Roman"/>
          <w:highlight w:val="none"/>
        </w:rPr>
        <w:t>LY/T1820-2009</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59D2012">
      <w:pPr>
        <w:bidi w:val="0"/>
        <w:rPr>
          <w:rFonts w:hint="default" w:ascii="Times New Roman" w:hAnsi="Times New Roman" w:cs="Times New Roman"/>
          <w:szCs w:val="24"/>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rPr>
        <w:t>13</w:t>
      </w:r>
      <w:r>
        <w:rPr>
          <w:rFonts w:hint="default" w:ascii="Times New Roman" w:hAnsi="Times New Roman" w:cs="Times New Roman"/>
          <w:highlight w:val="none"/>
          <w:lang w:eastAsia="zh-CN"/>
        </w:rPr>
        <w:t>）</w:t>
      </w:r>
      <w:r>
        <w:rPr>
          <w:rFonts w:hint="default" w:ascii="Times New Roman" w:hAnsi="Times New Roman" w:cs="Times New Roman"/>
          <w:highlight w:val="none"/>
        </w:rPr>
        <w:t>《江河流域规划编制规程》</w:t>
      </w:r>
      <w:r>
        <w:rPr>
          <w:rFonts w:hint="default" w:ascii="Times New Roman" w:hAnsi="Times New Roman" w:cs="Times New Roman"/>
          <w:highlight w:val="none"/>
          <w:lang w:eastAsia="zh-CN"/>
        </w:rPr>
        <w:t>（</w:t>
      </w:r>
      <w:r>
        <w:rPr>
          <w:rFonts w:hint="default" w:ascii="Times New Roman" w:hAnsi="Times New Roman" w:cs="Times New Roman"/>
          <w:highlight w:val="none"/>
        </w:rPr>
        <w:t>SL201-2015</w:t>
      </w:r>
      <w:r>
        <w:rPr>
          <w:rFonts w:hint="default" w:ascii="Times New Roman" w:hAnsi="Times New Roman" w:cs="Times New Roman"/>
          <w:highlight w:val="none"/>
          <w:lang w:eastAsia="zh-CN"/>
        </w:rPr>
        <w:t>）</w:t>
      </w:r>
      <w:r>
        <w:rPr>
          <w:rFonts w:hint="default" w:ascii="Times New Roman" w:hAnsi="Times New Roman" w:cs="Times New Roman"/>
          <w:highlight w:val="none"/>
        </w:rPr>
        <w:t>。</w:t>
      </w:r>
    </w:p>
    <w:p w14:paraId="7BF9BD4C">
      <w:pPr>
        <w:pStyle w:val="4"/>
        <w:bidi w:val="0"/>
        <w:rPr>
          <w:rFonts w:hint="default"/>
          <w:highlight w:val="none"/>
        </w:rPr>
      </w:pPr>
      <w:bookmarkStart w:id="13" w:name="bookmark9"/>
      <w:bookmarkEnd w:id="13"/>
      <w:r>
        <w:rPr>
          <w:rFonts w:hint="default"/>
          <w:highlight w:val="none"/>
        </w:rPr>
        <w:t>相关技术文件</w:t>
      </w:r>
    </w:p>
    <w:p w14:paraId="1DFE30B6">
      <w:pPr>
        <w:numPr>
          <w:ilvl w:val="0"/>
          <w:numId w:val="3"/>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《古瓦水电站2022年度水生生态监测报告》；</w:t>
      </w:r>
    </w:p>
    <w:p w14:paraId="6FE5D6B8">
      <w:pPr>
        <w:numPr>
          <w:ilvl w:val="0"/>
          <w:numId w:val="3"/>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《冷龙沟河湖缓冲带划分技术报告》；</w:t>
      </w:r>
    </w:p>
    <w:p w14:paraId="0DDEDB08">
      <w:pPr>
        <w:numPr>
          <w:ilvl w:val="0"/>
          <w:numId w:val="3"/>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《四川省乡城县冷龙沟集中式饮用水水源保护区划分技术报告》；</w:t>
      </w:r>
    </w:p>
    <w:p w14:paraId="07DEEAFC">
      <w:pPr>
        <w:numPr>
          <w:ilvl w:val="0"/>
          <w:numId w:val="3"/>
        </w:num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《乡城县尼色拥水库工程水生生物影响评价及补救措施专题报告》；</w:t>
      </w:r>
    </w:p>
    <w:p w14:paraId="0659C007">
      <w:pPr>
        <w:numPr>
          <w:ilvl w:val="0"/>
          <w:numId w:val="3"/>
        </w:num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《乡城县尼色拥水库工程建设项目对陆生生物影响评价及补救措施专题报告》。</w:t>
      </w:r>
    </w:p>
    <w:p w14:paraId="0C68D3FE">
      <w:pPr>
        <w:pStyle w:val="3"/>
        <w:bidi w:val="0"/>
        <w:rPr>
          <w:rFonts w:hint="default"/>
          <w:highlight w:val="none"/>
          <w:lang w:val="en-US" w:eastAsia="zh-CN"/>
        </w:rPr>
      </w:pPr>
      <w:bookmarkStart w:id="14" w:name="_Toc23404"/>
      <w:r>
        <w:rPr>
          <w:rFonts w:hint="default"/>
          <w:highlight w:val="none"/>
          <w:lang w:val="en-US" w:eastAsia="zh-CN"/>
        </w:rPr>
        <w:t>评价目的</w:t>
      </w:r>
      <w:bookmarkEnd w:id="14"/>
    </w:p>
    <w:p w14:paraId="174C4A7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甘孜州乡城县冷龙沟流域综合规划环境影响评价以改善水生态环境质量、维护生态安全为目标，以落实碳达峰碳中和目标和加强生物多样性保护为导向，论证规划方案的环境合理性和社会环境效益，统筹流域治理、开发、利用和保护的关系，提出优化调整建议、不良生态环境影响的减缓措施及生态环境保护对策，推动流域绿色高质量发展，为规划综合决策和实施提供依据。</w:t>
      </w:r>
    </w:p>
    <w:p w14:paraId="1D523FD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以落实和维护“生态保护红线、环境质量底线、资源利用上线”为目标，以“生态环境准入清单”为抓手，通过评价识别制约规划实施的主要资源环境因素，在四川省“三线一单”划定成果的基础上，提出流域水环境质量底线和水资源利用上线管控要求。</w:t>
      </w:r>
    </w:p>
    <w:p w14:paraId="38CB5B1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（3）开展流域生态环境现状调查、流域已开发项目环境影响回顾性评价，分析流域现存生态环境问题和原因，识别制约规划实施的主要资源环境因素，分析预测规划对流域水资源、生态系统等累积性影响。</w:t>
      </w:r>
    </w:p>
    <w:p w14:paraId="2881BE2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论证规划方案的环境合理性和环境效益，提出规划方案优化调整建议并与规划充分互动，明确不良生态环境影响的减缓措施，提出重点工程的环境保护工作建议和项目环评工作重点，协调流域水资源开发利用与生态环境保护的关系，为规划决策和规划实施过程中的环境管理提供依据。</w:t>
      </w:r>
    </w:p>
    <w:p w14:paraId="33FDAB94">
      <w:pPr>
        <w:pStyle w:val="3"/>
        <w:bidi w:val="0"/>
        <w:rPr>
          <w:rFonts w:hint="default"/>
          <w:highlight w:val="none"/>
          <w:lang w:val="en-US" w:eastAsia="zh-CN"/>
        </w:rPr>
      </w:pPr>
      <w:bookmarkStart w:id="15" w:name="_Toc8773"/>
      <w:r>
        <w:rPr>
          <w:rFonts w:hint="default"/>
          <w:highlight w:val="none"/>
          <w:lang w:val="en-US" w:eastAsia="zh-CN"/>
        </w:rPr>
        <w:t>评价原则</w:t>
      </w:r>
      <w:bookmarkEnd w:id="15"/>
    </w:p>
    <w:p w14:paraId="341ED25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（1）全程参与、充分互动</w:t>
      </w:r>
    </w:p>
    <w:p w14:paraId="1DC46BF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规划环评及早介入规划编制工作，并与规划前期研究和方案编制、论证、审定等 关键环节和过程充分互动，吸纳各方意见，优化规划方案。</w:t>
      </w:r>
    </w:p>
    <w:p w14:paraId="7FCD439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（2）严守红线、强化管控</w:t>
      </w:r>
    </w:p>
    <w:p w14:paraId="7061FD1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充分衔接四川省己发布实施的“三线一单”划定成果，严守生态保护红线、环境质量底线和资源利用上线要求，结合评价结果进一步提出流域环境保护要求及细化重点区域生态环境管控要求的建议，指导流域专业规划或专项规划、支流下层位规划或建设项目环境准入，实现流域规划、建设项目环境影响评价的系统衔接和协同管理。</w:t>
      </w:r>
    </w:p>
    <w:p w14:paraId="033F473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（3）统筹衔接、突出重点</w:t>
      </w:r>
    </w:p>
    <w:p w14:paraId="324CE8E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科学统筹水陆域、上下游、左右岸、干支流生态环境保护和绿色发展，系统考虑流域开发、治理、利用、保护和管理任务与流域内各生态环境要素的关系，重点关注规划实施对流域生态系统整体性、累积性影响。</w:t>
      </w:r>
    </w:p>
    <w:p w14:paraId="1DFA8E6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（4）协调一致、科学系统</w:t>
      </w:r>
    </w:p>
    <w:p w14:paraId="7D738BD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评价内容和深度与本次流域综合规划的层级、详尽程度协调一致，与区域的环境管理要求相适应，并依据不同层级规划的决策需求，提 出相应的宏观决策建议以及具体的生态环境管理要求，加强流域整体性保护。</w:t>
      </w:r>
    </w:p>
    <w:p w14:paraId="37D37591">
      <w:pPr>
        <w:pStyle w:val="3"/>
        <w:bidi w:val="0"/>
        <w:rPr>
          <w:rFonts w:hint="default"/>
          <w:highlight w:val="none"/>
          <w:lang w:val="en-US" w:eastAsia="zh-CN"/>
        </w:rPr>
      </w:pPr>
      <w:bookmarkStart w:id="16" w:name="_Toc16268"/>
      <w:r>
        <w:rPr>
          <w:rFonts w:hint="default"/>
          <w:highlight w:val="none"/>
          <w:lang w:val="en-US" w:eastAsia="zh-CN"/>
        </w:rPr>
        <w:t>评价范围及时段</w:t>
      </w:r>
      <w:bookmarkEnd w:id="16"/>
    </w:p>
    <w:p w14:paraId="7C74EE4C">
      <w:pPr>
        <w:pStyle w:val="4"/>
        <w:bidi w:val="0"/>
        <w:rPr>
          <w:rFonts w:hint="default"/>
          <w:highlight w:val="none"/>
          <w:lang w:val="en-US" w:eastAsia="zh-CN"/>
        </w:rPr>
      </w:pPr>
      <w:r>
        <w:rPr>
          <w:rFonts w:hint="default"/>
          <w:highlight w:val="none"/>
          <w:lang w:val="en-US" w:eastAsia="zh-CN"/>
        </w:rPr>
        <w:t>评价范围</w:t>
      </w:r>
    </w:p>
    <w:p w14:paraId="48E6DB15">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冷龙沟流域综合规划环境影响评价的范围与规划的范围相当。评价范围的界定从空间和时间两方面考虑：空间尺度上，流域规划环评的范围一般以流域的界限为评价的空间范围；时间尺度上，应从流域的实际情况出发，除分析规划项目在规划期内的影响外，还应考虑到已被开发利用的流域过去、现在和将来的影响。</w:t>
      </w:r>
    </w:p>
    <w:p w14:paraId="231172AE">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规划环评范围主要包括规划范围及主要环境要素影响涉及的范围，统筹兼顾流域上下游、干支流、左右岸、河（湖）滨带、地表和地下集水区、调入区和调出区及江河湖海交汇区。</w:t>
      </w:r>
      <w:r>
        <w:rPr>
          <w:rFonts w:hint="default" w:ascii="Times New Roman" w:hAnsi="Times New Roman" w:cs="Times New Roman"/>
          <w:highlight w:val="none"/>
          <w:lang w:val="en-US" w:eastAsia="zh-CN"/>
        </w:rPr>
        <w:t>本次规划环境影响评价的地域范围为冷龙沟流域，流域范围在东经99°73′~99°80′，北纬28°94′~29°07′。</w:t>
      </w:r>
      <w:r>
        <w:rPr>
          <w:rFonts w:hint="default" w:ascii="Times New Roman" w:hAnsi="Times New Roman" w:cs="Times New Roman"/>
          <w:color w:val="auto"/>
          <w:highlight w:val="none"/>
          <w:lang w:val="en-US" w:eastAsia="zh-CN"/>
        </w:rPr>
        <w:t>干流全长18.</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km，流域面积79.0km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p>
    <w:p w14:paraId="3FE70A6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甘孜州乡城县冷龙沟流域综合规划主要环境要素包括水文水资源、水环境、生态环境和环境敏感区，各环境要素评价范围详见下表。</w:t>
      </w:r>
    </w:p>
    <w:p w14:paraId="3AC21448">
      <w:pPr>
        <w:pStyle w:val="11"/>
        <w:ind w:left="0" w:leftChars="0" w:firstLine="0" w:firstLineChars="0"/>
        <w:jc w:val="center"/>
        <w:rPr>
          <w:rFonts w:hint="default" w:ascii="Times New Roman" w:hAnsi="Times New Roman" w:cs="Times New Roman"/>
          <w:highlight w:val="none"/>
          <w:lang w:val="en-US" w:eastAsia="zh-CN"/>
        </w:rPr>
      </w:pPr>
      <w:bookmarkStart w:id="17" w:name="_Ref15168"/>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w:t>
      </w:r>
      <w:r>
        <w:rPr>
          <w:rFonts w:hint="default" w:ascii="Times New Roman" w:hAnsi="Times New Roman" w:cs="Times New Roman"/>
          <w:highlight w:val="none"/>
        </w:rPr>
        <w:fldChar w:fldCharType="end"/>
      </w:r>
      <w:bookmarkEnd w:id="17"/>
      <w:r>
        <w:rPr>
          <w:rFonts w:hint="default" w:ascii="Times New Roman" w:hAnsi="Times New Roman" w:cs="Times New Roman"/>
          <w:highlight w:val="none"/>
          <w:lang w:val="en-US" w:eastAsia="zh-CN"/>
        </w:rPr>
        <w:t>流域各环境要素评价范围统计表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9"/>
        <w:gridCol w:w="1750"/>
        <w:gridCol w:w="5063"/>
      </w:tblGrid>
      <w:tr w14:paraId="1AC7E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Align w:val="center"/>
          </w:tcPr>
          <w:p w14:paraId="40B271DB">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环境要素</w:t>
            </w:r>
          </w:p>
        </w:tc>
        <w:tc>
          <w:tcPr>
            <w:tcW w:w="1750" w:type="dxa"/>
            <w:vAlign w:val="center"/>
          </w:tcPr>
          <w:p w14:paraId="7C1A855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环境因子</w:t>
            </w:r>
          </w:p>
        </w:tc>
        <w:tc>
          <w:tcPr>
            <w:tcW w:w="5063" w:type="dxa"/>
            <w:vAlign w:val="center"/>
          </w:tcPr>
          <w:p w14:paraId="5729729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评价范围</w:t>
            </w:r>
          </w:p>
        </w:tc>
      </w:tr>
      <w:tr w14:paraId="02501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restart"/>
            <w:vAlign w:val="center"/>
          </w:tcPr>
          <w:p w14:paraId="5DB7942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水文水资源</w:t>
            </w:r>
          </w:p>
        </w:tc>
        <w:tc>
          <w:tcPr>
            <w:tcW w:w="1750" w:type="dxa"/>
            <w:vAlign w:val="center"/>
          </w:tcPr>
          <w:p w14:paraId="1B581BE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水文情势</w:t>
            </w:r>
          </w:p>
        </w:tc>
        <w:tc>
          <w:tcPr>
            <w:tcW w:w="5063" w:type="dxa"/>
            <w:vAlign w:val="center"/>
          </w:tcPr>
          <w:p w14:paraId="3336CC6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冷龙沟干流及支流巨美拥，重点评价流域规划的水利工程设施河段</w:t>
            </w:r>
          </w:p>
        </w:tc>
      </w:tr>
      <w:tr w14:paraId="30F51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36B22F98">
            <w:pPr>
              <w:pStyle w:val="22"/>
              <w:bidi w:val="0"/>
              <w:jc w:val="center"/>
              <w:rPr>
                <w:rFonts w:hint="default" w:ascii="Times New Roman" w:hAnsi="Times New Roman" w:cs="Times New Roman"/>
                <w:highlight w:val="none"/>
                <w:lang w:val="en-US" w:eastAsia="zh-CN"/>
              </w:rPr>
            </w:pPr>
          </w:p>
        </w:tc>
        <w:tc>
          <w:tcPr>
            <w:tcW w:w="1750" w:type="dxa"/>
            <w:vAlign w:val="center"/>
          </w:tcPr>
          <w:p w14:paraId="0FA31719">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w:t>
            </w:r>
          </w:p>
        </w:tc>
        <w:tc>
          <w:tcPr>
            <w:tcW w:w="5063" w:type="dxa"/>
            <w:vAlign w:val="center"/>
          </w:tcPr>
          <w:p w14:paraId="17E18E9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冷龙沟流域范围</w:t>
            </w:r>
          </w:p>
        </w:tc>
      </w:tr>
      <w:tr w14:paraId="2B170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restart"/>
            <w:vAlign w:val="center"/>
          </w:tcPr>
          <w:p w14:paraId="2698A90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水环境</w:t>
            </w:r>
          </w:p>
        </w:tc>
        <w:tc>
          <w:tcPr>
            <w:tcW w:w="1750" w:type="dxa"/>
            <w:vAlign w:val="center"/>
          </w:tcPr>
          <w:p w14:paraId="65B9622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水质</w:t>
            </w:r>
          </w:p>
        </w:tc>
        <w:tc>
          <w:tcPr>
            <w:tcW w:w="5063" w:type="dxa"/>
            <w:vAlign w:val="center"/>
          </w:tcPr>
          <w:p w14:paraId="2048E0C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冷龙沟干流及支流巨美拥</w:t>
            </w:r>
          </w:p>
        </w:tc>
      </w:tr>
      <w:tr w14:paraId="29562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5A1EF452">
            <w:pPr>
              <w:pStyle w:val="22"/>
              <w:bidi w:val="0"/>
              <w:jc w:val="center"/>
              <w:rPr>
                <w:rFonts w:hint="default" w:ascii="Times New Roman" w:hAnsi="Times New Roman" w:cs="Times New Roman"/>
                <w:highlight w:val="none"/>
                <w:lang w:val="en-US" w:eastAsia="zh-CN"/>
              </w:rPr>
            </w:pPr>
          </w:p>
        </w:tc>
        <w:tc>
          <w:tcPr>
            <w:tcW w:w="1750" w:type="dxa"/>
            <w:vAlign w:val="center"/>
          </w:tcPr>
          <w:p w14:paraId="47DADE7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水温</w:t>
            </w:r>
          </w:p>
        </w:tc>
        <w:tc>
          <w:tcPr>
            <w:tcW w:w="5063" w:type="dxa"/>
            <w:vAlign w:val="center"/>
          </w:tcPr>
          <w:p w14:paraId="4D1A016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冷龙沟干流及支流巨美拥</w:t>
            </w:r>
          </w:p>
        </w:tc>
      </w:tr>
      <w:tr w14:paraId="10841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restart"/>
            <w:vAlign w:val="center"/>
          </w:tcPr>
          <w:p w14:paraId="0D4A751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水生态</w:t>
            </w:r>
          </w:p>
        </w:tc>
        <w:tc>
          <w:tcPr>
            <w:tcW w:w="1750" w:type="dxa"/>
            <w:vAlign w:val="center"/>
          </w:tcPr>
          <w:p w14:paraId="2A9979E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生态完整性</w:t>
            </w:r>
          </w:p>
        </w:tc>
        <w:tc>
          <w:tcPr>
            <w:tcW w:w="5063" w:type="dxa"/>
            <w:vAlign w:val="center"/>
          </w:tcPr>
          <w:p w14:paraId="130EB95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w:t>
            </w:r>
          </w:p>
        </w:tc>
      </w:tr>
      <w:tr w14:paraId="45C0A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5E3DACC2">
            <w:pPr>
              <w:pStyle w:val="22"/>
              <w:bidi w:val="0"/>
              <w:jc w:val="center"/>
              <w:rPr>
                <w:rFonts w:hint="default" w:ascii="Times New Roman" w:hAnsi="Times New Roman" w:cs="Times New Roman"/>
                <w:highlight w:val="none"/>
                <w:lang w:val="en-US" w:eastAsia="zh-CN"/>
              </w:rPr>
            </w:pPr>
          </w:p>
        </w:tc>
        <w:tc>
          <w:tcPr>
            <w:tcW w:w="1750" w:type="dxa"/>
            <w:vAlign w:val="center"/>
          </w:tcPr>
          <w:p w14:paraId="585532D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水生生态</w:t>
            </w:r>
          </w:p>
        </w:tc>
        <w:tc>
          <w:tcPr>
            <w:tcW w:w="5063" w:type="dxa"/>
            <w:vAlign w:val="center"/>
          </w:tcPr>
          <w:p w14:paraId="4A9CCAA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w:t>
            </w:r>
          </w:p>
        </w:tc>
      </w:tr>
      <w:tr w14:paraId="436D1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0711451A">
            <w:pPr>
              <w:pStyle w:val="22"/>
              <w:bidi w:val="0"/>
              <w:jc w:val="center"/>
              <w:rPr>
                <w:rFonts w:hint="default" w:ascii="Times New Roman" w:hAnsi="Times New Roman" w:cs="Times New Roman"/>
                <w:highlight w:val="none"/>
                <w:lang w:val="en-US" w:eastAsia="zh-CN"/>
              </w:rPr>
            </w:pPr>
          </w:p>
        </w:tc>
        <w:tc>
          <w:tcPr>
            <w:tcW w:w="1750" w:type="dxa"/>
            <w:vAlign w:val="center"/>
          </w:tcPr>
          <w:p w14:paraId="35B8D091">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陆生生态</w:t>
            </w:r>
          </w:p>
        </w:tc>
        <w:tc>
          <w:tcPr>
            <w:tcW w:w="5063" w:type="dxa"/>
            <w:vAlign w:val="center"/>
          </w:tcPr>
          <w:p w14:paraId="0FA1D85F">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冷龙沟流域范围</w:t>
            </w:r>
          </w:p>
        </w:tc>
      </w:tr>
      <w:tr w14:paraId="4A77F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restart"/>
            <w:vAlign w:val="center"/>
          </w:tcPr>
          <w:p w14:paraId="33E274F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环境敏感区</w:t>
            </w:r>
          </w:p>
        </w:tc>
        <w:tc>
          <w:tcPr>
            <w:tcW w:w="1750" w:type="dxa"/>
            <w:vAlign w:val="top"/>
          </w:tcPr>
          <w:p w14:paraId="16918D2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饮用水源保护区</w:t>
            </w:r>
          </w:p>
        </w:tc>
        <w:tc>
          <w:tcPr>
            <w:tcW w:w="5063" w:type="dxa"/>
            <w:vAlign w:val="center"/>
          </w:tcPr>
          <w:p w14:paraId="37ABBAC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乡城县冷龙沟冷龙村集中式饮用水水源地</w:t>
            </w:r>
          </w:p>
        </w:tc>
      </w:tr>
      <w:tr w14:paraId="1329A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07902A42">
            <w:pPr>
              <w:pStyle w:val="22"/>
              <w:bidi w:val="0"/>
              <w:jc w:val="center"/>
              <w:rPr>
                <w:rFonts w:hint="default" w:ascii="Times New Roman" w:hAnsi="Times New Roman" w:cs="Times New Roman"/>
                <w:highlight w:val="none"/>
                <w:lang w:val="en-US" w:eastAsia="zh-CN"/>
              </w:rPr>
            </w:pPr>
          </w:p>
        </w:tc>
        <w:tc>
          <w:tcPr>
            <w:tcW w:w="1750" w:type="dxa"/>
            <w:vAlign w:val="top"/>
          </w:tcPr>
          <w:p w14:paraId="41C1D2B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自然保护区</w:t>
            </w:r>
          </w:p>
        </w:tc>
        <w:tc>
          <w:tcPr>
            <w:tcW w:w="5063" w:type="dxa"/>
            <w:vAlign w:val="center"/>
          </w:tcPr>
          <w:p w14:paraId="7685021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w:t>
            </w:r>
          </w:p>
        </w:tc>
      </w:tr>
      <w:tr w14:paraId="56C7C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08D318A4">
            <w:pPr>
              <w:pStyle w:val="22"/>
              <w:bidi w:val="0"/>
              <w:jc w:val="center"/>
              <w:rPr>
                <w:rFonts w:hint="default" w:ascii="Times New Roman" w:hAnsi="Times New Roman" w:cs="Times New Roman"/>
                <w:highlight w:val="none"/>
                <w:lang w:val="en-US" w:eastAsia="zh-CN"/>
              </w:rPr>
            </w:pPr>
          </w:p>
        </w:tc>
        <w:tc>
          <w:tcPr>
            <w:tcW w:w="1750" w:type="dxa"/>
            <w:vAlign w:val="top"/>
          </w:tcPr>
          <w:p w14:paraId="6DD7C6E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风景名胜区</w:t>
            </w:r>
          </w:p>
        </w:tc>
        <w:tc>
          <w:tcPr>
            <w:tcW w:w="5063" w:type="dxa"/>
            <w:vAlign w:val="center"/>
          </w:tcPr>
          <w:p w14:paraId="5BA7FE7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w:t>
            </w:r>
          </w:p>
        </w:tc>
      </w:tr>
      <w:tr w14:paraId="63B8B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2A3A985B">
            <w:pPr>
              <w:pStyle w:val="22"/>
              <w:bidi w:val="0"/>
              <w:jc w:val="center"/>
              <w:rPr>
                <w:rFonts w:hint="default" w:ascii="Times New Roman" w:hAnsi="Times New Roman" w:cs="Times New Roman"/>
                <w:highlight w:val="none"/>
                <w:lang w:val="en-US" w:eastAsia="zh-CN"/>
              </w:rPr>
            </w:pPr>
          </w:p>
        </w:tc>
        <w:tc>
          <w:tcPr>
            <w:tcW w:w="1750" w:type="dxa"/>
            <w:vAlign w:val="top"/>
          </w:tcPr>
          <w:p w14:paraId="4C90440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森林公园</w:t>
            </w:r>
          </w:p>
        </w:tc>
        <w:tc>
          <w:tcPr>
            <w:tcW w:w="5063" w:type="dxa"/>
            <w:vAlign w:val="center"/>
          </w:tcPr>
          <w:p w14:paraId="25AE06F9">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w:t>
            </w:r>
          </w:p>
        </w:tc>
      </w:tr>
      <w:tr w14:paraId="271A3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Merge w:val="continue"/>
            <w:vAlign w:val="center"/>
          </w:tcPr>
          <w:p w14:paraId="1EE7B32C">
            <w:pPr>
              <w:pStyle w:val="22"/>
              <w:bidi w:val="0"/>
              <w:jc w:val="center"/>
              <w:rPr>
                <w:rFonts w:hint="default" w:ascii="Times New Roman" w:hAnsi="Times New Roman" w:cs="Times New Roman"/>
                <w:highlight w:val="none"/>
                <w:lang w:val="en-US" w:eastAsia="zh-CN"/>
              </w:rPr>
            </w:pPr>
          </w:p>
        </w:tc>
        <w:tc>
          <w:tcPr>
            <w:tcW w:w="1750" w:type="dxa"/>
            <w:vAlign w:val="top"/>
          </w:tcPr>
          <w:p w14:paraId="668AAEA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地质公园</w:t>
            </w:r>
          </w:p>
        </w:tc>
        <w:tc>
          <w:tcPr>
            <w:tcW w:w="5063" w:type="dxa"/>
            <w:vAlign w:val="center"/>
          </w:tcPr>
          <w:p w14:paraId="05804DE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w:t>
            </w:r>
          </w:p>
        </w:tc>
      </w:tr>
      <w:tr w14:paraId="713DA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dxa"/>
            <w:vAlign w:val="center"/>
          </w:tcPr>
          <w:p w14:paraId="4B76BBD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社会环境</w:t>
            </w:r>
          </w:p>
        </w:tc>
        <w:tc>
          <w:tcPr>
            <w:tcW w:w="6813" w:type="dxa"/>
            <w:gridSpan w:val="2"/>
            <w:vAlign w:val="center"/>
          </w:tcPr>
          <w:p w14:paraId="6523239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冷龙沟流域涉及的热郎宫村、冷龙村、东宫村、色尔宫村</w:t>
            </w:r>
          </w:p>
        </w:tc>
      </w:tr>
    </w:tbl>
    <w:p w14:paraId="571ABCEE">
      <w:pPr>
        <w:ind w:left="0" w:leftChars="0" w:firstLine="0" w:firstLineChars="0"/>
        <w:rPr>
          <w:rFonts w:hint="default" w:ascii="Times New Roman" w:hAnsi="Times New Roman" w:cs="Times New Roman"/>
          <w:highlight w:val="none"/>
          <w:lang w:val="en-US" w:eastAsia="zh-CN"/>
        </w:rPr>
      </w:pPr>
    </w:p>
    <w:p w14:paraId="5875A060">
      <w:pPr>
        <w:pStyle w:val="4"/>
        <w:bidi w:val="0"/>
        <w:rPr>
          <w:rFonts w:hint="default"/>
          <w:highlight w:val="none"/>
          <w:lang w:val="en-US" w:eastAsia="zh-CN"/>
        </w:rPr>
      </w:pPr>
      <w:r>
        <w:rPr>
          <w:rFonts w:hint="default"/>
          <w:highlight w:val="none"/>
          <w:lang w:val="en-US" w:eastAsia="zh-CN"/>
        </w:rPr>
        <w:t>评价时段</w:t>
      </w:r>
    </w:p>
    <w:p w14:paraId="0541115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规划环评评价水平年与冷龙沟流域综合规划水平年基本保持一致，现状评价水平年为2022年（部分数据引用至2023年），近期影响预测水平年为20</w:t>
      </w:r>
      <w:r>
        <w:rPr>
          <w:rFonts w:hint="eastAsia" w:cs="Times New Roman"/>
          <w:highlight w:val="none"/>
          <w:lang w:val="en-US" w:eastAsia="zh-CN"/>
        </w:rPr>
        <w:t>30</w:t>
      </w:r>
      <w:r>
        <w:rPr>
          <w:rFonts w:hint="default" w:ascii="Times New Roman" w:hAnsi="Times New Roman" w:cs="Times New Roman"/>
          <w:highlight w:val="none"/>
          <w:lang w:val="en-US" w:eastAsia="zh-CN"/>
        </w:rPr>
        <w:t>年，远期影响预测水平年为2035年。</w:t>
      </w:r>
    </w:p>
    <w:p w14:paraId="0CC2D119">
      <w:pPr>
        <w:pStyle w:val="3"/>
        <w:bidi w:val="0"/>
        <w:rPr>
          <w:rFonts w:hint="default"/>
          <w:highlight w:val="none"/>
          <w:lang w:val="en-US" w:eastAsia="zh-CN"/>
        </w:rPr>
      </w:pPr>
      <w:bookmarkStart w:id="18" w:name="_Toc10414"/>
      <w:r>
        <w:rPr>
          <w:rFonts w:hint="default"/>
          <w:highlight w:val="none"/>
          <w:lang w:val="en-US" w:eastAsia="zh-CN"/>
        </w:rPr>
        <w:t>环境保护目标</w:t>
      </w:r>
      <w:bookmarkEnd w:id="18"/>
    </w:p>
    <w:p w14:paraId="3DA96BC6">
      <w:pPr>
        <w:pStyle w:val="4"/>
        <w:bidi w:val="0"/>
        <w:rPr>
          <w:rFonts w:hint="default"/>
          <w:highlight w:val="none"/>
          <w:lang w:val="en-US" w:eastAsia="zh-CN"/>
        </w:rPr>
      </w:pPr>
      <w:r>
        <w:rPr>
          <w:rFonts w:hint="default"/>
          <w:highlight w:val="none"/>
          <w:lang w:val="en-US" w:eastAsia="zh-CN"/>
        </w:rPr>
        <w:t>环境保护目标</w:t>
      </w:r>
    </w:p>
    <w:p w14:paraId="0CE7898B">
      <w:pPr>
        <w:numPr>
          <w:ilvl w:val="0"/>
          <w:numId w:val="4"/>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w:t>
      </w:r>
    </w:p>
    <w:p w14:paraId="65E35952">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全面落实最严格水资源管理制度，合理开发利用和保护水资源，在节水的前提下对水资源进行优化配置，提高水资源利用率，保障水资源可持续利用。严格控制流域水资源开发总量，水资源开发不致对区域水资源利用带来明显不利影响。在保障生态流基流的基础上，充分满足河流生态环境需水要求。</w:t>
      </w:r>
    </w:p>
    <w:p w14:paraId="39AD212C">
      <w:pPr>
        <w:numPr>
          <w:ilvl w:val="0"/>
          <w:numId w:val="4"/>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水环境</w:t>
      </w:r>
    </w:p>
    <w:p w14:paraId="52B87D2E">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水环境保护目标主要为维护河流水功能，保障水质安全，使规划水域水质能满足水功能区水质目标要求，水环境得到改善。</w:t>
      </w:r>
    </w:p>
    <w:p w14:paraId="604E280E">
      <w:pPr>
        <w:numPr>
          <w:ilvl w:val="0"/>
          <w:numId w:val="4"/>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水生态</w:t>
      </w:r>
    </w:p>
    <w:p w14:paraId="088F374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保持和维护流域生态系统结构和功能的完整性、可持续性，维持生态系统健康，确保流域内重要自然生态系统、自然景观和生物多样性得到系统性保护；流域内重点保护动植物等得到有效保护。</w:t>
      </w:r>
    </w:p>
    <w:p w14:paraId="23658AB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（4）社会环境</w:t>
      </w:r>
    </w:p>
    <w:p w14:paraId="3D52DFC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提高流域水资源利用率，完善防洪减灾体系，改善城乡供水条件，促进流域经济、社会可持续发展，确保水资源开发与当地经济社会、生态建设协调可持续发展。通过科学、合理的资源开发和配置，协调好规划工程项目与移民安置、环境保护之间的关系，从源头上减少移民数量，保障移民生活水平和环境卫生条件。</w:t>
      </w:r>
    </w:p>
    <w:p w14:paraId="02DED62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理利用和保护规划相关区域土地资源，避免或减少规划实施对土地资源的破坏，保持土地资源可持续利用；提高流域灌溉供水能力、改善土壤保肥保水能力，保持农业生产可持续发展，保障粮食安全；有效控制和防止规划实施引起土壤退化问题。</w:t>
      </w:r>
    </w:p>
    <w:p w14:paraId="0B80845C">
      <w:pPr>
        <w:pStyle w:val="4"/>
        <w:bidi w:val="0"/>
        <w:rPr>
          <w:rFonts w:hint="default"/>
          <w:highlight w:val="none"/>
          <w:lang w:val="en-US" w:eastAsia="zh-CN"/>
        </w:rPr>
      </w:pPr>
      <w:r>
        <w:rPr>
          <w:rFonts w:hint="default"/>
          <w:highlight w:val="none"/>
          <w:lang w:val="en-US" w:eastAsia="zh-CN"/>
        </w:rPr>
        <w:t>环境敏感目标</w:t>
      </w:r>
    </w:p>
    <w:p w14:paraId="2C707412">
      <w:pPr>
        <w:numPr>
          <w:ilvl w:val="0"/>
          <w:numId w:val="5"/>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自然保护区等</w:t>
      </w:r>
    </w:p>
    <w:p w14:paraId="4799366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冷龙沟流域不涉及自然保护区、风景名胜区、森林公园、湿地公园。但涉及一处饮用水水源地，为县城饮用水水源地。</w:t>
      </w:r>
    </w:p>
    <w:p w14:paraId="6DEBBCDB">
      <w:pPr>
        <w:pStyle w:val="11"/>
        <w:ind w:left="0" w:lef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冷龙沟流域环境敏感目标统计表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2E6A1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DA1170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环境敏感区类型</w:t>
            </w:r>
          </w:p>
        </w:tc>
        <w:tc>
          <w:tcPr>
            <w:tcW w:w="1704" w:type="dxa"/>
            <w:vAlign w:val="center"/>
          </w:tcPr>
          <w:p w14:paraId="45E67D8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敏感区</w:t>
            </w:r>
          </w:p>
        </w:tc>
        <w:tc>
          <w:tcPr>
            <w:tcW w:w="1704" w:type="dxa"/>
            <w:vAlign w:val="center"/>
          </w:tcPr>
          <w:p w14:paraId="03A2CEF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保护区级别</w:t>
            </w:r>
          </w:p>
        </w:tc>
        <w:tc>
          <w:tcPr>
            <w:tcW w:w="1705" w:type="dxa"/>
            <w:vAlign w:val="center"/>
          </w:tcPr>
          <w:p w14:paraId="11C81B39">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敏感对象</w:t>
            </w:r>
          </w:p>
        </w:tc>
        <w:tc>
          <w:tcPr>
            <w:tcW w:w="1705" w:type="dxa"/>
            <w:vAlign w:val="center"/>
          </w:tcPr>
          <w:p w14:paraId="5F697F5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保护目标</w:t>
            </w:r>
          </w:p>
        </w:tc>
      </w:tr>
      <w:tr w14:paraId="5C49F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F542B5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饮用水源保护区</w:t>
            </w:r>
          </w:p>
        </w:tc>
        <w:tc>
          <w:tcPr>
            <w:tcW w:w="1704" w:type="dxa"/>
            <w:vAlign w:val="center"/>
          </w:tcPr>
          <w:p w14:paraId="5E0E453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冷龙沟水源地</w:t>
            </w:r>
          </w:p>
        </w:tc>
        <w:tc>
          <w:tcPr>
            <w:tcW w:w="1704" w:type="dxa"/>
            <w:vAlign w:val="center"/>
          </w:tcPr>
          <w:p w14:paraId="7E1673C3">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县城饮用水源地</w:t>
            </w:r>
          </w:p>
        </w:tc>
        <w:tc>
          <w:tcPr>
            <w:tcW w:w="1705" w:type="dxa"/>
            <w:vAlign w:val="center"/>
          </w:tcPr>
          <w:p w14:paraId="0054CAB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地表水源地</w:t>
            </w:r>
          </w:p>
        </w:tc>
        <w:tc>
          <w:tcPr>
            <w:tcW w:w="1705" w:type="dxa"/>
            <w:vAlign w:val="center"/>
          </w:tcPr>
          <w:p w14:paraId="55D2A9C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保障水源地水质达标</w:t>
            </w:r>
          </w:p>
        </w:tc>
      </w:tr>
    </w:tbl>
    <w:p w14:paraId="0A9045DB">
      <w:pPr>
        <w:numPr>
          <w:ilvl w:val="0"/>
          <w:numId w:val="5"/>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珍稀保护野生动植物</w:t>
      </w:r>
    </w:p>
    <w:p w14:paraId="1343214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基础资料收集和实地调查相结合法进行分析，根据《乡城县尼色拥水库工程水生生物影响评价及补救措施专题报告》及《》，冷龙沟流域范围内</w:t>
      </w:r>
      <w:r>
        <w:rPr>
          <w:rFonts w:hint="default" w:ascii="Times New Roman" w:hAnsi="Times New Roman" w:cs="Times New Roman"/>
          <w:b/>
          <w:bCs/>
          <w:highlight w:val="none"/>
          <w:lang w:val="en-US" w:eastAsia="zh-CN"/>
        </w:rPr>
        <w:t>不涉及珍稀濒危及国家和四川省重点保护的野生动植物</w:t>
      </w:r>
      <w:r>
        <w:rPr>
          <w:rFonts w:hint="default" w:ascii="Times New Roman" w:hAnsi="Times New Roman" w:cs="Times New Roman"/>
          <w:highlight w:val="none"/>
          <w:lang w:val="en-US" w:eastAsia="zh-CN"/>
        </w:rPr>
        <w:t>。</w:t>
      </w:r>
    </w:p>
    <w:p w14:paraId="035CC7E5">
      <w:pPr>
        <w:pStyle w:val="3"/>
        <w:bidi w:val="0"/>
        <w:rPr>
          <w:rFonts w:hint="default"/>
          <w:highlight w:val="none"/>
          <w:lang w:val="en-US" w:eastAsia="zh-CN"/>
        </w:rPr>
      </w:pPr>
      <w:bookmarkStart w:id="19" w:name="_Toc10002"/>
      <w:r>
        <w:rPr>
          <w:rFonts w:hint="default"/>
          <w:highlight w:val="none"/>
          <w:lang w:val="en-US" w:eastAsia="zh-CN"/>
        </w:rPr>
        <w:t>评价标准</w:t>
      </w:r>
      <w:bookmarkEnd w:id="19"/>
    </w:p>
    <w:p w14:paraId="55BA2F29">
      <w:pPr>
        <w:pStyle w:val="4"/>
        <w:bidi w:val="0"/>
        <w:rPr>
          <w:rFonts w:hint="default"/>
          <w:highlight w:val="none"/>
          <w:lang w:val="en-US" w:eastAsia="zh-CN"/>
        </w:rPr>
      </w:pPr>
      <w:r>
        <w:rPr>
          <w:rFonts w:hint="default"/>
          <w:highlight w:val="none"/>
          <w:lang w:val="en-US" w:eastAsia="zh-CN"/>
        </w:rPr>
        <w:t>环境质量标准</w:t>
      </w:r>
    </w:p>
    <w:p w14:paraId="72C38278">
      <w:pPr>
        <w:numPr>
          <w:ilvl w:val="0"/>
          <w:numId w:val="6"/>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地表水环境质量</w:t>
      </w:r>
    </w:p>
    <w:p w14:paraId="6E911D36">
      <w:pPr>
        <w:bidi w:val="0"/>
        <w:rPr>
          <w:rFonts w:hint="default" w:ascii="Times New Roman" w:hAnsi="Times New Roman" w:cs="Times New Roman"/>
          <w:b/>
          <w:bCs/>
          <w:highlight w:val="none"/>
          <w:lang w:val="en-US" w:eastAsia="zh-CN"/>
        </w:rPr>
      </w:pPr>
      <w:r>
        <w:rPr>
          <w:rFonts w:hint="default" w:ascii="Times New Roman" w:hAnsi="Times New Roman" w:cs="Times New Roman"/>
          <w:highlight w:val="none"/>
          <w:lang w:val="en-US" w:eastAsia="zh-CN"/>
        </w:rPr>
        <w:t>根据《四川省水功能区划》及饮用水水源地要求，规划河段水环境执行国家《地表水环境质量标准》（GB3838-2002）</w:t>
      </w:r>
      <w:r>
        <w:rPr>
          <w:rFonts w:hint="default" w:ascii="Times New Roman" w:hAnsi="Times New Roman" w:cs="Times New Roman"/>
          <w:b/>
          <w:bCs/>
          <w:highlight w:val="none"/>
          <w:lang w:val="en-US" w:eastAsia="zh-CN"/>
        </w:rPr>
        <w:t>Ⅲ类</w:t>
      </w:r>
      <w:r>
        <w:rPr>
          <w:rFonts w:hint="default" w:ascii="Times New Roman" w:hAnsi="Times New Roman" w:cs="Times New Roman"/>
          <w:b w:val="0"/>
          <w:bCs w:val="0"/>
          <w:highlight w:val="none"/>
          <w:lang w:val="en-US" w:eastAsia="zh-CN"/>
        </w:rPr>
        <w:t>标准</w:t>
      </w:r>
      <w:r>
        <w:rPr>
          <w:rFonts w:hint="default" w:ascii="Times New Roman" w:hAnsi="Times New Roman" w:cs="Times New Roman"/>
          <w:b/>
          <w:bCs/>
          <w:highlight w:val="none"/>
          <w:lang w:val="en-US" w:eastAsia="zh-CN"/>
        </w:rPr>
        <w:t>。</w:t>
      </w:r>
    </w:p>
    <w:p w14:paraId="789D5BBD">
      <w:pPr>
        <w:pStyle w:val="11"/>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地表水环境质量标准</w:t>
      </w:r>
    </w:p>
    <w:tbl>
      <w:tblPr>
        <w:tblStyle w:val="20"/>
        <w:tblW w:w="9255" w:type="dxa"/>
        <w:tblInd w:w="-47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2385"/>
        <w:gridCol w:w="2175"/>
        <w:gridCol w:w="3060"/>
        <w:gridCol w:w="915"/>
      </w:tblGrid>
      <w:tr w14:paraId="2A33F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0203971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2385" w:type="dxa"/>
          </w:tcPr>
          <w:p w14:paraId="6BAE1E2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w:t>
            </w:r>
          </w:p>
        </w:tc>
        <w:tc>
          <w:tcPr>
            <w:tcW w:w="2175" w:type="dxa"/>
          </w:tcPr>
          <w:p w14:paraId="537AEBE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Ⅱ类标准</w:t>
            </w:r>
          </w:p>
        </w:tc>
        <w:tc>
          <w:tcPr>
            <w:tcW w:w="3060" w:type="dxa"/>
          </w:tcPr>
          <w:p w14:paraId="4B66660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Ⅲ类标准</w:t>
            </w:r>
          </w:p>
        </w:tc>
        <w:tc>
          <w:tcPr>
            <w:tcW w:w="915" w:type="dxa"/>
          </w:tcPr>
          <w:p w14:paraId="1B36994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单位</w:t>
            </w:r>
          </w:p>
        </w:tc>
      </w:tr>
      <w:tr w14:paraId="118B2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6849584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2385" w:type="dxa"/>
          </w:tcPr>
          <w:p w14:paraId="3B27F7D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水温</w:t>
            </w:r>
          </w:p>
        </w:tc>
        <w:tc>
          <w:tcPr>
            <w:tcW w:w="5235" w:type="dxa"/>
            <w:gridSpan w:val="2"/>
          </w:tcPr>
          <w:p w14:paraId="7333555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人为造成的环境水温变化应限制在：周平均最大温升≤1</w:t>
            </w:r>
          </w:p>
        </w:tc>
        <w:tc>
          <w:tcPr>
            <w:tcW w:w="915" w:type="dxa"/>
          </w:tcPr>
          <w:p w14:paraId="24766D4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r>
      <w:tr w14:paraId="5D8C5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7244CED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2385" w:type="dxa"/>
          </w:tcPr>
          <w:p w14:paraId="54CF72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pH值</w:t>
            </w:r>
          </w:p>
        </w:tc>
        <w:tc>
          <w:tcPr>
            <w:tcW w:w="2175" w:type="dxa"/>
          </w:tcPr>
          <w:p w14:paraId="548E7C4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6-9</w:t>
            </w:r>
          </w:p>
        </w:tc>
        <w:tc>
          <w:tcPr>
            <w:tcW w:w="3060" w:type="dxa"/>
          </w:tcPr>
          <w:p w14:paraId="32A28BF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6-9</w:t>
            </w:r>
          </w:p>
        </w:tc>
        <w:tc>
          <w:tcPr>
            <w:tcW w:w="915" w:type="dxa"/>
          </w:tcPr>
          <w:p w14:paraId="24D07E8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无量纲</w:t>
            </w:r>
          </w:p>
        </w:tc>
      </w:tr>
      <w:tr w14:paraId="3930D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57AB2E2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2385" w:type="dxa"/>
          </w:tcPr>
          <w:p w14:paraId="721D2CF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溶解氧</w:t>
            </w:r>
          </w:p>
        </w:tc>
        <w:tc>
          <w:tcPr>
            <w:tcW w:w="2175" w:type="dxa"/>
          </w:tcPr>
          <w:p w14:paraId="4827BE0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3060" w:type="dxa"/>
          </w:tcPr>
          <w:p w14:paraId="028D23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915" w:type="dxa"/>
          </w:tcPr>
          <w:p w14:paraId="7A840FE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2C3B4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2F4EE0E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2385" w:type="dxa"/>
          </w:tcPr>
          <w:p w14:paraId="4C79C58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高锰酸盐指数</w:t>
            </w:r>
          </w:p>
        </w:tc>
        <w:tc>
          <w:tcPr>
            <w:tcW w:w="2175" w:type="dxa"/>
          </w:tcPr>
          <w:p w14:paraId="6FB19B7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3060" w:type="dxa"/>
          </w:tcPr>
          <w:p w14:paraId="2452554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915" w:type="dxa"/>
          </w:tcPr>
          <w:p w14:paraId="56DCCD3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7AF47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0F941ED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2385" w:type="dxa"/>
          </w:tcPr>
          <w:p w14:paraId="0BAF0A2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生化需氧量（BOD</w:t>
            </w:r>
            <w:r>
              <w:rPr>
                <w:rFonts w:hint="default" w:ascii="Times New Roman" w:hAnsi="Times New Roman" w:cs="Times New Roman"/>
                <w:highlight w:val="none"/>
                <w:vertAlign w:val="subscript"/>
                <w:lang w:val="en-US" w:eastAsia="zh-CN"/>
              </w:rPr>
              <w:t>5</w:t>
            </w:r>
            <w:r>
              <w:rPr>
                <w:rFonts w:hint="default" w:ascii="Times New Roman" w:hAnsi="Times New Roman" w:cs="Times New Roman"/>
                <w:highlight w:val="none"/>
                <w:lang w:val="en-US" w:eastAsia="zh-CN"/>
              </w:rPr>
              <w:t>）</w:t>
            </w:r>
          </w:p>
        </w:tc>
        <w:tc>
          <w:tcPr>
            <w:tcW w:w="2175" w:type="dxa"/>
          </w:tcPr>
          <w:p w14:paraId="62E5EA1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w:t>
            </w:r>
          </w:p>
        </w:tc>
        <w:tc>
          <w:tcPr>
            <w:tcW w:w="3060" w:type="dxa"/>
          </w:tcPr>
          <w:p w14:paraId="61F1822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915" w:type="dxa"/>
          </w:tcPr>
          <w:p w14:paraId="101408B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71452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0E60A66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2385" w:type="dxa"/>
          </w:tcPr>
          <w:p w14:paraId="3358676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氨氮</w:t>
            </w:r>
          </w:p>
        </w:tc>
        <w:tc>
          <w:tcPr>
            <w:tcW w:w="2175" w:type="dxa"/>
          </w:tcPr>
          <w:p w14:paraId="4B8521F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c>
          <w:tcPr>
            <w:tcW w:w="3060" w:type="dxa"/>
          </w:tcPr>
          <w:p w14:paraId="06E6377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915" w:type="dxa"/>
          </w:tcPr>
          <w:p w14:paraId="3D29D70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188D8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2619090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2385" w:type="dxa"/>
          </w:tcPr>
          <w:p w14:paraId="53BF561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总氮（湖、库、以N计）</w:t>
            </w:r>
          </w:p>
        </w:tc>
        <w:tc>
          <w:tcPr>
            <w:tcW w:w="2175" w:type="dxa"/>
          </w:tcPr>
          <w:p w14:paraId="6DD2D56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c>
          <w:tcPr>
            <w:tcW w:w="3060" w:type="dxa"/>
          </w:tcPr>
          <w:p w14:paraId="60DEA09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915" w:type="dxa"/>
          </w:tcPr>
          <w:p w14:paraId="058D95F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7B905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0140F78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2385" w:type="dxa"/>
          </w:tcPr>
          <w:p w14:paraId="08031EB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总磷（以P 计）</w:t>
            </w:r>
          </w:p>
        </w:tc>
        <w:tc>
          <w:tcPr>
            <w:tcW w:w="2175" w:type="dxa"/>
          </w:tcPr>
          <w:p w14:paraId="277477E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0.1（湖、库 0.025）</w:t>
            </w:r>
          </w:p>
        </w:tc>
        <w:tc>
          <w:tcPr>
            <w:tcW w:w="3060" w:type="dxa"/>
          </w:tcPr>
          <w:p w14:paraId="78EBF34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0.1（湖、库 0.05）</w:t>
            </w:r>
          </w:p>
        </w:tc>
        <w:tc>
          <w:tcPr>
            <w:tcW w:w="915" w:type="dxa"/>
          </w:tcPr>
          <w:p w14:paraId="11C412A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4247F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19D979C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2385" w:type="dxa"/>
          </w:tcPr>
          <w:p w14:paraId="750AEDE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铜</w:t>
            </w:r>
          </w:p>
        </w:tc>
        <w:tc>
          <w:tcPr>
            <w:tcW w:w="2175" w:type="dxa"/>
          </w:tcPr>
          <w:p w14:paraId="41042E5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3060" w:type="dxa"/>
          </w:tcPr>
          <w:p w14:paraId="3250E48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915" w:type="dxa"/>
          </w:tcPr>
          <w:p w14:paraId="44DE248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413A2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70AAA74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2385" w:type="dxa"/>
          </w:tcPr>
          <w:p w14:paraId="072108B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锌</w:t>
            </w:r>
          </w:p>
        </w:tc>
        <w:tc>
          <w:tcPr>
            <w:tcW w:w="2175" w:type="dxa"/>
          </w:tcPr>
          <w:p w14:paraId="6FE51C7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3060" w:type="dxa"/>
          </w:tcPr>
          <w:p w14:paraId="28899B1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915" w:type="dxa"/>
          </w:tcPr>
          <w:p w14:paraId="40F4743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78CDD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6F46CBB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w:t>
            </w:r>
          </w:p>
        </w:tc>
        <w:tc>
          <w:tcPr>
            <w:tcW w:w="2385" w:type="dxa"/>
          </w:tcPr>
          <w:p w14:paraId="7CD1B82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氟化物（以F</w:t>
            </w:r>
            <w:r>
              <w:rPr>
                <w:rFonts w:hint="eastAsia" w:cs="Times New Roman"/>
                <w:highlight w:val="none"/>
                <w:lang w:val="en-US" w:eastAsia="zh-CN"/>
              </w:rPr>
              <w:t>-</w:t>
            </w:r>
            <w:r>
              <w:rPr>
                <w:rFonts w:hint="default" w:ascii="Times New Roman" w:hAnsi="Times New Roman" w:cs="Times New Roman"/>
                <w:highlight w:val="none"/>
                <w:lang w:val="en-US" w:eastAsia="zh-CN"/>
              </w:rPr>
              <w:t>计）</w:t>
            </w:r>
          </w:p>
        </w:tc>
        <w:tc>
          <w:tcPr>
            <w:tcW w:w="2175" w:type="dxa"/>
          </w:tcPr>
          <w:p w14:paraId="3AA771F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3060" w:type="dxa"/>
          </w:tcPr>
          <w:p w14:paraId="1126C28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915" w:type="dxa"/>
          </w:tcPr>
          <w:p w14:paraId="224CF8B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25AE8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1890B7F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2385" w:type="dxa"/>
          </w:tcPr>
          <w:p w14:paraId="644B4D2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硒</w:t>
            </w:r>
          </w:p>
        </w:tc>
        <w:tc>
          <w:tcPr>
            <w:tcW w:w="2175" w:type="dxa"/>
          </w:tcPr>
          <w:p w14:paraId="0DEB613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c>
          <w:tcPr>
            <w:tcW w:w="3060" w:type="dxa"/>
          </w:tcPr>
          <w:p w14:paraId="56115EC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c>
          <w:tcPr>
            <w:tcW w:w="915" w:type="dxa"/>
          </w:tcPr>
          <w:p w14:paraId="3C2AE4D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5AAE6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08D866A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w:t>
            </w:r>
          </w:p>
        </w:tc>
        <w:tc>
          <w:tcPr>
            <w:tcW w:w="2385" w:type="dxa"/>
          </w:tcPr>
          <w:p w14:paraId="2D87FAB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砷</w:t>
            </w:r>
          </w:p>
        </w:tc>
        <w:tc>
          <w:tcPr>
            <w:tcW w:w="2175" w:type="dxa"/>
          </w:tcPr>
          <w:p w14:paraId="647198D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3060" w:type="dxa"/>
          </w:tcPr>
          <w:p w14:paraId="5AF6430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915" w:type="dxa"/>
          </w:tcPr>
          <w:p w14:paraId="29A2D1E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4E40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6F5AAE9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w:t>
            </w:r>
          </w:p>
        </w:tc>
        <w:tc>
          <w:tcPr>
            <w:tcW w:w="2385" w:type="dxa"/>
          </w:tcPr>
          <w:p w14:paraId="0590C8F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汞</w:t>
            </w:r>
          </w:p>
        </w:tc>
        <w:tc>
          <w:tcPr>
            <w:tcW w:w="2175" w:type="dxa"/>
          </w:tcPr>
          <w:p w14:paraId="7DD128A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0.00005</w:t>
            </w:r>
          </w:p>
        </w:tc>
        <w:tc>
          <w:tcPr>
            <w:tcW w:w="3060" w:type="dxa"/>
          </w:tcPr>
          <w:p w14:paraId="6AB267E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0.0001</w:t>
            </w:r>
          </w:p>
        </w:tc>
        <w:tc>
          <w:tcPr>
            <w:tcW w:w="915" w:type="dxa"/>
          </w:tcPr>
          <w:p w14:paraId="21A93EB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1CA8B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5A9A61A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w:t>
            </w:r>
          </w:p>
        </w:tc>
        <w:tc>
          <w:tcPr>
            <w:tcW w:w="2385" w:type="dxa"/>
          </w:tcPr>
          <w:p w14:paraId="099C3E6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镉</w:t>
            </w:r>
          </w:p>
        </w:tc>
        <w:tc>
          <w:tcPr>
            <w:tcW w:w="2175" w:type="dxa"/>
          </w:tcPr>
          <w:p w14:paraId="03F4D19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0.005</w:t>
            </w:r>
          </w:p>
        </w:tc>
        <w:tc>
          <w:tcPr>
            <w:tcW w:w="3060" w:type="dxa"/>
          </w:tcPr>
          <w:p w14:paraId="6F8B2A7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0.005</w:t>
            </w:r>
          </w:p>
        </w:tc>
        <w:tc>
          <w:tcPr>
            <w:tcW w:w="915" w:type="dxa"/>
          </w:tcPr>
          <w:p w14:paraId="314274B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63EA1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1BA1181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w:t>
            </w:r>
          </w:p>
        </w:tc>
        <w:tc>
          <w:tcPr>
            <w:tcW w:w="2385" w:type="dxa"/>
          </w:tcPr>
          <w:p w14:paraId="73EF06F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铬（六价）</w:t>
            </w:r>
          </w:p>
        </w:tc>
        <w:tc>
          <w:tcPr>
            <w:tcW w:w="2175" w:type="dxa"/>
          </w:tcPr>
          <w:p w14:paraId="583F60F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3060" w:type="dxa"/>
          </w:tcPr>
          <w:p w14:paraId="6345B86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915" w:type="dxa"/>
          </w:tcPr>
          <w:p w14:paraId="3372F14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49C0C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43CF083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w:t>
            </w:r>
          </w:p>
        </w:tc>
        <w:tc>
          <w:tcPr>
            <w:tcW w:w="2385" w:type="dxa"/>
          </w:tcPr>
          <w:p w14:paraId="1112C4F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铅</w:t>
            </w:r>
          </w:p>
        </w:tc>
        <w:tc>
          <w:tcPr>
            <w:tcW w:w="2175" w:type="dxa"/>
          </w:tcPr>
          <w:p w14:paraId="0C34530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c>
          <w:tcPr>
            <w:tcW w:w="3060" w:type="dxa"/>
          </w:tcPr>
          <w:p w14:paraId="5B731EB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915" w:type="dxa"/>
          </w:tcPr>
          <w:p w14:paraId="48B5880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163A8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1083291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w:t>
            </w:r>
          </w:p>
        </w:tc>
        <w:tc>
          <w:tcPr>
            <w:tcW w:w="2385" w:type="dxa"/>
          </w:tcPr>
          <w:p w14:paraId="62BD47B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氰化物</w:t>
            </w:r>
          </w:p>
        </w:tc>
        <w:tc>
          <w:tcPr>
            <w:tcW w:w="2175" w:type="dxa"/>
          </w:tcPr>
          <w:p w14:paraId="7D78351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3060" w:type="dxa"/>
          </w:tcPr>
          <w:p w14:paraId="40A9E27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w:t>
            </w:r>
          </w:p>
        </w:tc>
        <w:tc>
          <w:tcPr>
            <w:tcW w:w="915" w:type="dxa"/>
          </w:tcPr>
          <w:p w14:paraId="19545D7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002FB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0D53245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w:t>
            </w:r>
          </w:p>
        </w:tc>
        <w:tc>
          <w:tcPr>
            <w:tcW w:w="2385" w:type="dxa"/>
          </w:tcPr>
          <w:p w14:paraId="7AD88C5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挥发酚</w:t>
            </w:r>
          </w:p>
        </w:tc>
        <w:tc>
          <w:tcPr>
            <w:tcW w:w="2175" w:type="dxa"/>
          </w:tcPr>
          <w:p w14:paraId="2884426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c>
          <w:tcPr>
            <w:tcW w:w="3060" w:type="dxa"/>
          </w:tcPr>
          <w:p w14:paraId="7EC911F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0.005</w:t>
            </w:r>
          </w:p>
        </w:tc>
        <w:tc>
          <w:tcPr>
            <w:tcW w:w="915" w:type="dxa"/>
          </w:tcPr>
          <w:p w14:paraId="4C0213A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247B4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10E310F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w:t>
            </w:r>
          </w:p>
        </w:tc>
        <w:tc>
          <w:tcPr>
            <w:tcW w:w="2385" w:type="dxa"/>
          </w:tcPr>
          <w:p w14:paraId="4B82BBB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石油类</w:t>
            </w:r>
          </w:p>
        </w:tc>
        <w:tc>
          <w:tcPr>
            <w:tcW w:w="2175" w:type="dxa"/>
          </w:tcPr>
          <w:p w14:paraId="7A9EC34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3060" w:type="dxa"/>
          </w:tcPr>
          <w:p w14:paraId="1ED2B28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915" w:type="dxa"/>
          </w:tcPr>
          <w:p w14:paraId="385CA1E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11466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0116793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21</w:t>
            </w:r>
          </w:p>
        </w:tc>
        <w:tc>
          <w:tcPr>
            <w:tcW w:w="2385" w:type="dxa"/>
          </w:tcPr>
          <w:p w14:paraId="0F8A49A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阴离子表面活性剂</w:t>
            </w:r>
          </w:p>
        </w:tc>
        <w:tc>
          <w:tcPr>
            <w:tcW w:w="2175" w:type="dxa"/>
          </w:tcPr>
          <w:p w14:paraId="5F5C606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w:t>
            </w:r>
          </w:p>
        </w:tc>
        <w:tc>
          <w:tcPr>
            <w:tcW w:w="3060" w:type="dxa"/>
          </w:tcPr>
          <w:p w14:paraId="0B612AC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w:t>
            </w:r>
          </w:p>
        </w:tc>
        <w:tc>
          <w:tcPr>
            <w:tcW w:w="915" w:type="dxa"/>
          </w:tcPr>
          <w:p w14:paraId="53D525E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0D52C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2E52E0C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w:t>
            </w:r>
          </w:p>
        </w:tc>
        <w:tc>
          <w:tcPr>
            <w:tcW w:w="2385" w:type="dxa"/>
          </w:tcPr>
          <w:p w14:paraId="796C339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硫化物</w:t>
            </w:r>
          </w:p>
        </w:tc>
        <w:tc>
          <w:tcPr>
            <w:tcW w:w="2175" w:type="dxa"/>
          </w:tcPr>
          <w:p w14:paraId="06BD201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w:t>
            </w:r>
          </w:p>
        </w:tc>
        <w:tc>
          <w:tcPr>
            <w:tcW w:w="3060" w:type="dxa"/>
          </w:tcPr>
          <w:p w14:paraId="3A84249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w:t>
            </w:r>
          </w:p>
        </w:tc>
        <w:tc>
          <w:tcPr>
            <w:tcW w:w="915" w:type="dxa"/>
          </w:tcPr>
          <w:p w14:paraId="732C01D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49332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614FCE9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w:t>
            </w:r>
          </w:p>
        </w:tc>
        <w:tc>
          <w:tcPr>
            <w:tcW w:w="2385" w:type="dxa"/>
          </w:tcPr>
          <w:p w14:paraId="1406E97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类大肠菌群</w:t>
            </w:r>
          </w:p>
        </w:tc>
        <w:tc>
          <w:tcPr>
            <w:tcW w:w="2175" w:type="dxa"/>
          </w:tcPr>
          <w:p w14:paraId="5705F4D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2000</w:t>
            </w:r>
          </w:p>
        </w:tc>
        <w:tc>
          <w:tcPr>
            <w:tcW w:w="3060" w:type="dxa"/>
          </w:tcPr>
          <w:p w14:paraId="30CC5C0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10000</w:t>
            </w:r>
          </w:p>
        </w:tc>
        <w:tc>
          <w:tcPr>
            <w:tcW w:w="915" w:type="dxa"/>
          </w:tcPr>
          <w:p w14:paraId="0CCC495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个/L</w:t>
            </w:r>
          </w:p>
        </w:tc>
      </w:tr>
    </w:tbl>
    <w:p w14:paraId="696EC812">
      <w:pPr>
        <w:pStyle w:val="11"/>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集中式生活饮用水地表水源地补充项目标准限值</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9"/>
        <w:gridCol w:w="2730"/>
        <w:gridCol w:w="2685"/>
        <w:gridCol w:w="1928"/>
      </w:tblGrid>
      <w:tr w14:paraId="287BB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9" w:type="dxa"/>
          </w:tcPr>
          <w:p w14:paraId="48E04A5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2730" w:type="dxa"/>
          </w:tcPr>
          <w:p w14:paraId="4866811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w:t>
            </w:r>
          </w:p>
        </w:tc>
        <w:tc>
          <w:tcPr>
            <w:tcW w:w="2685" w:type="dxa"/>
          </w:tcPr>
          <w:p w14:paraId="7E52FE4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标准值</w:t>
            </w:r>
          </w:p>
        </w:tc>
        <w:tc>
          <w:tcPr>
            <w:tcW w:w="1928" w:type="dxa"/>
          </w:tcPr>
          <w:p w14:paraId="011F4CB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单位</w:t>
            </w:r>
          </w:p>
        </w:tc>
      </w:tr>
      <w:tr w14:paraId="57DD9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9" w:type="dxa"/>
          </w:tcPr>
          <w:p w14:paraId="441DC3D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2730" w:type="dxa"/>
          </w:tcPr>
          <w:p w14:paraId="5A273CF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硫酸盐（以SO4</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计）</w:t>
            </w:r>
          </w:p>
        </w:tc>
        <w:tc>
          <w:tcPr>
            <w:tcW w:w="2685" w:type="dxa"/>
          </w:tcPr>
          <w:p w14:paraId="255B791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w:t>
            </w:r>
          </w:p>
        </w:tc>
        <w:tc>
          <w:tcPr>
            <w:tcW w:w="1928" w:type="dxa"/>
          </w:tcPr>
          <w:p w14:paraId="4D6BB98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50EE4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9" w:type="dxa"/>
          </w:tcPr>
          <w:p w14:paraId="1DE6BFF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2730" w:type="dxa"/>
          </w:tcPr>
          <w:p w14:paraId="550FB7D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氯化物（以Cl</w:t>
            </w:r>
            <w:r>
              <w:rPr>
                <w:rFonts w:hint="default" w:ascii="Times New Roman" w:hAnsi="Times New Roman" w:cs="Times New Roman"/>
                <w:highlight w:val="none"/>
                <w:vertAlign w:val="superscript"/>
                <w:lang w:val="en-US" w:eastAsia="zh-CN"/>
              </w:rPr>
              <w:t>-</w:t>
            </w:r>
            <w:r>
              <w:rPr>
                <w:rFonts w:hint="default" w:ascii="Times New Roman" w:hAnsi="Times New Roman" w:cs="Times New Roman"/>
                <w:highlight w:val="none"/>
                <w:lang w:val="en-US" w:eastAsia="zh-CN"/>
              </w:rPr>
              <w:t>计）</w:t>
            </w:r>
          </w:p>
        </w:tc>
        <w:tc>
          <w:tcPr>
            <w:tcW w:w="2685" w:type="dxa"/>
          </w:tcPr>
          <w:p w14:paraId="4563BC6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w:t>
            </w:r>
          </w:p>
        </w:tc>
        <w:tc>
          <w:tcPr>
            <w:tcW w:w="1928" w:type="dxa"/>
          </w:tcPr>
          <w:p w14:paraId="63A631E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6A366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9" w:type="dxa"/>
          </w:tcPr>
          <w:p w14:paraId="41CF23B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2730" w:type="dxa"/>
          </w:tcPr>
          <w:p w14:paraId="0C8D53A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硝酸盐（以N计）</w:t>
            </w:r>
          </w:p>
        </w:tc>
        <w:tc>
          <w:tcPr>
            <w:tcW w:w="2685" w:type="dxa"/>
          </w:tcPr>
          <w:p w14:paraId="007C808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1928" w:type="dxa"/>
          </w:tcPr>
          <w:p w14:paraId="1945C0C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49D0A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9" w:type="dxa"/>
          </w:tcPr>
          <w:p w14:paraId="46125F3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2730" w:type="dxa"/>
          </w:tcPr>
          <w:p w14:paraId="2002804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铁</w:t>
            </w:r>
          </w:p>
        </w:tc>
        <w:tc>
          <w:tcPr>
            <w:tcW w:w="2685" w:type="dxa"/>
          </w:tcPr>
          <w:p w14:paraId="40CA812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c>
          <w:tcPr>
            <w:tcW w:w="1928" w:type="dxa"/>
          </w:tcPr>
          <w:p w14:paraId="54B2304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r w14:paraId="702B3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9" w:type="dxa"/>
          </w:tcPr>
          <w:p w14:paraId="6949021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2730" w:type="dxa"/>
          </w:tcPr>
          <w:p w14:paraId="5EFC7F6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锰</w:t>
            </w:r>
          </w:p>
        </w:tc>
        <w:tc>
          <w:tcPr>
            <w:tcW w:w="2685" w:type="dxa"/>
          </w:tcPr>
          <w:p w14:paraId="2F7AEB4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1928" w:type="dxa"/>
          </w:tcPr>
          <w:p w14:paraId="4ED05D2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mg/L</w:t>
            </w:r>
          </w:p>
        </w:tc>
      </w:tr>
    </w:tbl>
    <w:p w14:paraId="23F0BD0B">
      <w:pPr>
        <w:ind w:left="0" w:leftChars="0" w:firstLine="0" w:firstLineChars="0"/>
        <w:rPr>
          <w:rFonts w:hint="default" w:ascii="Times New Roman" w:hAnsi="Times New Roman" w:cs="Times New Roman"/>
          <w:highlight w:val="none"/>
          <w:lang w:val="en-US" w:eastAsia="zh-CN"/>
        </w:rPr>
      </w:pPr>
    </w:p>
    <w:p w14:paraId="2C7A8FF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（2）地下水环境</w:t>
      </w:r>
    </w:p>
    <w:p w14:paraId="03FD3D8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地下水环境执行《地下水质量标准》（GB/T14848-2017）</w:t>
      </w:r>
      <w:r>
        <w:rPr>
          <w:rFonts w:hint="default" w:ascii="Times New Roman" w:hAnsi="Times New Roman" w:cs="Times New Roman"/>
          <w:b/>
          <w:bCs/>
          <w:highlight w:val="none"/>
          <w:lang w:val="en-US" w:eastAsia="zh-CN"/>
        </w:rPr>
        <w:t>Ⅲ类</w:t>
      </w:r>
      <w:r>
        <w:rPr>
          <w:rFonts w:hint="default" w:ascii="Times New Roman" w:hAnsi="Times New Roman" w:cs="Times New Roman"/>
          <w:highlight w:val="none"/>
          <w:lang w:val="en-US" w:eastAsia="zh-CN"/>
        </w:rPr>
        <w:t>标准。</w:t>
      </w:r>
    </w:p>
    <w:p w14:paraId="6FF5ED0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（3）声环境</w:t>
      </w:r>
    </w:p>
    <w:p w14:paraId="7401418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规划河段声环境执行《声环境质量标准》（GB3096-2008）</w:t>
      </w:r>
      <w:r>
        <w:rPr>
          <w:rFonts w:hint="default" w:ascii="Times New Roman" w:hAnsi="Times New Roman" w:cs="Times New Roman"/>
          <w:b/>
          <w:bCs/>
          <w:highlight w:val="none"/>
          <w:lang w:val="en-US" w:eastAsia="zh-CN"/>
        </w:rPr>
        <w:t>2类</w:t>
      </w:r>
      <w:r>
        <w:rPr>
          <w:rFonts w:hint="default" w:ascii="Times New Roman" w:hAnsi="Times New Roman" w:cs="Times New Roman"/>
          <w:highlight w:val="none"/>
          <w:lang w:val="en-US" w:eastAsia="zh-CN"/>
        </w:rPr>
        <w:t>标准。</w:t>
      </w:r>
    </w:p>
    <w:p w14:paraId="2D48E3C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（4）大气环境</w:t>
      </w:r>
    </w:p>
    <w:p w14:paraId="40141A7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大气环境执行《环境空气质量标准》（GB3095-2012）</w:t>
      </w:r>
      <w:r>
        <w:rPr>
          <w:rFonts w:hint="default" w:ascii="Times New Roman" w:hAnsi="Times New Roman" w:cs="Times New Roman"/>
          <w:b/>
          <w:bCs/>
          <w:highlight w:val="none"/>
          <w:lang w:val="en-US" w:eastAsia="zh-CN"/>
        </w:rPr>
        <w:t>二级</w:t>
      </w:r>
      <w:r>
        <w:rPr>
          <w:rFonts w:hint="default" w:ascii="Times New Roman" w:hAnsi="Times New Roman" w:cs="Times New Roman"/>
          <w:highlight w:val="none"/>
          <w:lang w:val="en-US" w:eastAsia="zh-CN"/>
        </w:rPr>
        <w:t>标准。</w:t>
      </w:r>
    </w:p>
    <w:p w14:paraId="7BFC17B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（5）生态环境</w:t>
      </w:r>
    </w:p>
    <w:p w14:paraId="2CE8AA1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符合国家和四川省有关生态质量的规定和要求，以不减少流域内濒危珍稀动植物和不破坏生态系统稳定性为标准。</w:t>
      </w:r>
    </w:p>
    <w:p w14:paraId="2A9DC138">
      <w:pPr>
        <w:pStyle w:val="4"/>
        <w:bidi w:val="0"/>
        <w:rPr>
          <w:rFonts w:hint="default"/>
          <w:highlight w:val="none"/>
          <w:lang w:val="en-US" w:eastAsia="zh-CN"/>
        </w:rPr>
      </w:pPr>
      <w:r>
        <w:rPr>
          <w:rFonts w:hint="default"/>
          <w:highlight w:val="none"/>
          <w:lang w:val="en-US" w:eastAsia="zh-CN"/>
        </w:rPr>
        <w:t>污染物排放标准</w:t>
      </w:r>
    </w:p>
    <w:p w14:paraId="056F154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（1）废水</w:t>
      </w:r>
    </w:p>
    <w:p w14:paraId="34CEF10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规划河段地表水执行Ⅲ类水质标准的水域，废水执行《污水综合排放标准》（GB8978-1996）一级标准；经城镇污水处理厂处理的污水，执行《城镇污水处理厂污染物排放标准》（GB18918-2002）一级A标准。</w:t>
      </w:r>
    </w:p>
    <w:p w14:paraId="7840C0D7">
      <w:pPr>
        <w:numPr>
          <w:ilvl w:val="0"/>
          <w:numId w:val="6"/>
        </w:numPr>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废气</w:t>
      </w:r>
    </w:p>
    <w:p w14:paraId="4F2C89E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由于规划方案中的防洪工程和水资源开发利用产生的大气污染物以无组织排放为主，故本评价执行《大气污染物综合排放标准》（GB16297-1996）中新污染物排放限制。</w:t>
      </w:r>
    </w:p>
    <w:p w14:paraId="1861B4D5">
      <w:pPr>
        <w:numPr>
          <w:ilvl w:val="0"/>
          <w:numId w:val="6"/>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噪声</w:t>
      </w:r>
    </w:p>
    <w:p w14:paraId="2B15467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规划项目施工执行《建筑施工场界环境噪声排放标准》（GB12512-2011）中的相应标准；运行期噪声执行《工业企业厂界环境噪声排放标准》（GB12348-2008）中的相应标准。</w:t>
      </w:r>
    </w:p>
    <w:p w14:paraId="08C52152">
      <w:pPr>
        <w:numPr>
          <w:ilvl w:val="0"/>
          <w:numId w:val="6"/>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固废</w:t>
      </w:r>
    </w:p>
    <w:p w14:paraId="74AFA23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本评价执行《一般工业固体废物贮存和填埋污染控制标准》（GB18599-2020）。</w:t>
      </w:r>
    </w:p>
    <w:p w14:paraId="5AB7F727">
      <w:pPr>
        <w:pStyle w:val="3"/>
        <w:bidi w:val="0"/>
        <w:rPr>
          <w:rFonts w:hint="default"/>
          <w:highlight w:val="none"/>
          <w:lang w:val="en-US" w:eastAsia="zh-CN"/>
        </w:rPr>
      </w:pPr>
      <w:bookmarkStart w:id="20" w:name="_Toc18554"/>
      <w:r>
        <w:rPr>
          <w:rFonts w:hint="default"/>
          <w:highlight w:val="none"/>
          <w:lang w:val="en-US" w:eastAsia="zh-CN"/>
        </w:rPr>
        <w:t>评价内容及评价重点</w:t>
      </w:r>
      <w:bookmarkEnd w:id="20"/>
    </w:p>
    <w:p w14:paraId="1ED8F151">
      <w:pPr>
        <w:pStyle w:val="4"/>
        <w:bidi w:val="0"/>
        <w:rPr>
          <w:rFonts w:hint="default"/>
          <w:highlight w:val="none"/>
          <w:lang w:val="en-US" w:eastAsia="zh-CN"/>
        </w:rPr>
      </w:pPr>
      <w:r>
        <w:rPr>
          <w:rFonts w:hint="default"/>
          <w:highlight w:val="none"/>
          <w:lang w:val="en-US" w:eastAsia="zh-CN"/>
        </w:rPr>
        <w:t>评价内容</w:t>
      </w:r>
    </w:p>
    <w:p w14:paraId="59C924DB">
      <w:pPr>
        <w:numPr>
          <w:ilvl w:val="0"/>
          <w:numId w:val="7"/>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阐明流域综合规划任务、规划目标，并分析冷龙沟流域综合规划与国家相关政策与法律法规的符合性，与国家上位规划的符合性，与区域地方相关规划的协调性及规划内部的协调性。</w:t>
      </w:r>
    </w:p>
    <w:p w14:paraId="4BE96FAB">
      <w:pPr>
        <w:numPr>
          <w:ilvl w:val="0"/>
          <w:numId w:val="7"/>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收集冷龙沟流域相关资料的基础上，对流域的水文水资源、水环境、生态环境、环境敏感区现状分河段分区域进行调查与评价；对流域环境影响进行回顾性评价，并对环境发展趋势进行分析。在此基础上，识别主要环境问题，分析规划实施的环境制约因素。</w:t>
      </w:r>
    </w:p>
    <w:p w14:paraId="4790D5F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（3）结合冷龙沟流域环境特点及具体规划方案，对规划进行环境影响因素分析和环境影响初步识别，制定评价指标体系。</w:t>
      </w:r>
    </w:p>
    <w:p w14:paraId="693466A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（4）预测流域综合规划实施对水文水资源、水环境、生态环境、社会及环境敏感区的影响，对规划实施产生的环境风险进行识别与预测。</w:t>
      </w:r>
    </w:p>
    <w:p w14:paraId="02D898E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从布局的环境合理性、规划规模的环境合理性、规划时序合理性及环境保护目标的可达性论证流域综合规划方案的合理性，并从法律制约、资源制约、生态保护制约等方面提出规划实施存在的障碍，并提出规划方案进行优化调整建议。</w:t>
      </w:r>
    </w:p>
    <w:p w14:paraId="04BE463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（6）结合冷龙沟流域环境特点、生态地位和现状评价结果，对规划实施后的不利影响提出可行的环境保护对策措施，并制定跟踪评价计划。</w:t>
      </w:r>
    </w:p>
    <w:p w14:paraId="5BE8E0D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（7）从环境保护角度，对流域综合规划实施的可行性做出结论，并对规划实施过程中存在的问题提出合理性建议。</w:t>
      </w:r>
    </w:p>
    <w:p w14:paraId="2FA3FEB1">
      <w:pPr>
        <w:pStyle w:val="4"/>
        <w:bidi w:val="0"/>
        <w:rPr>
          <w:rFonts w:hint="default"/>
          <w:highlight w:val="none"/>
          <w:lang w:val="en-US" w:eastAsia="zh-CN"/>
        </w:rPr>
      </w:pPr>
      <w:r>
        <w:rPr>
          <w:rFonts w:hint="default"/>
          <w:highlight w:val="none"/>
          <w:lang w:val="en-US" w:eastAsia="zh-CN"/>
        </w:rPr>
        <w:t>评价重点</w:t>
      </w:r>
    </w:p>
    <w:p w14:paraId="056EA6E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冷龙沟流域目前存在的主要问题是防洪工程体系不健全、城市供水保障问题突出等。根据其特点及存在问题，识别出以下评价工作的重点:</w:t>
      </w:r>
    </w:p>
    <w:p w14:paraId="01D80DC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（1）规划与国家及省区相关法律法规、规划、政策文件、功能区划的符合性和协调性分析，规划内部的协调性分析。</w:t>
      </w:r>
    </w:p>
    <w:p w14:paraId="16DE3A1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（2）冷龙沟流域已有环境现状、环境问题及发展趋势分析评价。</w:t>
      </w:r>
    </w:p>
    <w:p w14:paraId="43B1614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（3）分析规划实施对水文水资源、水环境、生态环境、社会环境、土地资源、环境敏感区的影响，并提出合理有效的环境保护对策与减缓措施。</w:t>
      </w:r>
    </w:p>
    <w:p w14:paraId="3EEE101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（4）从总体布局、开发时序等角度分析规划方案的环境合理性，体现由于环评早期介入，规划进行的优化调整过程，并提出进一步优化调整的建议。</w:t>
      </w:r>
    </w:p>
    <w:p w14:paraId="40F13F1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（5）从规划布局、规模、开发时序等角度，论证流域综合规划方案的环境合理性，并提出规划方案的优化调整建议。</w:t>
      </w:r>
    </w:p>
    <w:p w14:paraId="52BA47C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（6）分析流域水资源、水环境、生态等要素对规划实施的承载能力，对规划实施的水资源利用目标、水环境保护目标、生态保护目标可达性进行分析。</w:t>
      </w:r>
    </w:p>
    <w:p w14:paraId="0758162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（7）从环境保护角度，对冷龙沟流域综合规划提出合理的、可行的优化调整方案。</w:t>
      </w:r>
    </w:p>
    <w:p w14:paraId="0420EE3D">
      <w:pPr>
        <w:pStyle w:val="3"/>
        <w:bidi w:val="0"/>
        <w:rPr>
          <w:rFonts w:hint="default"/>
          <w:highlight w:val="none"/>
          <w:lang w:val="en-US" w:eastAsia="zh-CN"/>
        </w:rPr>
      </w:pPr>
      <w:bookmarkStart w:id="21" w:name="_Toc28857"/>
      <w:r>
        <w:rPr>
          <w:rFonts w:hint="default"/>
          <w:highlight w:val="none"/>
          <w:lang w:val="en-US" w:eastAsia="zh-CN"/>
        </w:rPr>
        <w:t>相关区划</w:t>
      </w:r>
      <w:bookmarkEnd w:id="21"/>
    </w:p>
    <w:p w14:paraId="395B6F4D">
      <w:pPr>
        <w:pStyle w:val="4"/>
        <w:bidi w:val="0"/>
        <w:rPr>
          <w:rFonts w:hint="default"/>
          <w:highlight w:val="none"/>
          <w:lang w:val="en-US" w:eastAsia="zh-CN"/>
        </w:rPr>
      </w:pPr>
      <w:r>
        <w:rPr>
          <w:rFonts w:hint="default"/>
          <w:highlight w:val="none"/>
          <w:lang w:val="en-US" w:eastAsia="zh-CN"/>
        </w:rPr>
        <w:t>水环境功能区划及饮用水源保护区概况</w:t>
      </w:r>
    </w:p>
    <w:p w14:paraId="4E654676">
      <w:pPr>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根据</w:t>
      </w:r>
      <w:r>
        <w:rPr>
          <w:rFonts w:hint="default" w:ascii="Times New Roman" w:hAnsi="Times New Roman" w:cs="Times New Roman"/>
          <w:b w:val="0"/>
          <w:bCs w:val="0"/>
          <w:color w:val="auto"/>
          <w:sz w:val="24"/>
          <w:szCs w:val="24"/>
          <w:highlight w:val="none"/>
        </w:rPr>
        <w:t>《全国重要江河湖泊水功能区划</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2011</w:t>
      </w:r>
      <w:r>
        <w:rPr>
          <w:rFonts w:hint="eastAsia"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2030年</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w:t>
      </w:r>
      <w:r>
        <w:rPr>
          <w:rFonts w:hint="default" w:ascii="Times New Roman" w:hAnsi="Times New Roman" w:cs="Times New Roman"/>
          <w:color w:val="auto"/>
          <w:sz w:val="24"/>
          <w:highlight w:val="none"/>
          <w:lang w:val="en-US" w:eastAsia="zh-CN"/>
        </w:rPr>
        <w:t>和</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四川省</w:t>
      </w:r>
      <w:r>
        <w:rPr>
          <w:rFonts w:hint="default" w:ascii="Times New Roman" w:hAnsi="Times New Roman" w:cs="Times New Roman"/>
          <w:color w:val="auto"/>
          <w:sz w:val="24"/>
          <w:highlight w:val="none"/>
        </w:rPr>
        <w:t>水功能区划报告》（2020年10月），</w:t>
      </w:r>
      <w:r>
        <w:rPr>
          <w:rFonts w:hint="default" w:ascii="Times New Roman" w:hAnsi="Times New Roman" w:cs="Times New Roman"/>
          <w:color w:val="auto"/>
          <w:sz w:val="24"/>
          <w:highlight w:val="none"/>
          <w:lang w:val="en-US" w:eastAsia="zh-CN"/>
        </w:rPr>
        <w:t>本项目所在冷龙沟尚未划分水功能区，冷龙沟为硕曲右岸一级支流，根据《四川省水功能区划》，硕曲共划分四个一级水功能区，冷龙沟河口位于硕曲河理塘乡城保留区，硕曲河水功能区划详见</w:t>
      </w:r>
      <w:r>
        <w:rPr>
          <w:rFonts w:hint="default" w:ascii="Times New Roman" w:hAnsi="Times New Roman" w:cs="Times New Roman"/>
          <w:color w:val="auto"/>
          <w:sz w:val="24"/>
          <w:highlight w:val="none"/>
          <w:lang w:val="en-US" w:eastAsia="zh-CN"/>
        </w:rPr>
        <w:fldChar w:fldCharType="begin"/>
      </w:r>
      <w:r>
        <w:rPr>
          <w:rFonts w:hint="default" w:ascii="Times New Roman" w:hAnsi="Times New Roman" w:cs="Times New Roman"/>
          <w:color w:val="auto"/>
          <w:sz w:val="24"/>
          <w:highlight w:val="none"/>
          <w:lang w:val="en-US" w:eastAsia="zh-CN"/>
        </w:rPr>
        <w:instrText xml:space="preserve"> REF _Ref4339 \h </w:instrText>
      </w:r>
      <w:r>
        <w:rPr>
          <w:rFonts w:hint="default" w:ascii="Times New Roman" w:hAnsi="Times New Roman" w:cs="Times New Roman"/>
          <w:color w:val="auto"/>
          <w:sz w:val="24"/>
          <w:highlight w:val="none"/>
          <w:lang w:val="en-US" w:eastAsia="zh-CN"/>
        </w:rPr>
        <w:fldChar w:fldCharType="separate"/>
      </w:r>
      <w:r>
        <w:rPr>
          <w:rFonts w:hint="default" w:ascii="Times New Roman" w:hAnsi="Times New Roman" w:cs="Times New Roman"/>
          <w:highlight w:val="none"/>
        </w:rPr>
        <w:t>表 5</w:t>
      </w:r>
      <w:r>
        <w:rPr>
          <w:rFonts w:hint="default" w:ascii="Times New Roman" w:hAnsi="Times New Roman" w:cs="Times New Roman"/>
          <w:color w:val="auto"/>
          <w:sz w:val="24"/>
          <w:highlight w:val="none"/>
          <w:lang w:val="en-US" w:eastAsia="zh-CN"/>
        </w:rPr>
        <w:fldChar w:fldCharType="end"/>
      </w:r>
      <w:r>
        <w:rPr>
          <w:rFonts w:hint="eastAsia" w:cs="Times New Roman"/>
          <w:color w:val="auto"/>
          <w:sz w:val="24"/>
          <w:highlight w:val="none"/>
          <w:lang w:val="en-US" w:eastAsia="zh-CN"/>
        </w:rPr>
        <w:t>。</w:t>
      </w:r>
    </w:p>
    <w:p w14:paraId="4D42D4A8">
      <w:pPr>
        <w:pStyle w:val="11"/>
        <w:bidi w:val="0"/>
        <w:ind w:left="0" w:leftChars="0" w:firstLine="0" w:firstLineChars="0"/>
        <w:jc w:val="center"/>
        <w:rPr>
          <w:rFonts w:hint="default" w:ascii="Times New Roman" w:hAnsi="Times New Roman" w:cs="Times New Roman"/>
          <w:highlight w:val="none"/>
          <w:lang w:val="en-US" w:eastAsia="zh-CN"/>
        </w:rPr>
      </w:pPr>
      <w:bookmarkStart w:id="22" w:name="_Ref4339"/>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w:t>
      </w:r>
      <w:r>
        <w:rPr>
          <w:rFonts w:hint="default" w:ascii="Times New Roman" w:hAnsi="Times New Roman" w:cs="Times New Roman"/>
          <w:highlight w:val="none"/>
        </w:rPr>
        <w:fldChar w:fldCharType="end"/>
      </w:r>
      <w:bookmarkEnd w:id="22"/>
      <w:r>
        <w:rPr>
          <w:rFonts w:hint="default" w:ascii="Times New Roman" w:hAnsi="Times New Roman" w:cs="Times New Roman"/>
          <w:highlight w:val="none"/>
          <w:lang w:val="en-US" w:eastAsia="zh-CN"/>
        </w:rPr>
        <w:t xml:space="preserve"> 硕曲河水功能区划情况表</w:t>
      </w:r>
    </w:p>
    <w:tbl>
      <w:tblPr>
        <w:tblStyle w:val="1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85"/>
        <w:gridCol w:w="1478"/>
        <w:gridCol w:w="1500"/>
        <w:gridCol w:w="911"/>
        <w:gridCol w:w="825"/>
        <w:gridCol w:w="868"/>
        <w:gridCol w:w="782"/>
        <w:gridCol w:w="873"/>
      </w:tblGrid>
      <w:tr w14:paraId="2B84B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0CC19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水功能一级区名称</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F8B6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起始范围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9A73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终止范围</w:t>
            </w:r>
          </w:p>
        </w:tc>
        <w:tc>
          <w:tcPr>
            <w:tcW w:w="9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8FDA3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水质代表断面</w:t>
            </w:r>
          </w:p>
        </w:tc>
        <w:tc>
          <w:tcPr>
            <w:tcW w:w="8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C3178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长度          （km）</w:t>
            </w:r>
          </w:p>
        </w:tc>
        <w:tc>
          <w:tcPr>
            <w:tcW w:w="86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85CF6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水质</w:t>
            </w:r>
          </w:p>
          <w:p w14:paraId="1FA9503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现状</w:t>
            </w:r>
          </w:p>
        </w:tc>
        <w:tc>
          <w:tcPr>
            <w:tcW w:w="78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D85A4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水质目标</w:t>
            </w:r>
          </w:p>
        </w:tc>
        <w:tc>
          <w:tcPr>
            <w:tcW w:w="87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EC9FB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区划</w:t>
            </w:r>
          </w:p>
          <w:p w14:paraId="059DF56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依据</w:t>
            </w:r>
          </w:p>
        </w:tc>
      </w:tr>
      <w:tr w14:paraId="34B406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C78242">
            <w:pPr>
              <w:pStyle w:val="22"/>
              <w:bidi w:val="0"/>
              <w:rPr>
                <w:rFonts w:hint="default" w:ascii="Times New Roman" w:hAnsi="Times New Roman" w:cs="Times New Roman"/>
                <w:highlight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B583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起始范围名称</w:t>
            </w:r>
          </w:p>
          <w:p w14:paraId="2181CC6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（东经，北纬）</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5326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终止范围名称</w:t>
            </w:r>
          </w:p>
          <w:p w14:paraId="28CA4EA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（东经，北纬）</w:t>
            </w:r>
          </w:p>
        </w:tc>
        <w:tc>
          <w:tcPr>
            <w:tcW w:w="9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3EBA08">
            <w:pPr>
              <w:pStyle w:val="22"/>
              <w:bidi w:val="0"/>
              <w:rPr>
                <w:rFonts w:hint="default" w:ascii="Times New Roman" w:hAnsi="Times New Roman" w:cs="Times New Roman"/>
                <w:highlight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D90420">
            <w:pPr>
              <w:pStyle w:val="22"/>
              <w:bidi w:val="0"/>
              <w:rPr>
                <w:rFonts w:hint="default" w:ascii="Times New Roman" w:hAnsi="Times New Roman" w:cs="Times New Roman"/>
                <w:highlight w:val="none"/>
              </w:rPr>
            </w:pPr>
          </w:p>
        </w:tc>
        <w:tc>
          <w:tcPr>
            <w:tcW w:w="86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EE6181">
            <w:pPr>
              <w:pStyle w:val="22"/>
              <w:bidi w:val="0"/>
              <w:rPr>
                <w:rFonts w:hint="default" w:ascii="Times New Roman" w:hAnsi="Times New Roman" w:cs="Times New Roman"/>
                <w:highlight w:val="none"/>
              </w:rPr>
            </w:pPr>
          </w:p>
        </w:tc>
        <w:tc>
          <w:tcPr>
            <w:tcW w:w="78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B95D79">
            <w:pPr>
              <w:pStyle w:val="22"/>
              <w:bidi w:val="0"/>
              <w:rPr>
                <w:rFonts w:hint="default" w:ascii="Times New Roman" w:hAnsi="Times New Roman" w:cs="Times New Roman"/>
                <w:highlight w:val="none"/>
              </w:rPr>
            </w:pPr>
          </w:p>
        </w:tc>
        <w:tc>
          <w:tcPr>
            <w:tcW w:w="87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985495">
            <w:pPr>
              <w:pStyle w:val="22"/>
              <w:bidi w:val="0"/>
              <w:rPr>
                <w:rFonts w:hint="default" w:ascii="Times New Roman" w:hAnsi="Times New Roman" w:cs="Times New Roman"/>
                <w:highlight w:val="none"/>
              </w:rPr>
            </w:pPr>
          </w:p>
        </w:tc>
      </w:tr>
      <w:tr w14:paraId="2A1966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74B9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硕曲河源头水保护区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43FF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河源</w:t>
            </w:r>
          </w:p>
          <w:p w14:paraId="59F6950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99°58ˊ24″</w:t>
            </w:r>
          </w:p>
          <w:p w14:paraId="1673D4D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29°46ˊ38″</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860F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喇嘛亚</w:t>
            </w:r>
          </w:p>
          <w:p w14:paraId="2094919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99°49ˊ52″</w:t>
            </w:r>
          </w:p>
          <w:p w14:paraId="459DAB4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29°50ˊ19″</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46A8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喇嘛亚</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A80F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81</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82C2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5F58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6E1B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源头水</w:t>
            </w:r>
          </w:p>
        </w:tc>
      </w:tr>
      <w:tr w14:paraId="59FBC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AEEB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硕曲河理塘乡城保留区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4A57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喇嘛亚</w:t>
            </w:r>
          </w:p>
          <w:p w14:paraId="5A7A333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99°49ˊ52″</w:t>
            </w:r>
          </w:p>
          <w:p w14:paraId="2FE79C9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29°50ˊ19″</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58AF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洞松</w:t>
            </w:r>
          </w:p>
          <w:p w14:paraId="1B42BF1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99°48ˊ26″</w:t>
            </w:r>
          </w:p>
          <w:p w14:paraId="675A25B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28°45ˊ41″</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AEBF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洞松</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3ADA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167</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AFAA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6BDA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4DA5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开发利用程度不高</w:t>
            </w:r>
          </w:p>
        </w:tc>
      </w:tr>
      <w:tr w14:paraId="09E20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9DCF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硕曲河川滇缓冲区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7D14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洞松</w:t>
            </w:r>
          </w:p>
          <w:p w14:paraId="6C3D4E6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99°48ˊ26″</w:t>
            </w:r>
          </w:p>
          <w:p w14:paraId="7650479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28°45ˊ41″</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3754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毛屋</w:t>
            </w:r>
          </w:p>
          <w:p w14:paraId="307291A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99°21ˊ41″</w:t>
            </w:r>
          </w:p>
          <w:p w14:paraId="34AC71C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28°26ˊ45″</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8298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毛屋</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C61D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17</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A04B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54A6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2F1A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省界</w:t>
            </w:r>
          </w:p>
        </w:tc>
      </w:tr>
      <w:tr w14:paraId="0A5AF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72B8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硕曲河得荣保留区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F1F1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毛屋</w:t>
            </w:r>
          </w:p>
          <w:p w14:paraId="501F00B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99°21ˊ41″</w:t>
            </w:r>
          </w:p>
          <w:p w14:paraId="5ADE164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28°26ˊ45″</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98A0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河口</w:t>
            </w:r>
          </w:p>
          <w:p w14:paraId="1BDE83D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99°15ˊ22″</w:t>
            </w:r>
          </w:p>
          <w:p w14:paraId="1CF6F2F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28°25ˊ40″</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46F4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日瓦</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6995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25</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4CBF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9249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6B14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开发利用程度不高</w:t>
            </w:r>
          </w:p>
        </w:tc>
      </w:tr>
    </w:tbl>
    <w:p w14:paraId="6C947B99">
      <w:pPr>
        <w:rPr>
          <w:rFonts w:hint="default" w:ascii="Times New Roman" w:hAnsi="Times New Roman"/>
          <w:highlight w:val="none"/>
          <w:lang w:val="en-US" w:eastAsia="zh-CN"/>
        </w:rPr>
      </w:pPr>
      <w:r>
        <w:rPr>
          <w:rFonts w:hint="default" w:ascii="Times New Roman" w:hAnsi="Times New Roman"/>
          <w:highlight w:val="none"/>
          <w:lang w:val="en-US" w:eastAsia="zh-CN"/>
        </w:rPr>
        <w:t>根据《乡城县冷龙沟冷龙村集中式饮用水水源保护区调整划分技术报告》，冷龙沟开发利用主要为乡城县城水源地，该区内应控制相关项目的建设，水质类别控制标准应不低于水源地水质要求类别，冷龙沟水源地水源类型为地表水，即地表水饮用水水源一级保护区内的水质，不得低于国家《地表水环境质量标准》（GB3838-2002）Ⅱ类标准；二级保护区内的水质，不得低于国家《地表水环境质量标准》（GB3838-2002）Ⅲ类标准。</w:t>
      </w:r>
    </w:p>
    <w:p w14:paraId="4475D5CD">
      <w:pPr>
        <w:rPr>
          <w:rFonts w:hint="default" w:ascii="Times New Roman" w:hAnsi="Times New Roman"/>
          <w:highlight w:val="none"/>
          <w:lang w:val="en-US" w:eastAsia="zh-CN"/>
        </w:rPr>
      </w:pPr>
      <w:r>
        <w:rPr>
          <w:rFonts w:hint="default" w:ascii="Times New Roman" w:hAnsi="Times New Roman"/>
          <w:highlight w:val="none"/>
          <w:lang w:val="en-US" w:eastAsia="zh-CN"/>
        </w:rPr>
        <w:t>冷龙沟冷龙村集中式饮用水水源各级保护区的范围，即：</w:t>
      </w:r>
    </w:p>
    <w:p w14:paraId="4BA90352">
      <w:pPr>
        <w:rPr>
          <w:rFonts w:hint="default" w:ascii="Times New Roman" w:hAnsi="Times New Roman"/>
          <w:highlight w:val="none"/>
          <w:lang w:val="en-US" w:eastAsia="zh-CN"/>
        </w:rPr>
      </w:pPr>
      <w:r>
        <w:rPr>
          <w:rFonts w:hint="default" w:ascii="Times New Roman" w:hAnsi="Times New Roman"/>
          <w:highlight w:val="none"/>
          <w:lang w:val="en-US" w:eastAsia="zh-CN"/>
        </w:rPr>
        <w:t>取水口：乡城县冷龙沟冷龙村，供水水厂上游643米，地理坐标为东经99°45′25.98"，北纬29°01′20.84"。</w:t>
      </w:r>
    </w:p>
    <w:p w14:paraId="6190802E">
      <w:pPr>
        <w:rPr>
          <w:rFonts w:hint="default" w:ascii="Times New Roman" w:hAnsi="Times New Roman"/>
          <w:highlight w:val="none"/>
          <w:lang w:val="en-US" w:eastAsia="zh-CN"/>
        </w:rPr>
      </w:pPr>
      <w:r>
        <w:rPr>
          <w:rFonts w:hint="default" w:ascii="Times New Roman" w:hAnsi="Times New Roman"/>
          <w:highlight w:val="none"/>
          <w:lang w:val="en-US" w:eastAsia="zh-CN"/>
        </w:rPr>
        <w:t>一级保护区水域范围：取水口下游100米上溯至取水口上游干支流1000米，多年平均水位线下的水域。</w:t>
      </w:r>
    </w:p>
    <w:p w14:paraId="1F55407D">
      <w:pPr>
        <w:rPr>
          <w:rFonts w:hint="default" w:ascii="Times New Roman" w:hAnsi="Times New Roman"/>
          <w:highlight w:val="none"/>
          <w:lang w:val="en-US" w:eastAsia="zh-CN"/>
        </w:rPr>
      </w:pPr>
      <w:r>
        <w:rPr>
          <w:rFonts w:hint="default" w:ascii="Times New Roman" w:hAnsi="Times New Roman"/>
          <w:highlight w:val="none"/>
          <w:lang w:val="en-US" w:eastAsia="zh-CN"/>
        </w:rPr>
        <w:t>一级保护区陆域范围：对应一级保护区水域边界沿岸纵深50米的陆域。</w:t>
      </w:r>
    </w:p>
    <w:p w14:paraId="795648DB">
      <w:pPr>
        <w:rPr>
          <w:rFonts w:hint="default" w:ascii="Times New Roman" w:hAnsi="Times New Roman"/>
          <w:highlight w:val="none"/>
          <w:lang w:val="en-US" w:eastAsia="zh-CN"/>
        </w:rPr>
      </w:pPr>
      <w:r>
        <w:rPr>
          <w:rFonts w:hint="default" w:ascii="Times New Roman" w:hAnsi="Times New Roman"/>
          <w:highlight w:val="none"/>
          <w:lang w:val="en-US" w:eastAsia="zh-CN"/>
        </w:rPr>
        <w:t>一级保护区面积共计0.218km</w:t>
      </w:r>
      <w:r>
        <w:rPr>
          <w:rFonts w:hint="default" w:ascii="Times New Roman" w:hAnsi="Times New Roman"/>
          <w:highlight w:val="none"/>
          <w:vertAlign w:val="superscript"/>
          <w:lang w:val="en-US" w:eastAsia="zh-CN"/>
        </w:rPr>
        <w:t>2</w:t>
      </w:r>
      <w:r>
        <w:rPr>
          <w:rFonts w:hint="default" w:ascii="Times New Roman" w:hAnsi="Times New Roman"/>
          <w:highlight w:val="none"/>
          <w:lang w:val="en-US" w:eastAsia="zh-CN"/>
        </w:rPr>
        <w:t>。</w:t>
      </w:r>
    </w:p>
    <w:p w14:paraId="1357C85F">
      <w:pPr>
        <w:rPr>
          <w:rFonts w:hint="default" w:ascii="Times New Roman" w:hAnsi="Times New Roman"/>
          <w:highlight w:val="none"/>
          <w:lang w:val="en-US" w:eastAsia="zh-CN"/>
        </w:rPr>
      </w:pPr>
      <w:r>
        <w:rPr>
          <w:rFonts w:hint="default" w:ascii="Times New Roman" w:hAnsi="Times New Roman"/>
          <w:highlight w:val="none"/>
          <w:lang w:val="en-US" w:eastAsia="zh-CN"/>
        </w:rPr>
        <w:t>二级保护区水域范围：取水口下游300米起上游整个干支流河道，多年平均水位线下的水域（一级保护区水域范围除外）。</w:t>
      </w:r>
    </w:p>
    <w:p w14:paraId="498DA28D">
      <w:pPr>
        <w:rPr>
          <w:rFonts w:hint="default" w:ascii="Times New Roman" w:hAnsi="Times New Roman"/>
          <w:highlight w:val="none"/>
          <w:lang w:val="en-US" w:eastAsia="zh-CN"/>
        </w:rPr>
      </w:pPr>
      <w:r>
        <w:rPr>
          <w:rFonts w:hint="default" w:ascii="Times New Roman" w:hAnsi="Times New Roman"/>
          <w:highlight w:val="none"/>
          <w:lang w:val="en-US" w:eastAsia="zh-CN"/>
        </w:rPr>
        <w:t>二级保护区陆域范围：取水口下游300米起的上游整个汇水区域内除一级保护区以外的陆域。</w:t>
      </w:r>
    </w:p>
    <w:p w14:paraId="577CA99B">
      <w:pPr>
        <w:rPr>
          <w:rFonts w:hint="default" w:ascii="Times New Roman" w:hAnsi="Times New Roman"/>
          <w:highlight w:val="none"/>
          <w:lang w:val="en-US" w:eastAsia="zh-CN"/>
        </w:rPr>
      </w:pPr>
      <w:r>
        <w:rPr>
          <w:rFonts w:hint="default" w:ascii="Times New Roman" w:hAnsi="Times New Roman"/>
          <w:highlight w:val="none"/>
          <w:lang w:val="en-US" w:eastAsia="zh-CN"/>
        </w:rPr>
        <w:t>二级保护区面积共计37.991km</w:t>
      </w:r>
      <w:r>
        <w:rPr>
          <w:rFonts w:hint="default" w:ascii="Times New Roman" w:hAnsi="Times New Roman"/>
          <w:highlight w:val="none"/>
          <w:vertAlign w:val="superscript"/>
          <w:lang w:val="en-US" w:eastAsia="zh-CN"/>
        </w:rPr>
        <w:t>2</w:t>
      </w:r>
      <w:r>
        <w:rPr>
          <w:rFonts w:hint="default" w:ascii="Times New Roman" w:hAnsi="Times New Roman"/>
          <w:highlight w:val="none"/>
          <w:lang w:val="en-US" w:eastAsia="zh-CN"/>
        </w:rPr>
        <w:t>。</w:t>
      </w:r>
    </w:p>
    <w:p w14:paraId="2E87EDF0">
      <w:pPr>
        <w:rPr>
          <w:rFonts w:hint="default" w:ascii="Times New Roman" w:hAnsi="Times New Roman"/>
          <w:highlight w:val="none"/>
          <w:lang w:val="en-US" w:eastAsia="zh-CN"/>
        </w:rPr>
      </w:pPr>
      <w:r>
        <w:rPr>
          <w:rFonts w:hint="default" w:ascii="Times New Roman" w:hAnsi="Times New Roman"/>
          <w:highlight w:val="none"/>
          <w:lang w:val="en-US" w:eastAsia="zh-CN"/>
        </w:rPr>
        <w:t>综上，乡城县冷龙沟冷龙村集中式饮用水水源保护区划分结果统计如下：</w:t>
      </w:r>
    </w:p>
    <w:p w14:paraId="7F2B1882">
      <w:pPr>
        <w:pStyle w:val="11"/>
        <w:spacing w:after="0" w:line="360" w:lineRule="auto"/>
        <w:ind w:firstLine="0" w:firstLineChars="0"/>
        <w:jc w:val="cente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w:t>
      </w:r>
      <w:r>
        <w:rPr>
          <w:rFonts w:hint="default" w:ascii="Times New Roman" w:hAnsi="Times New Roman" w:cs="Times New Roman"/>
          <w:highlight w:val="none"/>
        </w:rPr>
        <w:fldChar w:fldCharType="end"/>
      </w: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highlight w:val="none"/>
          <w:lang w:eastAsia="zh-CN"/>
        </w:rPr>
        <w:t>乡城县冷龙沟冷龙村集中式饮用水水源保护区</w:t>
      </w:r>
      <w:r>
        <w:rPr>
          <w:rFonts w:hint="default" w:ascii="Times New Roman" w:hAnsi="Times New Roman" w:cs="Times New Roman"/>
          <w:highlight w:val="none"/>
        </w:rPr>
        <w:t>划分结果</w:t>
      </w:r>
      <w:r>
        <w:rPr>
          <w:rFonts w:hint="default" w:ascii="Times New Roman" w:hAnsi="Times New Roman" w:cs="Times New Roman"/>
          <w:highlight w:val="none"/>
          <w:lang w:eastAsia="zh-CN"/>
        </w:rPr>
        <w:t>表</w:t>
      </w:r>
    </w:p>
    <w:tbl>
      <w:tblPr>
        <w:tblStyle w:val="19"/>
        <w:tblW w:w="88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1891"/>
        <w:gridCol w:w="2389"/>
        <w:gridCol w:w="3086"/>
      </w:tblGrid>
      <w:tr w14:paraId="4C59B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456" w:type="dxa"/>
            <w:noWrap w:val="0"/>
            <w:vAlign w:val="center"/>
          </w:tcPr>
          <w:p w14:paraId="2867D99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水源地名称</w:t>
            </w:r>
          </w:p>
        </w:tc>
        <w:tc>
          <w:tcPr>
            <w:tcW w:w="1891" w:type="dxa"/>
            <w:noWrap w:val="0"/>
            <w:vAlign w:val="center"/>
          </w:tcPr>
          <w:p w14:paraId="036722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取水口</w:t>
            </w:r>
          </w:p>
        </w:tc>
        <w:tc>
          <w:tcPr>
            <w:tcW w:w="2389" w:type="dxa"/>
            <w:noWrap w:val="0"/>
            <w:vAlign w:val="center"/>
          </w:tcPr>
          <w:p w14:paraId="677F794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一级保护区</w:t>
            </w:r>
          </w:p>
        </w:tc>
        <w:tc>
          <w:tcPr>
            <w:tcW w:w="3086" w:type="dxa"/>
            <w:noWrap w:val="0"/>
            <w:vAlign w:val="center"/>
          </w:tcPr>
          <w:p w14:paraId="482FC1A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二级保护区</w:t>
            </w:r>
          </w:p>
        </w:tc>
      </w:tr>
      <w:tr w14:paraId="493D1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6" w:hRule="atLeast"/>
          <w:jc w:val="center"/>
        </w:trPr>
        <w:tc>
          <w:tcPr>
            <w:tcW w:w="1456" w:type="dxa"/>
            <w:noWrap w:val="0"/>
            <w:vAlign w:val="center"/>
          </w:tcPr>
          <w:p w14:paraId="1126D19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乡城县冷龙沟冷龙村集中式饮用水水源地</w:t>
            </w:r>
          </w:p>
        </w:tc>
        <w:tc>
          <w:tcPr>
            <w:tcW w:w="1891" w:type="dxa"/>
            <w:noWrap w:val="0"/>
            <w:vAlign w:val="center"/>
          </w:tcPr>
          <w:p w14:paraId="46E397E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乡城县冷龙沟冷龙村，供水水厂上游643米，地理坐标为东经99°45′25.98"，北纬29°01′20.84"</w:t>
            </w:r>
          </w:p>
        </w:tc>
        <w:tc>
          <w:tcPr>
            <w:tcW w:w="2389" w:type="dxa"/>
            <w:noWrap w:val="0"/>
            <w:vAlign w:val="center"/>
          </w:tcPr>
          <w:p w14:paraId="001FB9A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取水口下游100米上溯至取水口上游干支流1000米，多年平均水位线下的水域；对应一级保护区水域边界沿岸纵深50米的陆域</w:t>
            </w:r>
          </w:p>
        </w:tc>
        <w:tc>
          <w:tcPr>
            <w:tcW w:w="3086" w:type="dxa"/>
            <w:noWrap w:val="0"/>
            <w:vAlign w:val="center"/>
          </w:tcPr>
          <w:p w14:paraId="14A44D6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取水口下游300米起上游整个干支流河道，多年平均水位线下的水域（一级保护区水域范围除外）；取水口下游300米起的上游整个汇水区域内除一级保护区以外的陆域</w:t>
            </w:r>
          </w:p>
        </w:tc>
      </w:tr>
    </w:tbl>
    <w:p w14:paraId="2FC5A3E6">
      <w:pPr>
        <w:spacing w:line="240" w:lineRule="auto"/>
        <w:ind w:left="0" w:leftChars="0" w:firstLine="0" w:firstLineChars="0"/>
        <w:contextualSpacing/>
        <w:jc w:val="both"/>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13985" cy="6217285"/>
            <wp:effectExtent l="9525" t="9525" r="15240" b="215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3"/>
                    <a:srcRect t="2866"/>
                    <a:stretch>
                      <a:fillRect/>
                    </a:stretch>
                  </pic:blipFill>
                  <pic:spPr>
                    <a:xfrm>
                      <a:off x="0" y="0"/>
                      <a:ext cx="5213985" cy="621728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374105CA">
      <w:pPr>
        <w:pStyle w:val="11"/>
        <w:rPr>
          <w:rFonts w:hint="default" w:ascii="Times New Roman" w:hAnsi="Times New Roman" w:cs="Times New Roman"/>
          <w:highlight w:val="none"/>
          <w:lang w:eastAsia="zh-CN"/>
        </w:rPr>
      </w:pPr>
      <w:r>
        <w:rPr>
          <w:rFonts w:hint="default" w:ascii="Times New Roman" w:hAnsi="Times New Roman" w:cs="Times New Roman"/>
          <w:highlight w:val="none"/>
        </w:rPr>
        <w:t xml:space="preserve">图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图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lang w:eastAsia="zh-CN"/>
        </w:rPr>
        <w:t>乡城县冷龙沟冷龙村集中式饮用水水源保护区</w:t>
      </w:r>
      <w:r>
        <w:rPr>
          <w:rFonts w:hint="default" w:ascii="Times New Roman" w:hAnsi="Times New Roman" w:cs="Times New Roman"/>
          <w:highlight w:val="none"/>
        </w:rPr>
        <w:t>划分</w:t>
      </w:r>
      <w:r>
        <w:rPr>
          <w:rFonts w:hint="default" w:ascii="Times New Roman" w:hAnsi="Times New Roman" w:cs="Times New Roman"/>
          <w:highlight w:val="none"/>
          <w:lang w:eastAsia="zh-CN"/>
        </w:rPr>
        <w:t>总图</w:t>
      </w:r>
    </w:p>
    <w:p w14:paraId="4BA6A0F5">
      <w:pPr>
        <w:pStyle w:val="4"/>
        <w:bidi w:val="0"/>
        <w:rPr>
          <w:rFonts w:hint="default"/>
          <w:highlight w:val="none"/>
          <w:lang w:val="en-US" w:eastAsia="zh-CN"/>
        </w:rPr>
      </w:pPr>
      <w:r>
        <w:rPr>
          <w:rFonts w:hint="eastAsia"/>
          <w:highlight w:val="none"/>
          <w:lang w:val="en-US" w:eastAsia="zh-CN"/>
        </w:rPr>
        <w:t>生态功能区划</w:t>
      </w:r>
    </w:p>
    <w:p w14:paraId="291BC1A8">
      <w:pPr>
        <w:rPr>
          <w:rFonts w:hint="default"/>
          <w:highlight w:val="none"/>
          <w:lang w:val="en-US" w:eastAsia="zh-CN"/>
        </w:rPr>
      </w:pPr>
      <w:r>
        <w:rPr>
          <w:rFonts w:hint="default"/>
          <w:highlight w:val="none"/>
          <w:lang w:val="en-US" w:eastAsia="zh-CN"/>
        </w:rPr>
        <w:t>根据《四川省主体功能区规划》（川府发〔2013〕16号），冷龙沟所在区域属于国家层面限制开发区域（重点生态功能区），不涉及禁止开发区域。该区域主体功能定位：大熊猫、羚牛、金丝猴等重要珍稀生物的栖息地，国家乃至世界生物多样性保护重要区域，全省重要的生物多样性、涵养水源、保持水土、维系生态平衡的主要区域。</w:t>
      </w:r>
    </w:p>
    <w:p w14:paraId="71CE96DB">
      <w:pPr>
        <w:pStyle w:val="4"/>
        <w:bidi w:val="0"/>
        <w:rPr>
          <w:rFonts w:hint="default"/>
          <w:highlight w:val="none"/>
          <w:lang w:val="en-US" w:eastAsia="zh-CN"/>
        </w:rPr>
      </w:pPr>
      <w:r>
        <w:rPr>
          <w:rFonts w:hint="default"/>
          <w:highlight w:val="none"/>
          <w:lang w:val="en-US" w:eastAsia="zh-CN"/>
        </w:rPr>
        <w:t>资源环境生态红线管控与环境敏感区</w:t>
      </w:r>
    </w:p>
    <w:p w14:paraId="7D6385A6">
      <w:pPr>
        <w:rPr>
          <w:rFonts w:hint="eastAsia"/>
          <w:highlight w:val="none"/>
          <w:lang w:val="en-US" w:eastAsia="zh-CN"/>
        </w:rPr>
      </w:pPr>
      <w:r>
        <w:rPr>
          <w:rFonts w:hint="eastAsia"/>
          <w:highlight w:val="none"/>
          <w:lang w:val="en-US" w:eastAsia="zh-CN"/>
        </w:rPr>
        <w:t>根据《甘孜藏族自治州2023年生态环境分区管控成果动态更新情况说明》，甘孜州生态换保护红线划定面积69545.66km，占辖区面积的的46.48%。本次规划对于生态红线分析叠图使用见下图。</w:t>
      </w:r>
    </w:p>
    <w:p w14:paraId="4D523FFC">
      <w:pPr>
        <w:rPr>
          <w:rFonts w:hint="eastAsia"/>
          <w:highlight w:val="none"/>
          <w:lang w:val="en-US" w:eastAsia="zh-CN"/>
        </w:rPr>
      </w:pPr>
      <w:r>
        <w:rPr>
          <w:rFonts w:hint="eastAsia"/>
          <w:highlight w:val="none"/>
          <w:lang w:val="en-US" w:eastAsia="zh-CN"/>
        </w:rPr>
        <w:t>流域规划范围内涉及水环境优先保护区及一般管控区。</w:t>
      </w:r>
    </w:p>
    <w:p w14:paraId="68B5CC44">
      <w:pPr>
        <w:pStyle w:val="11"/>
        <w:ind w:left="0" w:leftChars="0" w:firstLine="0" w:firstLineChars="0"/>
        <w:rPr>
          <w:rFonts w:hint="default"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7</w:t>
      </w:r>
      <w:r>
        <w:rPr>
          <w:highlight w:val="none"/>
        </w:rPr>
        <w:fldChar w:fldCharType="end"/>
      </w:r>
      <w:r>
        <w:rPr>
          <w:rFonts w:hint="eastAsia"/>
          <w:highlight w:val="none"/>
          <w:lang w:val="en-US" w:eastAsia="zh-CN"/>
        </w:rPr>
        <w:t xml:space="preserve"> 流域分区管控要求</w:t>
      </w:r>
    </w:p>
    <w:tbl>
      <w:tblPr>
        <w:tblStyle w:val="20"/>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9"/>
        <w:gridCol w:w="6710"/>
      </w:tblGrid>
      <w:tr w14:paraId="66C16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29" w:type="dxa"/>
            <w:vAlign w:val="center"/>
          </w:tcPr>
          <w:p w14:paraId="6E5BC627">
            <w:pPr>
              <w:pStyle w:val="25"/>
              <w:bidi w:val="0"/>
              <w:jc w:val="center"/>
              <w:rPr>
                <w:rFonts w:hint="default"/>
                <w:highlight w:val="none"/>
                <w:lang w:val="en-US" w:eastAsia="zh-CN"/>
              </w:rPr>
            </w:pPr>
            <w:r>
              <w:rPr>
                <w:rFonts w:hint="eastAsia"/>
                <w:highlight w:val="none"/>
                <w:lang w:val="en-US" w:eastAsia="zh-CN"/>
              </w:rPr>
              <w:t>管控分区类别</w:t>
            </w:r>
          </w:p>
        </w:tc>
        <w:tc>
          <w:tcPr>
            <w:tcW w:w="6710" w:type="dxa"/>
            <w:vAlign w:val="center"/>
          </w:tcPr>
          <w:p w14:paraId="0383A1C8">
            <w:pPr>
              <w:pStyle w:val="25"/>
              <w:bidi w:val="0"/>
              <w:jc w:val="center"/>
              <w:rPr>
                <w:rFonts w:hint="default"/>
                <w:highlight w:val="none"/>
                <w:lang w:val="en-US" w:eastAsia="zh-CN"/>
              </w:rPr>
            </w:pPr>
            <w:r>
              <w:rPr>
                <w:rFonts w:hint="eastAsia"/>
                <w:highlight w:val="none"/>
                <w:lang w:val="en-US" w:eastAsia="zh-CN"/>
              </w:rPr>
              <w:t>管控要求</w:t>
            </w:r>
          </w:p>
        </w:tc>
      </w:tr>
      <w:tr w14:paraId="4B0A1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29" w:type="dxa"/>
            <w:vMerge w:val="restart"/>
            <w:vAlign w:val="center"/>
          </w:tcPr>
          <w:p w14:paraId="330CBECA">
            <w:pPr>
              <w:pStyle w:val="25"/>
              <w:bidi w:val="0"/>
              <w:jc w:val="center"/>
              <w:rPr>
                <w:rFonts w:hint="default"/>
                <w:highlight w:val="none"/>
                <w:lang w:val="en-US" w:eastAsia="zh-CN"/>
              </w:rPr>
            </w:pPr>
            <w:r>
              <w:rPr>
                <w:rFonts w:hint="eastAsia"/>
                <w:highlight w:val="none"/>
                <w:lang w:val="en-US" w:eastAsia="zh-CN"/>
              </w:rPr>
              <w:t>水环境优先保护区</w:t>
            </w:r>
          </w:p>
        </w:tc>
        <w:tc>
          <w:tcPr>
            <w:tcW w:w="6710" w:type="dxa"/>
            <w:vAlign w:val="center"/>
          </w:tcPr>
          <w:p w14:paraId="03624405">
            <w:pPr>
              <w:pStyle w:val="25"/>
              <w:bidi w:val="0"/>
              <w:jc w:val="center"/>
              <w:rPr>
                <w:rFonts w:hint="default"/>
                <w:highlight w:val="none"/>
                <w:lang w:val="en-US" w:eastAsia="zh-CN"/>
              </w:rPr>
            </w:pPr>
            <w:r>
              <w:rPr>
                <w:rFonts w:hint="default"/>
                <w:highlight w:val="none"/>
                <w:lang w:val="en-US" w:eastAsia="zh-CN"/>
              </w:rPr>
              <w:t>加强水生生物多样性保护，落实《水产种质资源保护区管理暂行办法》《四川省水产种质资源保护区管理实施细则》等政策要求，严格管控水产种质资源保护区内人为活动，保护区内实行全年禁渔，强化外来物种入侵管控。</w:t>
            </w:r>
          </w:p>
        </w:tc>
      </w:tr>
      <w:tr w14:paraId="6C192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29" w:type="dxa"/>
            <w:vMerge w:val="continue"/>
            <w:vAlign w:val="center"/>
          </w:tcPr>
          <w:p w14:paraId="6E6F19DD">
            <w:pPr>
              <w:pStyle w:val="25"/>
              <w:bidi w:val="0"/>
              <w:jc w:val="center"/>
              <w:rPr>
                <w:rFonts w:hint="eastAsia"/>
                <w:highlight w:val="none"/>
                <w:lang w:val="en-US" w:eastAsia="zh-CN"/>
              </w:rPr>
            </w:pPr>
          </w:p>
        </w:tc>
        <w:tc>
          <w:tcPr>
            <w:tcW w:w="6710" w:type="dxa"/>
            <w:vAlign w:val="center"/>
          </w:tcPr>
          <w:p w14:paraId="62753A48">
            <w:pPr>
              <w:pStyle w:val="25"/>
              <w:bidi w:val="0"/>
              <w:jc w:val="center"/>
              <w:rPr>
                <w:rFonts w:hint="default"/>
                <w:highlight w:val="none"/>
                <w:lang w:val="en-US" w:eastAsia="zh-CN"/>
              </w:rPr>
            </w:pPr>
            <w:r>
              <w:rPr>
                <w:rFonts w:hint="default"/>
                <w:highlight w:val="none"/>
                <w:lang w:val="en-US" w:eastAsia="zh-CN"/>
              </w:rPr>
              <w:t>加强长江鱼类保护区等水生生物栖息地保护，控制人类活动影响，依法有序退出水生生物栖息地内的人类活动。加强岷江、雅江源头水源涵养区保护，控制过度放牧，因地制宜提高水源涵养能力。</w:t>
            </w:r>
          </w:p>
        </w:tc>
      </w:tr>
      <w:tr w14:paraId="299BC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29" w:type="dxa"/>
            <w:vMerge w:val="restart"/>
            <w:vAlign w:val="center"/>
          </w:tcPr>
          <w:p w14:paraId="4507E1A6">
            <w:pPr>
              <w:pStyle w:val="25"/>
              <w:bidi w:val="0"/>
              <w:jc w:val="center"/>
              <w:rPr>
                <w:rFonts w:hint="default"/>
                <w:highlight w:val="none"/>
                <w:lang w:val="en-US" w:eastAsia="zh-CN"/>
              </w:rPr>
            </w:pPr>
            <w:r>
              <w:rPr>
                <w:rFonts w:hint="eastAsia"/>
                <w:highlight w:val="none"/>
                <w:lang w:val="en-US" w:eastAsia="zh-CN"/>
              </w:rPr>
              <w:t>一般管控区</w:t>
            </w:r>
          </w:p>
        </w:tc>
        <w:tc>
          <w:tcPr>
            <w:tcW w:w="6710" w:type="dxa"/>
            <w:vAlign w:val="center"/>
          </w:tcPr>
          <w:p w14:paraId="6EE88AD5">
            <w:pPr>
              <w:pStyle w:val="25"/>
              <w:bidi w:val="0"/>
              <w:jc w:val="center"/>
              <w:rPr>
                <w:rFonts w:hint="default"/>
                <w:highlight w:val="none"/>
                <w:lang w:val="en-US" w:eastAsia="zh-CN"/>
              </w:rPr>
            </w:pPr>
            <w:r>
              <w:rPr>
                <w:rFonts w:hint="default"/>
                <w:highlight w:val="none"/>
                <w:lang w:val="en-US" w:eastAsia="zh-CN"/>
              </w:rPr>
              <w:t>不再新建、改扩建开采规模在50万吨/年以下的磷矿，不再新建露天磷矿。完善磷矿矿井水、淋溶水收集处理，强化废水处理设施运行管理，加强重点排污单位在线监测预警和诊断评估。</w:t>
            </w:r>
          </w:p>
        </w:tc>
      </w:tr>
      <w:tr w14:paraId="4A992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29" w:type="dxa"/>
            <w:vMerge w:val="continue"/>
            <w:vAlign w:val="center"/>
          </w:tcPr>
          <w:p w14:paraId="2F01B937">
            <w:pPr>
              <w:pStyle w:val="25"/>
              <w:bidi w:val="0"/>
              <w:jc w:val="center"/>
              <w:rPr>
                <w:rFonts w:hint="eastAsia"/>
                <w:highlight w:val="none"/>
                <w:lang w:val="en-US" w:eastAsia="zh-CN"/>
              </w:rPr>
            </w:pPr>
          </w:p>
        </w:tc>
        <w:tc>
          <w:tcPr>
            <w:tcW w:w="6710" w:type="dxa"/>
            <w:vAlign w:val="center"/>
          </w:tcPr>
          <w:p w14:paraId="22B979FC">
            <w:pPr>
              <w:pStyle w:val="25"/>
              <w:bidi w:val="0"/>
              <w:jc w:val="center"/>
              <w:rPr>
                <w:rFonts w:hint="default"/>
                <w:highlight w:val="none"/>
                <w:lang w:val="en-US" w:eastAsia="zh-CN"/>
              </w:rPr>
            </w:pPr>
            <w:r>
              <w:rPr>
                <w:rFonts w:hint="default"/>
                <w:highlight w:val="none"/>
                <w:lang w:val="en-US" w:eastAsia="zh-CN"/>
              </w:rPr>
              <w:t>持续巩固水环境治理成效。以排污口管理为抓手落实主要污染物排放控制加强干支流沿线入河排污口登记、审批和监督管理。持续推进环保基础设施补短板，完善污水收集处理系统，强化运行监管。以资源承载能力相适应，合理规划水产养殖、畜禽养殖空间及规模，推进健康养殖，强化养殖废水废物资源化利用。强化流城内工业点源、规模化畜禽养殖场等点源运行监管，确保达标排放，鼓励有条件的开展提标升级改造。强化生态流量监管，保障生态流量。</w:t>
            </w:r>
          </w:p>
        </w:tc>
      </w:tr>
      <w:tr w14:paraId="04219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29" w:type="dxa"/>
            <w:vMerge w:val="continue"/>
            <w:vAlign w:val="center"/>
          </w:tcPr>
          <w:p w14:paraId="37E6B637">
            <w:pPr>
              <w:pStyle w:val="25"/>
              <w:bidi w:val="0"/>
              <w:jc w:val="center"/>
              <w:rPr>
                <w:rFonts w:hint="eastAsia"/>
                <w:highlight w:val="none"/>
                <w:lang w:val="en-US" w:eastAsia="zh-CN"/>
              </w:rPr>
            </w:pPr>
          </w:p>
        </w:tc>
        <w:tc>
          <w:tcPr>
            <w:tcW w:w="6710" w:type="dxa"/>
            <w:vAlign w:val="center"/>
          </w:tcPr>
          <w:p w14:paraId="10F59F27">
            <w:pPr>
              <w:pStyle w:val="25"/>
              <w:bidi w:val="0"/>
              <w:jc w:val="center"/>
              <w:rPr>
                <w:rFonts w:hint="default"/>
                <w:highlight w:val="none"/>
                <w:lang w:val="en-US" w:eastAsia="zh-CN"/>
              </w:rPr>
            </w:pPr>
            <w:r>
              <w:rPr>
                <w:rFonts w:hint="default"/>
                <w:highlight w:val="none"/>
                <w:lang w:val="en-US" w:eastAsia="zh-CN"/>
              </w:rPr>
              <w:t>推进士著鱼类保护，严格执行各级人民政府重点水域禁捕要求。加强涉渔工程水生生物专题影响评价，督促落实生态保护措施，减缓涉渔工程建设对水生生物及其栖息生境影响。推进长江</w:t>
            </w:r>
            <w:r>
              <w:rPr>
                <w:rFonts w:hint="eastAsia"/>
                <w:highlight w:val="none"/>
                <w:lang w:val="en-US" w:eastAsia="zh-CN"/>
              </w:rPr>
              <w:t>（</w:t>
            </w:r>
            <w:r>
              <w:rPr>
                <w:rFonts w:hint="default"/>
                <w:highlight w:val="none"/>
                <w:lang w:val="en-US" w:eastAsia="zh-CN"/>
              </w:rPr>
              <w:t>金沙江</w:t>
            </w:r>
            <w:r>
              <w:rPr>
                <w:rFonts w:hint="eastAsia"/>
                <w:highlight w:val="none"/>
                <w:lang w:val="en-US" w:eastAsia="zh-CN"/>
              </w:rPr>
              <w:t>）</w:t>
            </w:r>
            <w:r>
              <w:rPr>
                <w:rFonts w:hint="default"/>
                <w:highlight w:val="none"/>
                <w:lang w:val="en-US" w:eastAsia="zh-CN"/>
              </w:rPr>
              <w:t>干流及岷江、沱江、嘉江、雅江等重要支流梯级电站</w:t>
            </w:r>
            <w:r>
              <w:rPr>
                <w:rFonts w:hint="eastAsia"/>
                <w:highlight w:val="none"/>
                <w:lang w:val="en-US" w:eastAsia="zh-CN"/>
              </w:rPr>
              <w:t>（</w:t>
            </w:r>
            <w:r>
              <w:rPr>
                <w:rFonts w:hint="default"/>
                <w:highlight w:val="none"/>
                <w:lang w:val="en-US" w:eastAsia="zh-CN"/>
              </w:rPr>
              <w:t>水库</w:t>
            </w:r>
            <w:r>
              <w:rPr>
                <w:rFonts w:hint="eastAsia"/>
                <w:highlight w:val="none"/>
                <w:lang w:val="en-US" w:eastAsia="zh-CN"/>
              </w:rPr>
              <w:t>）</w:t>
            </w:r>
            <w:r>
              <w:rPr>
                <w:rFonts w:hint="default"/>
                <w:highlight w:val="none"/>
                <w:lang w:val="en-US" w:eastAsia="zh-CN"/>
              </w:rPr>
              <w:t>多目标联合调度，保障河流生态流，增强河流纵向连通性。</w:t>
            </w:r>
          </w:p>
        </w:tc>
      </w:tr>
    </w:tbl>
    <w:p w14:paraId="0E68D060">
      <w:pPr>
        <w:ind w:left="0" w:leftChars="0" w:firstLine="0" w:firstLineChars="0"/>
        <w:jc w:val="center"/>
        <w:rPr>
          <w:rFonts w:hint="eastAsia"/>
          <w:highlight w:val="none"/>
          <w:lang w:val="en-US" w:eastAsia="zh-CN"/>
        </w:rPr>
      </w:pPr>
      <w:r>
        <w:rPr>
          <w:rFonts w:hint="eastAsia"/>
          <w:highlight w:val="none"/>
          <w:lang w:val="en-US" w:eastAsia="zh-CN"/>
        </w:rPr>
        <w:drawing>
          <wp:inline distT="0" distB="0" distL="114300" distR="114300">
            <wp:extent cx="5074285" cy="3462655"/>
            <wp:effectExtent l="0" t="0" r="12065" b="4445"/>
            <wp:docPr id="13" name="图片 13" descr="甘孜生态功能区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甘孜生态功能区划1"/>
                    <pic:cNvPicPr>
                      <a:picLocks noChangeAspect="1"/>
                    </pic:cNvPicPr>
                  </pic:nvPicPr>
                  <pic:blipFill>
                    <a:blip r:embed="rId14"/>
                    <a:stretch>
                      <a:fillRect/>
                    </a:stretch>
                  </pic:blipFill>
                  <pic:spPr>
                    <a:xfrm>
                      <a:off x="0" y="0"/>
                      <a:ext cx="5074285" cy="3462655"/>
                    </a:xfrm>
                    <a:prstGeom prst="rect">
                      <a:avLst/>
                    </a:prstGeom>
                  </pic:spPr>
                </pic:pic>
              </a:graphicData>
            </a:graphic>
          </wp:inline>
        </w:drawing>
      </w:r>
    </w:p>
    <w:p w14:paraId="05114E8F">
      <w:pPr>
        <w:pStyle w:val="11"/>
        <w:bidi w:val="0"/>
        <w:rPr>
          <w:rFonts w:hint="default"/>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2</w:t>
      </w:r>
      <w:r>
        <w:rPr>
          <w:highlight w:val="none"/>
        </w:rPr>
        <w:fldChar w:fldCharType="end"/>
      </w:r>
      <w:r>
        <w:rPr>
          <w:rFonts w:hint="eastAsia"/>
          <w:highlight w:val="none"/>
          <w:lang w:val="en-US" w:eastAsia="zh-CN"/>
        </w:rPr>
        <w:t xml:space="preserve"> 冷龙沟流域与生态红线叠图分析</w:t>
      </w:r>
    </w:p>
    <w:p w14:paraId="66B6B308">
      <w:pPr>
        <w:pStyle w:val="3"/>
        <w:bidi w:val="0"/>
        <w:rPr>
          <w:rFonts w:hint="default"/>
          <w:highlight w:val="none"/>
          <w:lang w:val="en-US" w:eastAsia="zh-CN"/>
        </w:rPr>
      </w:pPr>
      <w:bookmarkStart w:id="23" w:name="_Toc27653"/>
      <w:r>
        <w:rPr>
          <w:rFonts w:hint="default"/>
          <w:highlight w:val="none"/>
          <w:lang w:val="en-US" w:eastAsia="zh-CN"/>
        </w:rPr>
        <w:t>评价方法与工作程序</w:t>
      </w:r>
      <w:bookmarkEnd w:id="23"/>
    </w:p>
    <w:p w14:paraId="345A580D">
      <w:pPr>
        <w:pStyle w:val="4"/>
        <w:bidi w:val="0"/>
        <w:rPr>
          <w:rFonts w:hint="default"/>
          <w:highlight w:val="none"/>
          <w:lang w:val="en-US" w:eastAsia="zh-CN"/>
        </w:rPr>
      </w:pPr>
      <w:r>
        <w:rPr>
          <w:rFonts w:hint="default"/>
          <w:highlight w:val="none"/>
          <w:lang w:val="en-US" w:eastAsia="zh-CN"/>
        </w:rPr>
        <w:t>评价方法</w:t>
      </w:r>
    </w:p>
    <w:p w14:paraId="2E26783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冷龙沟流域自然环境、生态环境、社会环境特点，结合本次综合规划所涉及的主要环境因素特性，综合分析确定各环境因子的预测和评价方法，主要包括环境数学模型、情景分析法、对比分析法和生态机理等方法。预测评价方法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_Ref3924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 8</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3400D179">
      <w:pPr>
        <w:pStyle w:val="11"/>
        <w:ind w:left="0" w:leftChars="0" w:firstLine="0" w:firstLineChars="0"/>
        <w:jc w:val="center"/>
        <w:rPr>
          <w:rFonts w:hint="default" w:ascii="Times New Roman" w:hAnsi="Times New Roman" w:cs="Times New Roman"/>
          <w:highlight w:val="none"/>
          <w:lang w:val="en-US" w:eastAsia="zh-CN"/>
        </w:rPr>
      </w:pPr>
      <w:bookmarkStart w:id="24" w:name="_Ref3924"/>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8</w:t>
      </w:r>
      <w:r>
        <w:rPr>
          <w:rFonts w:hint="default" w:ascii="Times New Roman" w:hAnsi="Times New Roman" w:cs="Times New Roman"/>
          <w:highlight w:val="none"/>
        </w:rPr>
        <w:fldChar w:fldCharType="end"/>
      </w:r>
      <w:bookmarkEnd w:id="24"/>
      <w:r>
        <w:rPr>
          <w:rFonts w:hint="default" w:ascii="Times New Roman" w:hAnsi="Times New Roman" w:cs="Times New Roman"/>
          <w:highlight w:val="none"/>
          <w:lang w:val="en-US" w:eastAsia="zh-CN"/>
        </w:rPr>
        <w:t xml:space="preserve"> 环境影响评价适用的评价方法</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2"/>
        <w:gridCol w:w="1550"/>
        <w:gridCol w:w="5970"/>
      </w:tblGrid>
      <w:tr w14:paraId="45B5F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552" w:type="dxa"/>
            <w:gridSpan w:val="2"/>
            <w:vAlign w:val="center"/>
          </w:tcPr>
          <w:p w14:paraId="208C2AA3">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评价内容</w:t>
            </w:r>
          </w:p>
        </w:tc>
        <w:tc>
          <w:tcPr>
            <w:tcW w:w="5970" w:type="dxa"/>
            <w:vAlign w:val="center"/>
          </w:tcPr>
          <w:p w14:paraId="7F1AE859">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预测评价方法</w:t>
            </w:r>
          </w:p>
        </w:tc>
      </w:tr>
      <w:tr w14:paraId="41D7B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gridSpan w:val="2"/>
            <w:vAlign w:val="center"/>
          </w:tcPr>
          <w:p w14:paraId="0E5EB0E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环境现状调查与评价</w:t>
            </w:r>
          </w:p>
        </w:tc>
        <w:tc>
          <w:tcPr>
            <w:tcW w:w="5970" w:type="dxa"/>
            <w:vAlign w:val="center"/>
          </w:tcPr>
          <w:p w14:paraId="03DC12B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资料收集法、现场调查法、生态调查、环境监测、3S技术</w:t>
            </w:r>
          </w:p>
        </w:tc>
      </w:tr>
      <w:tr w14:paraId="016B8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gridSpan w:val="2"/>
            <w:vAlign w:val="center"/>
          </w:tcPr>
          <w:p w14:paraId="084E368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规划分析</w:t>
            </w:r>
          </w:p>
        </w:tc>
        <w:tc>
          <w:tcPr>
            <w:tcW w:w="5970" w:type="dxa"/>
            <w:vAlign w:val="center"/>
          </w:tcPr>
          <w:p w14:paraId="01B2890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叠图法、矩阵法、专家咨询法</w:t>
            </w:r>
          </w:p>
        </w:tc>
      </w:tr>
      <w:tr w14:paraId="4EC4F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gridSpan w:val="2"/>
            <w:vAlign w:val="center"/>
          </w:tcPr>
          <w:p w14:paraId="2BFB969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规划环境影响识别</w:t>
            </w:r>
          </w:p>
        </w:tc>
        <w:tc>
          <w:tcPr>
            <w:tcW w:w="5970" w:type="dxa"/>
            <w:vAlign w:val="center"/>
          </w:tcPr>
          <w:p w14:paraId="4BDE80A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叠图法、矩阵法、专家咨询法</w:t>
            </w:r>
          </w:p>
        </w:tc>
      </w:tr>
      <w:tr w14:paraId="3979F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Merge w:val="restart"/>
            <w:vAlign w:val="center"/>
          </w:tcPr>
          <w:p w14:paraId="350C04FF">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规划环境影响预测与评价</w:t>
            </w:r>
          </w:p>
        </w:tc>
        <w:tc>
          <w:tcPr>
            <w:tcW w:w="1550" w:type="dxa"/>
            <w:vAlign w:val="center"/>
          </w:tcPr>
          <w:p w14:paraId="656F715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水文水资源</w:t>
            </w:r>
          </w:p>
        </w:tc>
        <w:tc>
          <w:tcPr>
            <w:tcW w:w="5970" w:type="dxa"/>
            <w:vAlign w:val="center"/>
          </w:tcPr>
          <w:p w14:paraId="7DCD41A3">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统计分析法、情景分析法</w:t>
            </w:r>
          </w:p>
        </w:tc>
      </w:tr>
      <w:tr w14:paraId="0653C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Merge w:val="continue"/>
            <w:vAlign w:val="center"/>
          </w:tcPr>
          <w:p w14:paraId="4639F2D5">
            <w:pPr>
              <w:pStyle w:val="22"/>
              <w:bidi w:val="0"/>
              <w:jc w:val="center"/>
              <w:rPr>
                <w:rFonts w:hint="default" w:ascii="Times New Roman" w:hAnsi="Times New Roman" w:cs="Times New Roman"/>
                <w:highlight w:val="none"/>
                <w:lang w:val="en-US" w:eastAsia="zh-CN"/>
              </w:rPr>
            </w:pPr>
          </w:p>
        </w:tc>
        <w:tc>
          <w:tcPr>
            <w:tcW w:w="1550" w:type="dxa"/>
            <w:vAlign w:val="center"/>
          </w:tcPr>
          <w:p w14:paraId="41DA935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水环境</w:t>
            </w:r>
          </w:p>
        </w:tc>
        <w:tc>
          <w:tcPr>
            <w:tcW w:w="5970" w:type="dxa"/>
            <w:vAlign w:val="center"/>
          </w:tcPr>
          <w:p w14:paraId="08B73EE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统计分析法、专家咨询法、对比分析法、综合指数法</w:t>
            </w:r>
          </w:p>
        </w:tc>
      </w:tr>
      <w:tr w14:paraId="7033D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Merge w:val="continue"/>
            <w:vAlign w:val="center"/>
          </w:tcPr>
          <w:p w14:paraId="7BFCF047">
            <w:pPr>
              <w:pStyle w:val="22"/>
              <w:bidi w:val="0"/>
              <w:jc w:val="center"/>
              <w:rPr>
                <w:rFonts w:hint="default" w:ascii="Times New Roman" w:hAnsi="Times New Roman" w:cs="Times New Roman"/>
                <w:highlight w:val="none"/>
                <w:lang w:val="en-US" w:eastAsia="zh-CN"/>
              </w:rPr>
            </w:pPr>
          </w:p>
        </w:tc>
        <w:tc>
          <w:tcPr>
            <w:tcW w:w="1550" w:type="dxa"/>
            <w:vAlign w:val="center"/>
          </w:tcPr>
          <w:p w14:paraId="64E9496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生态</w:t>
            </w:r>
          </w:p>
        </w:tc>
        <w:tc>
          <w:tcPr>
            <w:tcW w:w="5970" w:type="dxa"/>
            <w:vAlign w:val="center"/>
          </w:tcPr>
          <w:p w14:paraId="4D8C63A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生态机理法、叠图法、情景分析法、景观生态学法</w:t>
            </w:r>
          </w:p>
        </w:tc>
      </w:tr>
      <w:tr w14:paraId="6D169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dxa"/>
            <w:vMerge w:val="continue"/>
            <w:vAlign w:val="center"/>
          </w:tcPr>
          <w:p w14:paraId="390CB8EB">
            <w:pPr>
              <w:pStyle w:val="22"/>
              <w:bidi w:val="0"/>
              <w:jc w:val="center"/>
              <w:rPr>
                <w:rFonts w:hint="default" w:ascii="Times New Roman" w:hAnsi="Times New Roman" w:cs="Times New Roman"/>
                <w:highlight w:val="none"/>
                <w:lang w:val="en-US" w:eastAsia="zh-CN"/>
              </w:rPr>
            </w:pPr>
          </w:p>
        </w:tc>
        <w:tc>
          <w:tcPr>
            <w:tcW w:w="1550" w:type="dxa"/>
            <w:vAlign w:val="center"/>
          </w:tcPr>
          <w:p w14:paraId="16A77DB3">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自然资源</w:t>
            </w:r>
          </w:p>
        </w:tc>
        <w:tc>
          <w:tcPr>
            <w:tcW w:w="5970" w:type="dxa"/>
            <w:vAlign w:val="center"/>
          </w:tcPr>
          <w:p w14:paraId="61996B1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统计分析法、对比分析法</w:t>
            </w:r>
          </w:p>
        </w:tc>
      </w:tr>
      <w:tr w14:paraId="4C686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gridSpan w:val="2"/>
            <w:vAlign w:val="center"/>
          </w:tcPr>
          <w:p w14:paraId="25BE415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规划环境合理性综合论证</w:t>
            </w:r>
          </w:p>
        </w:tc>
        <w:tc>
          <w:tcPr>
            <w:tcW w:w="5970" w:type="dxa"/>
            <w:vAlign w:val="center"/>
          </w:tcPr>
          <w:p w14:paraId="10A1B67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叠图法、专家判断法</w:t>
            </w:r>
          </w:p>
        </w:tc>
      </w:tr>
      <w:tr w14:paraId="730A9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2" w:type="dxa"/>
            <w:gridSpan w:val="2"/>
            <w:vAlign w:val="center"/>
          </w:tcPr>
          <w:p w14:paraId="71B9319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公众参与</w:t>
            </w:r>
          </w:p>
        </w:tc>
        <w:tc>
          <w:tcPr>
            <w:tcW w:w="5970" w:type="dxa"/>
            <w:vAlign w:val="center"/>
          </w:tcPr>
          <w:p w14:paraId="28D120EB">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会商、专家咨询、问卷调查、网络公示</w:t>
            </w:r>
          </w:p>
        </w:tc>
      </w:tr>
    </w:tbl>
    <w:p w14:paraId="17DCDC2C">
      <w:pPr>
        <w:pStyle w:val="4"/>
        <w:bidi w:val="0"/>
        <w:rPr>
          <w:rFonts w:hint="default"/>
          <w:highlight w:val="none"/>
          <w:lang w:val="en-US" w:eastAsia="zh-CN"/>
        </w:rPr>
      </w:pPr>
      <w:r>
        <w:rPr>
          <w:rFonts w:hint="default"/>
          <w:highlight w:val="none"/>
          <w:lang w:val="en-US" w:eastAsia="zh-CN"/>
        </w:rPr>
        <w:t>工作程序</w:t>
      </w:r>
    </w:p>
    <w:p w14:paraId="4274730E">
      <w:pPr>
        <w:bidi w:val="0"/>
        <w:ind w:left="0" w:leftChars="0" w:firstLine="0" w:firstLineChars="0"/>
        <w:rPr>
          <w:rFonts w:hint="default" w:ascii="Times New Roman" w:hAnsi="Times New Roman" w:cs="Times New Roman" w:eastAsiaTheme="minorEastAsia"/>
          <w:highlight w:val="none"/>
          <w:lang w:eastAsia="zh-CN"/>
        </w:rPr>
      </w:pPr>
      <w:r>
        <w:rPr>
          <w:rFonts w:hint="default" w:ascii="Times New Roman" w:hAnsi="Times New Roman" w:cs="Times New Roman" w:eastAsiaTheme="minorEastAsia"/>
          <w:highlight w:val="none"/>
          <w:lang w:eastAsia="zh-CN"/>
        </w:rPr>
        <w:drawing>
          <wp:inline distT="0" distB="0" distL="114300" distR="114300">
            <wp:extent cx="5262245" cy="5353050"/>
            <wp:effectExtent l="0" t="0" r="0" b="0"/>
            <wp:docPr id="14" name="图片 14" descr="规划环评工作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规划环评工作流程图"/>
                    <pic:cNvPicPr>
                      <a:picLocks noChangeAspect="1"/>
                    </pic:cNvPicPr>
                  </pic:nvPicPr>
                  <pic:blipFill>
                    <a:blip r:embed="rId15"/>
                    <a:stretch>
                      <a:fillRect/>
                    </a:stretch>
                  </pic:blipFill>
                  <pic:spPr>
                    <a:xfrm>
                      <a:off x="0" y="0"/>
                      <a:ext cx="5262245" cy="5353050"/>
                    </a:xfrm>
                    <a:prstGeom prst="rect">
                      <a:avLst/>
                    </a:prstGeom>
                  </pic:spPr>
                </pic:pic>
              </a:graphicData>
            </a:graphic>
          </wp:inline>
        </w:drawing>
      </w:r>
    </w:p>
    <w:p w14:paraId="576AB801">
      <w:pPr>
        <w:pStyle w:val="11"/>
        <w:bidi w:val="0"/>
        <w:jc w:val="center"/>
        <w:rPr>
          <w:rFonts w:hint="default" w:ascii="Times New Roman" w:hAnsi="Times New Roman" w:eastAsia="黑体" w:cs="Times New Roman"/>
          <w:highlight w:val="none"/>
          <w:lang w:val="en-US" w:eastAsia="zh-CN"/>
        </w:rPr>
      </w:pPr>
      <w:bookmarkStart w:id="25" w:name="_Ref26342"/>
      <w:r>
        <w:rPr>
          <w:rFonts w:hint="default" w:ascii="Times New Roman" w:hAnsi="Times New Roman" w:cs="Times New Roman"/>
          <w:highlight w:val="none"/>
        </w:rPr>
        <w:t xml:space="preserve">图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图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3</w:t>
      </w:r>
      <w:r>
        <w:rPr>
          <w:rFonts w:hint="default" w:ascii="Times New Roman" w:hAnsi="Times New Roman" w:cs="Times New Roman"/>
          <w:highlight w:val="none"/>
        </w:rPr>
        <w:fldChar w:fldCharType="end"/>
      </w:r>
      <w:bookmarkEnd w:id="25"/>
      <w:r>
        <w:rPr>
          <w:rFonts w:hint="default" w:ascii="Times New Roman" w:hAnsi="Times New Roman" w:cs="Times New Roman"/>
          <w:highlight w:val="none"/>
          <w:lang w:val="en-US" w:eastAsia="zh-CN"/>
        </w:rPr>
        <w:t xml:space="preserve"> 冷龙沟流域综合规划环境影响片国家工作程序图</w:t>
      </w:r>
    </w:p>
    <w:p w14:paraId="7822C800">
      <w:pPr>
        <w:rPr>
          <w:rFonts w:hint="default" w:ascii="Times New Roman" w:hAnsi="Times New Roman" w:cs="Times New Roman"/>
          <w:position w:val="-172"/>
          <w:highlight w:val="none"/>
          <w:lang w:val="en-US" w:eastAsia="zh-CN"/>
        </w:rPr>
        <w:sectPr>
          <w:footerReference r:id="rId8" w:type="default"/>
          <w:pgSz w:w="11906" w:h="16838"/>
          <w:pgMar w:top="1440" w:right="1800" w:bottom="1440" w:left="1800" w:header="851" w:footer="992" w:gutter="0"/>
          <w:pgNumType w:fmt="decimal" w:start="1"/>
          <w:cols w:space="425" w:num="1"/>
          <w:docGrid w:type="lines" w:linePitch="312" w:charSpace="0"/>
        </w:sectPr>
      </w:pPr>
    </w:p>
    <w:p w14:paraId="0EF75235">
      <w:pPr>
        <w:pStyle w:val="2"/>
        <w:bidi w:val="0"/>
        <w:rPr>
          <w:rFonts w:hint="default"/>
          <w:highlight w:val="none"/>
          <w:lang w:val="en-US" w:eastAsia="zh-CN"/>
        </w:rPr>
      </w:pPr>
      <w:bookmarkStart w:id="26" w:name="_Toc4535"/>
      <w:r>
        <w:rPr>
          <w:rFonts w:hint="default"/>
          <w:highlight w:val="none"/>
          <w:lang w:val="en-US" w:eastAsia="zh-CN"/>
        </w:rPr>
        <w:t>规划分析</w:t>
      </w:r>
      <w:bookmarkEnd w:id="26"/>
    </w:p>
    <w:p w14:paraId="0E8A04C4">
      <w:pPr>
        <w:pStyle w:val="3"/>
        <w:bidi w:val="0"/>
        <w:rPr>
          <w:rFonts w:hint="default"/>
          <w:highlight w:val="none"/>
          <w:lang w:val="en-US" w:eastAsia="zh-CN"/>
        </w:rPr>
      </w:pPr>
      <w:bookmarkStart w:id="27" w:name="_Toc16083"/>
      <w:r>
        <w:rPr>
          <w:rFonts w:hint="default"/>
          <w:highlight w:val="none"/>
          <w:lang w:val="en-US" w:eastAsia="zh-CN"/>
        </w:rPr>
        <w:t>规划概述</w:t>
      </w:r>
      <w:bookmarkEnd w:id="27"/>
    </w:p>
    <w:p w14:paraId="49CEDCD2">
      <w:pPr>
        <w:pStyle w:val="4"/>
        <w:bidi w:val="0"/>
        <w:rPr>
          <w:rFonts w:hint="default"/>
          <w:highlight w:val="none"/>
          <w:lang w:val="en-US" w:eastAsia="zh-CN"/>
        </w:rPr>
      </w:pPr>
      <w:r>
        <w:rPr>
          <w:rFonts w:hint="default"/>
          <w:highlight w:val="none"/>
          <w:lang w:val="en-US" w:eastAsia="zh-CN"/>
        </w:rPr>
        <w:t>规划基本原则</w:t>
      </w:r>
    </w:p>
    <w:p w14:paraId="0502DD1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生态优先、绿色发展。落实主体功能区战略，把水生态环境保护放在优先位置。实行最严格的生态保护和水资源管理制度，发挥水资源刚性约束作用。按照“确有需要、生态安全、可持续”的要求，科学有序开发利用水资源，实现流域经济社会与生态环境和谐发展。</w:t>
      </w:r>
    </w:p>
    <w:p w14:paraId="4510749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统筹兼顾、突出重点。统筹治理、保护与开发，以及流域与区域、上下游、左右岸和不同行业之间的关系。突出流域治理、保护和开发重点，注重兴利除害结合，重点解决生态环境保护与修复、防洪减灾与水资源开发利用等问题。</w:t>
      </w:r>
    </w:p>
    <w:p w14:paraId="5683FA8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空间均衡、优化配置。以水资源承载能力为约束条件，强化节水，合理分水，管住用水，从流域和区域不同尺度空间均衡配置水资源，强化取、供、用、耗、排的全程监控，统筹生活、生态、生产用水，发挥流域水资源综合效益。</w:t>
      </w:r>
    </w:p>
    <w:p w14:paraId="63950A8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4）因地制宜、注重实效。抓住流域治理、保护和水资源开发利用的主要矛盾，按照轻重缓急，合理确定规划目标、任务和实施方案。</w:t>
      </w:r>
    </w:p>
    <w:p w14:paraId="7866911C">
      <w:pPr>
        <w:pStyle w:val="4"/>
        <w:bidi w:val="0"/>
        <w:rPr>
          <w:rFonts w:hint="default"/>
          <w:highlight w:val="none"/>
          <w:lang w:val="en-US" w:eastAsia="zh-CN"/>
        </w:rPr>
      </w:pPr>
      <w:r>
        <w:rPr>
          <w:rFonts w:hint="default"/>
          <w:highlight w:val="none"/>
          <w:lang w:val="en-US" w:eastAsia="zh-CN"/>
        </w:rPr>
        <w:t>规划的范围、水平年</w:t>
      </w:r>
    </w:p>
    <w:p w14:paraId="6C9DE551">
      <w:pPr>
        <w:pStyle w:val="5"/>
        <w:bidi w:val="0"/>
        <w:rPr>
          <w:rFonts w:hint="default"/>
          <w:highlight w:val="none"/>
          <w:lang w:val="en-US" w:eastAsia="zh-CN"/>
        </w:rPr>
      </w:pPr>
      <w:r>
        <w:rPr>
          <w:rFonts w:hint="eastAsia"/>
          <w:highlight w:val="none"/>
          <w:lang w:val="en-US" w:eastAsia="zh-CN"/>
        </w:rPr>
        <w:t>规划范围</w:t>
      </w:r>
    </w:p>
    <w:p w14:paraId="048F195E">
      <w:pPr>
        <w:rPr>
          <w:rFonts w:hint="default"/>
          <w:highlight w:val="none"/>
          <w:lang w:val="en-US" w:eastAsia="zh-CN"/>
        </w:rPr>
      </w:pPr>
      <w:r>
        <w:rPr>
          <w:rFonts w:hint="default"/>
          <w:highlight w:val="none"/>
          <w:lang w:val="en-US" w:eastAsia="zh-CN"/>
        </w:rPr>
        <w:t>乡城县冷龙沟流域面积79.0km</w:t>
      </w:r>
      <w:r>
        <w:rPr>
          <w:rFonts w:hint="default"/>
          <w:highlight w:val="none"/>
          <w:vertAlign w:val="superscript"/>
          <w:lang w:val="en-US" w:eastAsia="zh-CN"/>
        </w:rPr>
        <w:t>2</w:t>
      </w:r>
      <w:r>
        <w:rPr>
          <w:rFonts w:hint="default"/>
          <w:highlight w:val="none"/>
          <w:lang w:val="en-US" w:eastAsia="zh-CN"/>
        </w:rPr>
        <w:t>，涉及热郎宫村、冷龙村、东宫村和色尔宫村4个行政村。</w:t>
      </w:r>
    </w:p>
    <w:p w14:paraId="6E703CDF">
      <w:pPr>
        <w:pStyle w:val="5"/>
        <w:bidi w:val="0"/>
        <w:rPr>
          <w:rFonts w:hint="default"/>
          <w:highlight w:val="none"/>
          <w:lang w:val="en-US" w:eastAsia="zh-CN"/>
        </w:rPr>
      </w:pPr>
      <w:r>
        <w:rPr>
          <w:rFonts w:hint="eastAsia"/>
          <w:highlight w:val="none"/>
          <w:lang w:val="en-US" w:eastAsia="zh-CN"/>
        </w:rPr>
        <w:t>水平年</w:t>
      </w:r>
    </w:p>
    <w:p w14:paraId="380F9F8B">
      <w:pPr>
        <w:rPr>
          <w:rFonts w:hint="default"/>
          <w:highlight w:val="none"/>
          <w:lang w:val="en-US" w:eastAsia="zh-CN"/>
        </w:rPr>
      </w:pPr>
      <w:r>
        <w:rPr>
          <w:rFonts w:hint="default"/>
          <w:highlight w:val="none"/>
          <w:lang w:val="en-US" w:eastAsia="zh-CN"/>
        </w:rPr>
        <w:t>本规划现状年为2022年，规划近期水平年为2025年，远期水平年为2035年。</w:t>
      </w:r>
      <w:r>
        <w:rPr>
          <w:rFonts w:hint="eastAsia"/>
          <w:highlight w:val="none"/>
          <w:lang w:val="en-US" w:eastAsia="zh-CN"/>
        </w:rPr>
        <w:t>本次规划以近期为重点。</w:t>
      </w:r>
      <w:bookmarkStart w:id="107" w:name="_GoBack"/>
      <w:bookmarkEnd w:id="107"/>
    </w:p>
    <w:p w14:paraId="23F19984">
      <w:pPr>
        <w:pStyle w:val="4"/>
        <w:bidi w:val="0"/>
        <w:rPr>
          <w:rFonts w:hint="default"/>
          <w:highlight w:val="none"/>
          <w:lang w:val="en-US" w:eastAsia="zh-CN"/>
        </w:rPr>
      </w:pPr>
      <w:r>
        <w:rPr>
          <w:rFonts w:hint="default"/>
          <w:highlight w:val="none"/>
          <w:lang w:val="en-US" w:eastAsia="zh-CN"/>
        </w:rPr>
        <w:t>规划目标</w:t>
      </w:r>
    </w:p>
    <w:p w14:paraId="79AD7F9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总体目标：</w:t>
      </w:r>
    </w:p>
    <w:p w14:paraId="2025126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完善流域防洪减灾、水资源综合利用、水资源保护和生态修复、水土保持综合治理及流域综合管理五大体系，保障防洪安全、供水安全、粮食安全和生态安全，提高流域管理水平，支撑流域高质量发展。</w:t>
      </w:r>
    </w:p>
    <w:p w14:paraId="28A2E32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（1）水资源</w:t>
      </w:r>
    </w:p>
    <w:p w14:paraId="11A501E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根据《乡城县县域村镇体系规划和城市总体规划（2017</w:t>
      </w:r>
      <w:r>
        <w:rPr>
          <w:rFonts w:hint="eastAsia" w:cs="Times New Roman"/>
          <w:highlight w:val="none"/>
          <w:lang w:val="en-US" w:eastAsia="zh-CN"/>
        </w:rPr>
        <w:t>-</w:t>
      </w:r>
      <w:r>
        <w:rPr>
          <w:rFonts w:hint="default" w:ascii="Times New Roman" w:hAnsi="Times New Roman" w:cs="Times New Roman"/>
          <w:highlight w:val="none"/>
          <w:lang w:val="en-US" w:eastAsia="zh-CN"/>
        </w:rPr>
        <w:t>2035年)》：规划目标：至规划期末，县城及重点城镇（尼斯镇、青德镇、热打镇、水洼乡)镇区集中供水普及率达到100%，一般乡镇镇区集中供水普及率达到95%。供水水质全面达到《生活饮用水卫生标准》</w:t>
      </w:r>
      <w:r>
        <w:rPr>
          <w:rFonts w:hint="eastAsia" w:cs="Times New Roman"/>
          <w:highlight w:val="none"/>
          <w:lang w:val="en-US" w:eastAsia="zh-CN"/>
        </w:rPr>
        <w:t>（</w:t>
      </w:r>
      <w:r>
        <w:rPr>
          <w:rFonts w:hint="default" w:ascii="Times New Roman" w:hAnsi="Times New Roman" w:cs="Times New Roman"/>
          <w:highlight w:val="none"/>
          <w:lang w:val="en-US" w:eastAsia="zh-CN"/>
        </w:rPr>
        <w:t>GB5749-2022</w:t>
      </w:r>
      <w:r>
        <w:rPr>
          <w:rFonts w:hint="eastAsia" w:cs="Times New Roman"/>
          <w:highlight w:val="none"/>
          <w:lang w:val="en-US" w:eastAsia="zh-CN"/>
        </w:rPr>
        <w:t>）</w:t>
      </w:r>
      <w:r>
        <w:rPr>
          <w:rFonts w:hint="default" w:ascii="Times New Roman" w:hAnsi="Times New Roman" w:cs="Times New Roman"/>
          <w:highlight w:val="none"/>
          <w:lang w:val="en-US" w:eastAsia="zh-CN"/>
        </w:rPr>
        <w:t>和《城镇供水水质标准》。</w:t>
      </w:r>
    </w:p>
    <w:p w14:paraId="01D7578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（2）防洪减灾</w:t>
      </w:r>
    </w:p>
    <w:p w14:paraId="4838271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理安排洪水出路，保障防洪安全，力争常遇洪水不受灾，确保生活有序、生产正常；最大程度减少大洪水期间的灾害损失，控制特大洪水的影响范围与受灾损失程度；加大小流域综合治理力度，加强风险管理，减少山洪灾害损失；不断完善预测预警预报系统，建立防灾减灾风险评估和预警机制。</w:t>
      </w:r>
    </w:p>
    <w:p w14:paraId="3E576510">
      <w:pPr>
        <w:numPr>
          <w:ilvl w:val="0"/>
          <w:numId w:val="7"/>
        </w:numPr>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流域水生态修复</w:t>
      </w:r>
    </w:p>
    <w:p w14:paraId="1665E0A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以保护水源地水质和改善水生态环境为目标，加强流域重点污染源治理，推进上中游水土保持生态建设和小流域综合治理，加快坡耕地整治改造，并加强水土保持监督管理，使群众生产生活条件、区域生态环境明显改善。到2025年，基本建设与乡城县社会经济发展相适应的水土流失综合防治体系，人为水土流失得到有效控制，生态环境得以持续改善，水土保持生态文明建设取得显著成效。</w:t>
      </w:r>
    </w:p>
    <w:p w14:paraId="01BFB5EA">
      <w:pPr>
        <w:numPr>
          <w:ilvl w:val="0"/>
          <w:numId w:val="7"/>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流域综合管理</w:t>
      </w:r>
    </w:p>
    <w:p w14:paraId="2A5F259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逐步完善流域管理与区域管理相结合的管理体制和机制，加强管理能力建设和科技支撑，流域综合管理能力和公共服务水平得到显著提高。</w:t>
      </w:r>
    </w:p>
    <w:p w14:paraId="6ABEC0EC">
      <w:pPr>
        <w:pStyle w:val="4"/>
        <w:bidi w:val="0"/>
        <w:rPr>
          <w:rFonts w:hint="default"/>
          <w:highlight w:val="none"/>
          <w:lang w:val="en-US" w:eastAsia="zh-CN"/>
        </w:rPr>
      </w:pPr>
      <w:r>
        <w:rPr>
          <w:rFonts w:hint="default"/>
          <w:highlight w:val="none"/>
          <w:lang w:val="en-US" w:eastAsia="zh-CN"/>
        </w:rPr>
        <w:t>规划总体布局</w:t>
      </w:r>
    </w:p>
    <w:p w14:paraId="12AB5D90">
      <w:pPr>
        <w:pStyle w:val="5"/>
        <w:bidi w:val="0"/>
        <w:rPr>
          <w:rFonts w:hint="default"/>
          <w:highlight w:val="none"/>
          <w:lang w:val="en-US" w:eastAsia="zh-CN"/>
        </w:rPr>
      </w:pPr>
      <w:r>
        <w:rPr>
          <w:rFonts w:hint="default"/>
          <w:highlight w:val="none"/>
          <w:lang w:val="en-US" w:eastAsia="zh-CN"/>
        </w:rPr>
        <w:t>流域上游区域（源头段）</w:t>
      </w:r>
    </w:p>
    <w:p w14:paraId="38EC955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区域主要特点为河道两岸多为原始森林，海拔为3500m以上，无人类活动，该区域主要为加强源头水源涵养采用多种措施保障河流生态需水，维系河流生态服务功能。</w:t>
      </w:r>
    </w:p>
    <w:p w14:paraId="3571F374">
      <w:pPr>
        <w:pStyle w:val="5"/>
        <w:bidi w:val="0"/>
        <w:rPr>
          <w:rFonts w:hint="default"/>
          <w:highlight w:val="none"/>
          <w:lang w:val="en-US" w:eastAsia="zh-CN"/>
        </w:rPr>
      </w:pPr>
      <w:r>
        <w:rPr>
          <w:rFonts w:hint="default"/>
          <w:highlight w:val="none"/>
          <w:lang w:val="en-US" w:eastAsia="zh-CN"/>
        </w:rPr>
        <w:t>流域中下游区域</w:t>
      </w:r>
    </w:p>
    <w:p w14:paraId="2770E46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中下游区域山高坡陡，植被较好，人烟稀少，人类影响不大，水土流失相对较轻。该区域主要为饮用水水源地保护，改善水环境状况，采用多种措施保障河流生态需水，开展水资源开发利用及水土保持综合治理。</w:t>
      </w:r>
    </w:p>
    <w:p w14:paraId="78CE459C">
      <w:pPr>
        <w:pStyle w:val="4"/>
        <w:bidi w:val="0"/>
        <w:rPr>
          <w:rFonts w:hint="default"/>
          <w:highlight w:val="none"/>
          <w:lang w:val="en-US" w:eastAsia="zh-CN"/>
        </w:rPr>
      </w:pPr>
      <w:r>
        <w:rPr>
          <w:rFonts w:hint="default"/>
          <w:highlight w:val="none"/>
          <w:lang w:val="en-US" w:eastAsia="zh-CN"/>
        </w:rPr>
        <w:t>规划重点任务</w:t>
      </w:r>
    </w:p>
    <w:p w14:paraId="234E2F58">
      <w:pPr>
        <w:pStyle w:val="5"/>
        <w:bidi w:val="0"/>
        <w:rPr>
          <w:rFonts w:hint="default"/>
          <w:highlight w:val="none"/>
          <w:lang w:val="en-US" w:eastAsia="zh-CN"/>
        </w:rPr>
      </w:pPr>
      <w:r>
        <w:rPr>
          <w:rFonts w:hint="default"/>
          <w:highlight w:val="none"/>
          <w:lang w:val="en-US" w:eastAsia="zh-CN"/>
        </w:rPr>
        <w:t>防洪减灾规划</w:t>
      </w:r>
    </w:p>
    <w:p w14:paraId="2F844B3D">
      <w:pPr>
        <w:numPr>
          <w:ilvl w:val="0"/>
          <w:numId w:val="8"/>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防洪工程</w:t>
      </w:r>
    </w:p>
    <w:p w14:paraId="27B4701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流域洪水特性、防洪保护对象分布情况、所处的自然地理条件及规划确定的防洪目标，规划以堤防为主或堤库结合的防洪工程体系，保护县城及其他保护区的防洪安全。流域范围区域被划为一般防洪保护区，规划防御标准为10～20年一遇，规划总堤长为3.00公里。计划建设一座防洪水库，设计低围堰以应对冷龙沟流域的10年一遇枯期洪水，导流流量为3.15m³/s，采用放水洞导流方案。预计围堰前水位为3500.00m，上游围堰最大高度8.5m，总填筑量12534m³。导流围堰将在枯水期间（10月至次年5月）布置，有效提升防洪能力，确保区域安全，促进经济社会可持续发展。</w:t>
      </w:r>
    </w:p>
    <w:p w14:paraId="266E105C">
      <w:pPr>
        <w:numPr>
          <w:ilvl w:val="0"/>
          <w:numId w:val="8"/>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防洪非工程措施</w:t>
      </w:r>
    </w:p>
    <w:p w14:paraId="56076D63">
      <w:pPr>
        <w:bidi w:val="0"/>
        <w:rPr>
          <w:rFonts w:hint="default"/>
          <w:highlight w:val="none"/>
          <w:lang w:val="en-US" w:eastAsia="zh-CN"/>
        </w:rPr>
      </w:pPr>
      <w:r>
        <w:rPr>
          <w:rFonts w:hint="default"/>
          <w:highlight w:val="none"/>
          <w:lang w:val="en-US" w:eastAsia="zh-CN"/>
        </w:rPr>
        <w:t>1．治理标准</w:t>
      </w:r>
    </w:p>
    <w:p w14:paraId="08A9B58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县级城镇的防洪标准采用（20～30）年一遇，万亩以上农田及乡镇的防洪标准采用（10～20）年一遇，万亩以下农田及村庄的防洪标准采用10年一遇。</w:t>
      </w:r>
    </w:p>
    <w:p w14:paraId="2DFC3E1F">
      <w:pPr>
        <w:bidi w:val="0"/>
        <w:rPr>
          <w:rFonts w:hint="default"/>
          <w:highlight w:val="none"/>
          <w:lang w:val="en-US" w:eastAsia="zh-CN"/>
        </w:rPr>
      </w:pPr>
      <w:r>
        <w:rPr>
          <w:rFonts w:hint="default"/>
          <w:highlight w:val="none"/>
          <w:lang w:val="en-US" w:eastAsia="zh-CN"/>
        </w:rPr>
        <w:t>2．治理措施</w:t>
      </w:r>
    </w:p>
    <w:p w14:paraId="215B805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拟加固堤防和护岸总长0.45公里，清淤和护滩河长1.70公里，主要采用筑堤加固、清淤疏浚和护岸等工程措施。</w:t>
      </w:r>
    </w:p>
    <w:p w14:paraId="42C07186">
      <w:pPr>
        <w:pStyle w:val="5"/>
        <w:bidi w:val="0"/>
        <w:rPr>
          <w:rFonts w:hint="default"/>
          <w:highlight w:val="none"/>
          <w:lang w:val="en-US" w:eastAsia="zh-CN"/>
        </w:rPr>
      </w:pPr>
      <w:r>
        <w:rPr>
          <w:rFonts w:hint="default"/>
          <w:highlight w:val="none"/>
          <w:lang w:val="en-US" w:eastAsia="zh-CN"/>
        </w:rPr>
        <w:t>水资源利用规划</w:t>
      </w:r>
    </w:p>
    <w:p w14:paraId="7B9A958B">
      <w:pPr>
        <w:numPr>
          <w:ilvl w:val="0"/>
          <w:numId w:val="9"/>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水资源供需平衡分析</w:t>
      </w:r>
    </w:p>
    <w:p w14:paraId="675373B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①农业灌溉需水</w:t>
      </w:r>
    </w:p>
    <w:p w14:paraId="46A3280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多年平均灌溉定额为195.76万m³，灌溉面积为5050亩，多年平均灌溉净需水量为98.86万m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，P=75%</w:t>
      </w:r>
      <w:r>
        <w:rPr>
          <w:rFonts w:hint="eastAsia" w:cs="Times New Roman"/>
          <w:highlight w:val="none"/>
          <w:lang w:val="en-US" w:eastAsia="zh-CN"/>
        </w:rPr>
        <w:t>，</w:t>
      </w:r>
      <w:r>
        <w:rPr>
          <w:rFonts w:hint="default" w:ascii="Times New Roman" w:hAnsi="Times New Roman" w:cs="Times New Roman"/>
          <w:highlight w:val="none"/>
          <w:lang w:val="en-US" w:eastAsia="zh-CN"/>
        </w:rPr>
        <w:t>水平年综合灌溉定额为212.8m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/亩，灌溉面积为5050亩，灌溉净需水量为107.44万m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0C093A9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②城乡需水</w:t>
      </w:r>
    </w:p>
    <w:p w14:paraId="2CCB479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1）人口预测</w:t>
      </w:r>
    </w:p>
    <w:p w14:paraId="022CEAE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预测2035年供水区人口约1.92万人，考虑玛依河工程的工程任务中有为乡城县城供水，设计供水人口9275人，因此本次工程扣除玛依河工程的设计供水人口，本次设计城镇供水人口为9925人。</w:t>
      </w:r>
    </w:p>
    <w:p w14:paraId="2B5DEBD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2）需水量计算</w:t>
      </w:r>
    </w:p>
    <w:p w14:paraId="2762EFA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根据规划供水片区的生活水平、用水习惯、用水条件等情况，结合本地经济发展状况。经计算，居民生活年平均毛需水量49.49万m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35FC6A4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供水区2035年旅游用水人口50.05万人，旅游人口用水时段为4月-11月，该时间段旅游人口用水定额按照《四川省用水定额》（2021</w:t>
      </w:r>
      <w:r>
        <w:rPr>
          <w:rFonts w:hint="eastAsia" w:cs="Times New Roman"/>
          <w:highlight w:val="none"/>
          <w:lang w:val="en-US" w:eastAsia="zh-CN"/>
        </w:rPr>
        <w:t>年</w:t>
      </w:r>
      <w:r>
        <w:rPr>
          <w:rFonts w:hint="default" w:ascii="Times New Roman" w:hAnsi="Times New Roman" w:cs="Times New Roman"/>
          <w:highlight w:val="none"/>
          <w:lang w:val="en-US" w:eastAsia="zh-CN"/>
        </w:rPr>
        <w:t>）中的表35服务业用水定额表取值，预计旅游人口毛用水量为113.95万m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79C2824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③需水总量分析</w:t>
      </w:r>
    </w:p>
    <w:p w14:paraId="50F6996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总用水量为综合生活用水量、饲养禽畜用水量、工业用水量及第三产业用水量之和，经计算总的用水量为261.81万m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596411C3">
      <w:pPr>
        <w:numPr>
          <w:ilvl w:val="0"/>
          <w:numId w:val="9"/>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工程布局及主要任务</w:t>
      </w:r>
    </w:p>
    <w:p w14:paraId="056C680F">
      <w:pPr>
        <w:bidi w:val="0"/>
        <w:rPr>
          <w:rFonts w:hint="default"/>
          <w:highlight w:val="none"/>
          <w:lang w:val="en-US" w:eastAsia="zh-CN"/>
        </w:rPr>
      </w:pPr>
      <w:r>
        <w:rPr>
          <w:rFonts w:hint="default"/>
          <w:highlight w:val="none"/>
          <w:lang w:val="en-US" w:eastAsia="zh-CN"/>
        </w:rPr>
        <w:t>1．工程措施规划</w:t>
      </w:r>
    </w:p>
    <w:p w14:paraId="09E2AD9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随着有效灌溉面积的增加及人口、工业的发展，在规划水平年2035年，冷龙沟受水区内供需分析中出现了较大的缺口，即现有工程可供水量远不能满足规划水平年经济社会发展对水的需求，因此必须在规划水平年考虑合理的水资源配置方案。</w:t>
      </w:r>
    </w:p>
    <w:p w14:paraId="652E25B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因此，应在加大流域节水力度的同时，进一步开发流域内水资源，建设供水保证率较高的水利工程，增加流域可供水量。在充分考虑现状工程挖潜配套、节约用水的基础上，规划兴建一座小型水利工程，解决城乡供水、农业灌溉等综合利用，提高乡镇供水安全及乡镇供水保证率，完善乡镇安全给水体系，维护当地社会经济稳定，为乡城县旅游业、农业、林业等经济发展提供用水保障。</w:t>
      </w:r>
    </w:p>
    <w:p w14:paraId="7793E5CF">
      <w:pPr>
        <w:bidi w:val="0"/>
        <w:rPr>
          <w:rFonts w:hint="default"/>
          <w:highlight w:val="none"/>
          <w:lang w:val="en-US" w:eastAsia="zh-CN"/>
        </w:rPr>
      </w:pPr>
      <w:r>
        <w:rPr>
          <w:rFonts w:hint="default"/>
          <w:highlight w:val="none"/>
          <w:lang w:val="en-US" w:eastAsia="zh-CN"/>
        </w:rPr>
        <w:t>2．工程规模</w:t>
      </w:r>
    </w:p>
    <w:p w14:paraId="163B249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拟于冷龙沟新建尼色拥水库工程，以冷龙沟为引水水源，设计灌溉0.505万亩土地，可解决供水片区1.109万人和1.05万头牲畜的饮水问题。尼色拥水库开发任务是满足城区供水需求及周边农田灌溉需求。</w:t>
      </w:r>
    </w:p>
    <w:p w14:paraId="43AE682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尼色拥水库总库容142.52万m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，正常蓄水位对应库容130.59万m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，死库容14.87万m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，兴利库容115.7万m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。工程等别为Ⅳ等，水库工程规模为小（1）型，永久性水工主要建筑物级别为4级，次要建筑物为5级。</w:t>
      </w:r>
    </w:p>
    <w:p w14:paraId="0472EBAE">
      <w:pPr>
        <w:bidi w:val="0"/>
        <w:rPr>
          <w:rFonts w:hint="default"/>
          <w:highlight w:val="none"/>
          <w:lang w:val="en-US" w:eastAsia="zh-CN"/>
        </w:rPr>
      </w:pPr>
      <w:r>
        <w:rPr>
          <w:rFonts w:hint="default"/>
          <w:highlight w:val="none"/>
          <w:lang w:val="en-US" w:eastAsia="zh-CN"/>
        </w:rPr>
        <w:t>3．供水规模及服务范围</w:t>
      </w:r>
    </w:p>
    <w:p w14:paraId="44EF824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（1）供水规模</w:t>
      </w:r>
    </w:p>
    <w:p w14:paraId="7E5C47C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尼色拥水库可为乡城县县城及临近乡镇供水水量（含灌溉）611.03万m³，供水人口1.109万人；并向受水区内的5050亩农田提供灌溉。城镇供水保证率95%、灌溉设计保证率75%。镇供水管道总长11.389km。</w:t>
      </w:r>
    </w:p>
    <w:p w14:paraId="7E60D99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（2）服务范围</w:t>
      </w:r>
    </w:p>
    <w:p w14:paraId="7AAFAAA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工程供水范围主要为乡城县及周边乡镇，供水人口为1.109万人，新增灌溉面积5050亩。</w:t>
      </w:r>
    </w:p>
    <w:p w14:paraId="2A8458B6">
      <w:pPr>
        <w:pStyle w:val="5"/>
        <w:bidi w:val="0"/>
        <w:rPr>
          <w:rFonts w:hint="default"/>
          <w:highlight w:val="none"/>
          <w:lang w:val="en-US" w:eastAsia="zh-CN"/>
        </w:rPr>
      </w:pPr>
      <w:r>
        <w:rPr>
          <w:rFonts w:hint="default"/>
          <w:highlight w:val="none"/>
          <w:lang w:val="en-US" w:eastAsia="zh-CN"/>
        </w:rPr>
        <w:t>水资源保护与生态修复规划</w:t>
      </w:r>
    </w:p>
    <w:p w14:paraId="36C77226">
      <w:pPr>
        <w:numPr>
          <w:ilvl w:val="0"/>
          <w:numId w:val="10"/>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水资源保护规划</w:t>
      </w:r>
    </w:p>
    <w:p w14:paraId="12076D2A">
      <w:pPr>
        <w:bidi w:val="0"/>
        <w:rPr>
          <w:rFonts w:hint="default"/>
          <w:highlight w:val="none"/>
          <w:lang w:val="en-US" w:eastAsia="zh-CN"/>
        </w:rPr>
      </w:pPr>
      <w:r>
        <w:rPr>
          <w:rFonts w:hint="default"/>
          <w:highlight w:val="none"/>
          <w:lang w:val="en-US" w:eastAsia="zh-CN"/>
        </w:rPr>
        <w:t>1．水功能区划</w:t>
      </w:r>
    </w:p>
    <w:p w14:paraId="77F84FE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根据《四川省地面水域适用功能类别划分规定》水体功能区划，冷龙沟未划分水域功能，参照下游硕曲执行《地表水环境质量标准》（GB3838-2002）III类标准。</w:t>
      </w:r>
    </w:p>
    <w:p w14:paraId="14DE02D9">
      <w:pPr>
        <w:bidi w:val="0"/>
        <w:rPr>
          <w:rFonts w:hint="default"/>
          <w:highlight w:val="none"/>
          <w:lang w:val="en-US" w:eastAsia="zh-CN"/>
        </w:rPr>
      </w:pPr>
      <w:r>
        <w:rPr>
          <w:rFonts w:hint="default"/>
          <w:highlight w:val="none"/>
          <w:lang w:val="en-US" w:eastAsia="zh-CN"/>
        </w:rPr>
        <w:t>2．水污染现状及主要问题</w:t>
      </w:r>
    </w:p>
    <w:p w14:paraId="07B15DB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（1）污染源调查</w:t>
      </w:r>
    </w:p>
    <w:p w14:paraId="5F2CC1D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根据《乡城县入河排口排查报告》，冷龙沟流域无输入性污染源。</w:t>
      </w:r>
    </w:p>
    <w:p w14:paraId="645369C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（2）存在的主要问题</w:t>
      </w:r>
    </w:p>
    <w:p w14:paraId="2E19E189">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冷龙沟流域自然资源丰富，生物多样性程度较高，生态环境总体较好。但局部地区水土流失较严重；各类开发活动导致水生生态环境受到一定不利影响。</w:t>
      </w:r>
    </w:p>
    <w:p w14:paraId="1D19D817">
      <w:pPr>
        <w:bidi w:val="0"/>
        <w:rPr>
          <w:rFonts w:hint="default"/>
          <w:highlight w:val="none"/>
          <w:lang w:val="en-US" w:eastAsia="zh-CN"/>
        </w:rPr>
      </w:pPr>
      <w:r>
        <w:rPr>
          <w:rFonts w:hint="default"/>
          <w:highlight w:val="none"/>
          <w:lang w:val="en-US" w:eastAsia="zh-CN"/>
        </w:rPr>
        <w:t>3．水资源保护措施</w:t>
      </w:r>
    </w:p>
    <w:p w14:paraId="26080FC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保护对象为流域城市生活饮用水地表水源保护区。饮用水水源地保护工程措施主要包括：隔离防护与宣传警示工程、污染综合整治工程、生态保护与修复工程三大方面。</w:t>
      </w:r>
    </w:p>
    <w:p w14:paraId="185FF579">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对规划拟建（扩建）的水库等供水水库，在水库建设完成后，应及时设立饮用水源保护区，明确保护范围，并通过隔离防护、污染源综合整治、生态修复等措施控制污染负荷，减小污染风险。</w:t>
      </w:r>
    </w:p>
    <w:p w14:paraId="7DD027AC">
      <w:pPr>
        <w:numPr>
          <w:ilvl w:val="0"/>
          <w:numId w:val="10"/>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水生态保护规划</w:t>
      </w:r>
    </w:p>
    <w:p w14:paraId="2C153048">
      <w:pPr>
        <w:bidi w:val="0"/>
        <w:rPr>
          <w:rFonts w:hint="default"/>
          <w:highlight w:val="none"/>
          <w:lang w:val="en-US" w:eastAsia="zh-CN"/>
        </w:rPr>
      </w:pPr>
      <w:r>
        <w:rPr>
          <w:rFonts w:hint="default"/>
          <w:highlight w:val="none"/>
          <w:lang w:val="en-US" w:eastAsia="zh-CN"/>
        </w:rPr>
        <w:t>1．水生态现状与存在的问题</w:t>
      </w:r>
    </w:p>
    <w:p w14:paraId="068A5B21">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（1）水生态现状</w:t>
      </w:r>
    </w:p>
    <w:p w14:paraId="1458D00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生高等植物：主要有空心莲子草、旱苗蓼、水蓼、虉草、鸭舌草等。鱼类：主要有鲫鱼、鲤鱼、草鱼、乌鱼、鲢鱼、鳝鱼、黄腊丁、白鲢、虾、泥鳅等10多种水生生物。其中，鲫鱼、鲤鱼、草鱼、鲢鱼等为优势群类。</w:t>
      </w:r>
    </w:p>
    <w:p w14:paraId="5302F23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水沟流域渔业资源历来不丰富，除了偶有钓鱼活动外，无其他渔业生产活动。冷水沟不在自然保护区、风景名胜区、生态保护红线内，工程影响河段、减水河段内无水产种质资源保护区，无国家和四川省重点保护鱼类，无重要鱼类的自然产卵场、索饵场、越冬场和洄游通道。</w:t>
      </w:r>
    </w:p>
    <w:p w14:paraId="381784F4">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（2）存在的主要问题</w:t>
      </w:r>
    </w:p>
    <w:p w14:paraId="7FD88A81">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冷龙沟流域属于小流域，无重要野生动植物分布。现存的水生态问题不突出。</w:t>
      </w:r>
    </w:p>
    <w:p w14:paraId="1297091E">
      <w:pPr>
        <w:bidi w:val="0"/>
        <w:rPr>
          <w:rFonts w:hint="default"/>
          <w:highlight w:val="none"/>
          <w:lang w:val="en-US" w:eastAsia="zh-CN"/>
        </w:rPr>
      </w:pPr>
      <w:r>
        <w:rPr>
          <w:rFonts w:hint="default"/>
          <w:highlight w:val="none"/>
          <w:lang w:val="en-US" w:eastAsia="zh-CN"/>
        </w:rPr>
        <w:t>2．水生态环境保护及修复措施</w:t>
      </w:r>
    </w:p>
    <w:p w14:paraId="5B68784C">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（1）保障生态需水</w:t>
      </w:r>
    </w:p>
    <w:p w14:paraId="211FDDB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不影响水利工程发挥社会经济效益的前提下，优化冷龙沟中下游水利工程调度，采取生态友好型的调度方式开展联合调度。通过调节水库下泄流量，枯水期保障下游河道鱼类越冬、繁殖、秋季育肥等生态需水量要求；通过模拟天然洪水水文情势，洪水期使坝下实现连续的涨水过程和幅度较大的日水位波动，为四大家鱼等产漂流性卵鱼类繁殖提供流水条件。</w:t>
      </w:r>
    </w:p>
    <w:p w14:paraId="49EB665F">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（2）水源涵养功能保护</w:t>
      </w:r>
    </w:p>
    <w:p w14:paraId="74150DA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水源涵养生态廊道，以水源涵养、生态维育为主要功能，加强沿河流水环境综合治理和生态修复，划定水源保护区，加大沿岸生态防护林建设，禁止新建、扩建与供水设施和保护水源无关的建设项目，禁止从事放养禽畜、旅游和其他可能污染水源的活动。</w:t>
      </w:r>
    </w:p>
    <w:p w14:paraId="338F80BE">
      <w:pPr>
        <w:pStyle w:val="5"/>
        <w:bidi w:val="0"/>
        <w:rPr>
          <w:rFonts w:hint="default"/>
          <w:highlight w:val="none"/>
          <w:lang w:val="en-US" w:eastAsia="zh-CN"/>
        </w:rPr>
      </w:pPr>
      <w:r>
        <w:rPr>
          <w:rFonts w:hint="default"/>
          <w:highlight w:val="none"/>
          <w:lang w:val="en-US" w:eastAsia="zh-CN"/>
        </w:rPr>
        <w:t>水土保持规划</w:t>
      </w:r>
    </w:p>
    <w:p w14:paraId="5A2B34E4">
      <w:pPr>
        <w:numPr>
          <w:ilvl w:val="0"/>
          <w:numId w:val="11"/>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治理范围与对象</w:t>
      </w:r>
    </w:p>
    <w:p w14:paraId="0CA622B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冷龙沟流域位于乡城县东南部高山深谷土壤保持综合治理区（Ⅲ区），是《乡城县水土保持规划（2015</w:t>
      </w:r>
      <w:r>
        <w:rPr>
          <w:rFonts w:hint="eastAsia" w:cs="Times New Roman"/>
          <w:highlight w:val="none"/>
          <w:lang w:val="en-US" w:eastAsia="zh-CN"/>
        </w:rPr>
        <w:t>-</w:t>
      </w:r>
      <w:r>
        <w:rPr>
          <w:rFonts w:hint="default" w:ascii="Times New Roman" w:hAnsi="Times New Roman" w:cs="Times New Roman"/>
          <w:highlight w:val="none"/>
          <w:lang w:val="en-US" w:eastAsia="zh-CN"/>
        </w:rPr>
        <w:t>2030年）》规划近期实施项目。流域内坡耕地、疏林地和荒草地相对较多，水土流失较严重。</w:t>
      </w:r>
    </w:p>
    <w:p w14:paraId="1B04E423">
      <w:pPr>
        <w:numPr>
          <w:ilvl w:val="0"/>
          <w:numId w:val="11"/>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措施体系及配置</w:t>
      </w:r>
    </w:p>
    <w:p w14:paraId="242028B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任务：流域内坡耕地集中分布，耕地资源较缺，需重视对坡耕地的综合整治，保障粮食生产能力。坡耕地综合整治要以≥25°的坡耕地为重点，适当兼顾15°~25°坡耕地，优化配置水土资源，以坡改梯为主要手段，配套完善蓄、灌、排水系统工程，合理设置机耕路和田间生产道路，保持水土，便利生产。</w:t>
      </w:r>
    </w:p>
    <w:p w14:paraId="0847FCD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模：实施坡耕地改造、封禁治理和配套截引蓄水、灌排引水设施。规划综合治理水土流失面积2004.43hm²。其中：实施坡改梯27.38hm²，实施保土耕作50.70hm²；栽植经果林12.96hm²，水土保持种草13.39hm²；实施封禁治理1900.00hm²，安装封禁围栏4.80km；新建蓄水池8口，新建沉沙凼4个，新建灌排沟渠1.70km，新建田间道路2.50km。</w:t>
      </w:r>
    </w:p>
    <w:p w14:paraId="697C7240">
      <w:pPr>
        <w:numPr>
          <w:ilvl w:val="0"/>
          <w:numId w:val="11"/>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综合监管规划</w:t>
      </w:r>
    </w:p>
    <w:p w14:paraId="383DAD5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增强水土保持监督管理机构能力，规范监督管理工作，健全监督管理制度，全面推进乡城县水土保持监督管理能力建设。</w:t>
      </w:r>
    </w:p>
    <w:p w14:paraId="7622BF1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技支撑方面：大力加强水土保持科研队伍建设，着眼于乡城县水土保持事业中长期科技发展和大幅度提高创新能力的需要，加大地方科技人才培养力度，实施地方科技人才培养工程。支持青年创新人才、跨学科复合型人才、优秀创新团队成长。</w:t>
      </w:r>
    </w:p>
    <w:p w14:paraId="4797E84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宣传教育方面：加大水土保持生态建设的宣传和培训力度，充分利用广播、电视、报刊、网络等新闻媒体开展系列报道，扩大水土保持的社会影响，增强全社会的水土保持意识。组织新闻单位深入基层进行采访，对水保先进典型和经验进行大力宣传和报告，营造出良好的水保氛围。</w:t>
      </w:r>
    </w:p>
    <w:p w14:paraId="5BA6DF9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能力建设方面：建立和完善水土保持监督管理数据库，实时掌握全县水土保持工作的动态。落实水土保持监督管理能力建设专项经费，保障水土保持监管工作正常开展。通过组织培训强化水土保持执法队伍，提升执法人员和监督管理机构的执法能力。</w:t>
      </w:r>
    </w:p>
    <w:p w14:paraId="5FDE9627">
      <w:pPr>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5257800" cy="7442835"/>
            <wp:effectExtent l="0" t="0" r="0" b="5715"/>
            <wp:docPr id="16" name="图片 16" descr="附图15-冷龙沟小流域水土保持措施总体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附图15-冷龙沟小流域水土保持措施总体布置图_00"/>
                    <pic:cNvPicPr>
                      <a:picLocks noChangeAspect="1"/>
                    </pic:cNvPicPr>
                  </pic:nvPicPr>
                  <pic:blipFill>
                    <a:blip r:embed="rId16"/>
                    <a:stretch>
                      <a:fillRect/>
                    </a:stretch>
                  </pic:blipFill>
                  <pic:spPr>
                    <a:xfrm>
                      <a:off x="0" y="0"/>
                      <a:ext cx="5257800" cy="7442835"/>
                    </a:xfrm>
                    <a:prstGeom prst="rect">
                      <a:avLst/>
                    </a:prstGeom>
                  </pic:spPr>
                </pic:pic>
              </a:graphicData>
            </a:graphic>
          </wp:inline>
        </w:drawing>
      </w:r>
    </w:p>
    <w:p w14:paraId="539B02CC">
      <w:pPr>
        <w:pStyle w:val="11"/>
        <w:bidi w:val="0"/>
        <w:ind w:left="0" w:leftChars="0" w:firstLine="0" w:firstLineChars="0"/>
        <w:rPr>
          <w:rFonts w:hint="default" w:ascii="Times New Roman" w:hAnsi="Times New Roman" w:eastAsia="黑体" w:cs="Times New Roman"/>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4</w:t>
      </w:r>
      <w:r>
        <w:rPr>
          <w:highlight w:val="none"/>
        </w:rPr>
        <w:fldChar w:fldCharType="end"/>
      </w:r>
      <w:r>
        <w:rPr>
          <w:rFonts w:hint="eastAsia"/>
          <w:highlight w:val="none"/>
          <w:lang w:val="en-US" w:eastAsia="zh-CN"/>
        </w:rPr>
        <w:t xml:space="preserve"> 冷龙沟流域水土保持工程分布图</w:t>
      </w:r>
    </w:p>
    <w:p w14:paraId="29CC92F4">
      <w:pPr>
        <w:pStyle w:val="5"/>
        <w:bidi w:val="0"/>
        <w:rPr>
          <w:rFonts w:hint="default"/>
          <w:highlight w:val="none"/>
          <w:lang w:val="en-US" w:eastAsia="zh-CN"/>
        </w:rPr>
      </w:pPr>
      <w:r>
        <w:rPr>
          <w:rFonts w:hint="default"/>
          <w:highlight w:val="none"/>
          <w:lang w:val="en-US" w:eastAsia="zh-CN"/>
        </w:rPr>
        <w:t>流域综合管理规划</w:t>
      </w:r>
    </w:p>
    <w:p w14:paraId="1B5BD575">
      <w:pPr>
        <w:numPr>
          <w:ilvl w:val="0"/>
          <w:numId w:val="12"/>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流域管理体制与机制建设</w:t>
      </w:r>
    </w:p>
    <w:p w14:paraId="06230A8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中华人民共和国水法》《中华人民共和国防洪法》的规定，冷龙沟流域的水旱灾害防御、水资源、水土保持、河湖、水利工程建设等管理工作实行流域管理与区域管理相结合的管理体制。逐步建立以《中华人民共和国水法》《中华人民共和国防洪法》《中华人民共和国水土保持法》等法律为核心，行政法规、部门规章和地方涉水法规相配套的较为完善的流域综合管理法律法规体系；建立和完善流域与区域、水利部门与相关部门的联合执法协作机制和执法监督体系；全面实行最严格水资源管理制度，全面推进河长制湖长制；建立补偿机制、公共参与机制；探索建立水文水质等监测信息共享机制，加大公开力度，满足流域水生态、水环境、水资源管理及保护工作要求。</w:t>
      </w:r>
    </w:p>
    <w:p w14:paraId="09C99CF7">
      <w:pPr>
        <w:numPr>
          <w:ilvl w:val="0"/>
          <w:numId w:val="12"/>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流域水行政管理</w:t>
      </w:r>
    </w:p>
    <w:p w14:paraId="3DB972D0">
      <w:pPr>
        <w:bidi w:val="0"/>
        <w:rPr>
          <w:rFonts w:hint="default"/>
          <w:highlight w:val="none"/>
          <w:lang w:val="en-US" w:eastAsia="zh-CN"/>
        </w:rPr>
      </w:pPr>
      <w:r>
        <w:rPr>
          <w:rFonts w:hint="default"/>
          <w:highlight w:val="none"/>
          <w:lang w:val="en-US" w:eastAsia="zh-CN"/>
        </w:rPr>
        <w:t>1．流域规划管理</w:t>
      </w:r>
    </w:p>
    <w:p w14:paraId="049BAE6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建设水利工程应由县级以上地方人民政府水行政主管部门按照管理权限对水工程的建设是否符合流域综合规划、防洪规划进行审查并签署意见，并接受上级水行政主管部门检查，新建、改建堤防不得缩窄河道管理范围。</w:t>
      </w:r>
    </w:p>
    <w:p w14:paraId="629DAFF7">
      <w:pPr>
        <w:bidi w:val="0"/>
        <w:rPr>
          <w:rFonts w:hint="default"/>
          <w:highlight w:val="none"/>
          <w:lang w:val="en-US" w:eastAsia="zh-CN"/>
        </w:rPr>
      </w:pPr>
      <w:r>
        <w:rPr>
          <w:rFonts w:hint="default"/>
          <w:highlight w:val="none"/>
          <w:lang w:val="en-US" w:eastAsia="zh-CN"/>
        </w:rPr>
        <w:t>2．水旱灾害防御管理</w:t>
      </w:r>
    </w:p>
    <w:p w14:paraId="2701D0F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提高旱情预测能力，建立旱情预报、预警机制，制定旱情信息的定期发布制度，提高旱情信息的社会服务质量。建立流域与区域用水、工情、灾情等资料统计上报制度，规范资料的统计内容和上报程序。加强防洪社会管理，在洪泛区、蓄滞洪区建设非防洪建设项目，应实施洪水影响评价。</w:t>
      </w:r>
    </w:p>
    <w:p w14:paraId="4F5EA80E">
      <w:pPr>
        <w:bidi w:val="0"/>
        <w:rPr>
          <w:rFonts w:hint="default"/>
          <w:highlight w:val="none"/>
          <w:lang w:val="en-US" w:eastAsia="zh-CN"/>
        </w:rPr>
      </w:pPr>
      <w:r>
        <w:rPr>
          <w:rFonts w:hint="default"/>
          <w:highlight w:val="none"/>
          <w:lang w:val="en-US" w:eastAsia="zh-CN"/>
        </w:rPr>
        <w:t>3．水资源管理</w:t>
      </w:r>
    </w:p>
    <w:p w14:paraId="6657B12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完善流域管理与行政区域管理相结合的水资源管理制度，建立事权清晰、分工明确、行为规范、运转协调的水资源管理工作机制。发挥水资源最大刚性约束作用，严格执行规划水资源论证制度、取水许可制度，落实节水评价工作要求，抑制不合理需求，推动经济发展方式及水资源利用方式的根本性转变。</w:t>
      </w:r>
    </w:p>
    <w:p w14:paraId="0CC19398">
      <w:pPr>
        <w:bidi w:val="0"/>
        <w:rPr>
          <w:rFonts w:hint="default"/>
          <w:highlight w:val="none"/>
          <w:lang w:val="en-US" w:eastAsia="zh-CN"/>
        </w:rPr>
      </w:pPr>
      <w:r>
        <w:rPr>
          <w:rFonts w:hint="default"/>
          <w:highlight w:val="none"/>
          <w:lang w:val="en-US" w:eastAsia="zh-CN"/>
        </w:rPr>
        <w:t>4．水土保持管理</w:t>
      </w:r>
    </w:p>
    <w:p w14:paraId="2897C92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增强地方水土保持监管能力，强化事中事后监管，提升监管效能，建立完善的水土保持监管制度体系。建立区域代表性强、运行有保障的监测点，并运用高新技术手段开展监测。建立水土保持监督管理权责清单，落实水土流失治理工程监管责任和措施，开展水土保持规划实施情况考核评估，有效遏制水土流失。</w:t>
      </w:r>
    </w:p>
    <w:p w14:paraId="35FDD47E">
      <w:pPr>
        <w:bidi w:val="0"/>
        <w:rPr>
          <w:rFonts w:hint="default"/>
          <w:highlight w:val="none"/>
          <w:lang w:val="en-US" w:eastAsia="zh-CN"/>
        </w:rPr>
      </w:pPr>
      <w:r>
        <w:rPr>
          <w:rFonts w:hint="default"/>
          <w:highlight w:val="none"/>
          <w:lang w:val="en-US" w:eastAsia="zh-CN"/>
        </w:rPr>
        <w:t>5．水利工程建设与管理</w:t>
      </w:r>
    </w:p>
    <w:p w14:paraId="2A62662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工程实施严格执行项目法人责任制、招标投标制、建设监理制和合同管理制。依法组建项目法人，遵循公开、公平、公正和诚实信用的原则，对项目进行公开招投标。严格按照国家法律法规，实施项目合同管理制度和监理制度。加强工程建设质量管理、安全生产管理和市场监管。严格执行工程验收制度，建立项目后评价机制。</w:t>
      </w:r>
    </w:p>
    <w:p w14:paraId="37292798">
      <w:pPr>
        <w:numPr>
          <w:ilvl w:val="0"/>
          <w:numId w:val="12"/>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管理能力建设</w:t>
      </w:r>
    </w:p>
    <w:p w14:paraId="3ED0E420">
      <w:pPr>
        <w:bidi w:val="0"/>
        <w:rPr>
          <w:rFonts w:hint="default"/>
          <w:highlight w:val="none"/>
          <w:lang w:val="en-US" w:eastAsia="zh-CN"/>
        </w:rPr>
      </w:pPr>
      <w:r>
        <w:rPr>
          <w:rFonts w:hint="default"/>
          <w:highlight w:val="none"/>
          <w:lang w:val="en-US" w:eastAsia="zh-CN"/>
        </w:rPr>
        <w:t>1．水行政执法能力建设</w:t>
      </w:r>
    </w:p>
    <w:p w14:paraId="41A489E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不断提升水行政执法人员的执法能力和水平；强化内部制度建设；推动执法信息化建设；加强执法监督、树立良好形象；注重宣传，逐步改善执法环境。</w:t>
      </w:r>
    </w:p>
    <w:p w14:paraId="482AC3A0">
      <w:pPr>
        <w:bidi w:val="0"/>
        <w:rPr>
          <w:rFonts w:hint="default"/>
          <w:highlight w:val="none"/>
          <w:lang w:val="en-US" w:eastAsia="zh-CN"/>
        </w:rPr>
      </w:pPr>
      <w:r>
        <w:rPr>
          <w:rFonts w:hint="default"/>
          <w:highlight w:val="none"/>
          <w:lang w:val="en-US" w:eastAsia="zh-CN"/>
        </w:rPr>
        <w:t>2．信息化建设</w:t>
      </w:r>
    </w:p>
    <w:p w14:paraId="34EB271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根据智慧水利总体框架设计，对标</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需求牵引、应用至上</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大系统设计，分系统建设，模块化链接</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的原则和</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总要求，按照数字化场景，智慧化模拟，精准化决策</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的路径，加快补齐流域水利信息化短板。近期重点推进水利信息采集与通信设施建设；水利信息骨干网建设和流域水利数据中心与水利信息共享平台建设。</w:t>
      </w:r>
    </w:p>
    <w:p w14:paraId="5E40F79A">
      <w:pPr>
        <w:bidi w:val="0"/>
        <w:rPr>
          <w:rFonts w:hint="default"/>
          <w:highlight w:val="none"/>
          <w:lang w:val="en-US" w:eastAsia="zh-CN"/>
        </w:rPr>
      </w:pPr>
      <w:r>
        <w:rPr>
          <w:rFonts w:hint="default"/>
          <w:highlight w:val="none"/>
          <w:lang w:val="en-US" w:eastAsia="zh-CN"/>
        </w:rPr>
        <w:t>3．监测能力建设</w:t>
      </w:r>
    </w:p>
    <w:p w14:paraId="0CC805F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规划加强流域资源监测站网建设及山洪灾害监测。</w:t>
      </w:r>
    </w:p>
    <w:p w14:paraId="1674FA00">
      <w:pPr>
        <w:pStyle w:val="4"/>
        <w:bidi w:val="0"/>
        <w:rPr>
          <w:rFonts w:hint="default"/>
          <w:highlight w:val="none"/>
          <w:lang w:val="en-US" w:eastAsia="zh-CN"/>
        </w:rPr>
      </w:pPr>
      <w:r>
        <w:rPr>
          <w:rFonts w:hint="default"/>
          <w:highlight w:val="none"/>
          <w:lang w:val="en-US" w:eastAsia="zh-CN"/>
        </w:rPr>
        <w:t>规划实施安排</w:t>
      </w:r>
    </w:p>
    <w:p w14:paraId="7F3F7840">
      <w:pPr>
        <w:pStyle w:val="5"/>
        <w:bidi w:val="0"/>
        <w:rPr>
          <w:rFonts w:hint="default"/>
          <w:highlight w:val="none"/>
          <w:lang w:val="en-US" w:eastAsia="zh-CN"/>
        </w:rPr>
      </w:pPr>
      <w:r>
        <w:rPr>
          <w:rFonts w:hint="default"/>
          <w:highlight w:val="none"/>
          <w:lang w:val="en-US" w:eastAsia="zh-CN"/>
        </w:rPr>
        <w:t>规划方案实施总体要求</w:t>
      </w:r>
    </w:p>
    <w:p w14:paraId="573369D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根据冷龙沟流域特点和区域经济社会发展需求，遵循</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确有需要、生态安全、可以持续</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分工协作，分期实施</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和</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缓急有序、突出重点</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的原则，实行</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全社会参与，多渠道筹资</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，推进规划方案的实施。</w:t>
      </w:r>
    </w:p>
    <w:p w14:paraId="15B6D45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（1）按照</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以人为本，民生优先</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的原则，着力解决群众最关心最直接最现实的水利问题，优先实施与人民群众生产生活关系最密切的项目。</w:t>
      </w:r>
    </w:p>
    <w:p w14:paraId="3865EB3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（2）按照政府引导，政策支持，吸引社会资本参与城镇供水、灌溉等经营性项目的开发。</w:t>
      </w:r>
    </w:p>
    <w:p w14:paraId="1AFADB3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（3）加强政府检查和群众监督，保证各项规划治理、开发与保护目标的实现。</w:t>
      </w:r>
    </w:p>
    <w:p w14:paraId="1EF9508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（4）实施过程中，加大基础性工作投入，做好生态与环境保护、征地等重大问题的研究论证工作，妥善处理好保护与开发等各方关系。</w:t>
      </w:r>
    </w:p>
    <w:p w14:paraId="7EC3E5EA">
      <w:pPr>
        <w:pStyle w:val="5"/>
        <w:bidi w:val="0"/>
        <w:rPr>
          <w:rFonts w:hint="default"/>
          <w:highlight w:val="none"/>
          <w:lang w:val="en-US" w:eastAsia="zh-CN"/>
        </w:rPr>
      </w:pPr>
      <w:r>
        <w:rPr>
          <w:rFonts w:hint="default"/>
          <w:highlight w:val="none"/>
          <w:lang w:val="en-US" w:eastAsia="zh-CN"/>
        </w:rPr>
        <w:t>优先实施工程安排</w:t>
      </w:r>
    </w:p>
    <w:p w14:paraId="60C0ACE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为更好地完成各项保护与治理开发任务，支撑流域经济社会高质量发展需要，规划遵循以下原则，初拟选择一批优先实施工程：</w:t>
      </w:r>
    </w:p>
    <w:p w14:paraId="44EBC37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（1）优先安排保障涉及流域防洪安全、供水安全、粮食安全的重要工程项目，重点安排县城防洪保护区的防洪减灾工程项目，以及供水工程和灌区工程，水资源保护和水生态保护及修复工程。</w:t>
      </w:r>
    </w:p>
    <w:p w14:paraId="27D08AB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（2）优先安排前期工作基础好、效益大、见效快、环境制约因素小的工程项目。</w:t>
      </w:r>
    </w:p>
    <w:p w14:paraId="2837AF7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突出重点、量力而行，工程建设与当地国民经济发展水平相适应。根据以上原则冷龙沟流域共规划工程6项，总投资29870万元。详细安排计划见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_Ref10072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表9</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00D6C867">
      <w:pPr>
        <w:pStyle w:val="11"/>
        <w:ind w:left="0" w:leftChars="0" w:firstLine="0" w:firstLineChars="0"/>
        <w:rPr>
          <w:rFonts w:hint="default" w:ascii="Times New Roman" w:hAnsi="Times New Roman" w:eastAsia="黑体" w:cs="Times New Roman"/>
          <w:highlight w:val="none"/>
          <w:lang w:val="en-US" w:eastAsia="zh-CN"/>
        </w:rPr>
      </w:pPr>
      <w:bookmarkStart w:id="28" w:name="_Ref10072"/>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9</w:t>
      </w:r>
      <w:r>
        <w:rPr>
          <w:rFonts w:hint="default" w:ascii="Times New Roman" w:hAnsi="Times New Roman" w:cs="Times New Roman"/>
          <w:highlight w:val="none"/>
        </w:rPr>
        <w:fldChar w:fldCharType="end"/>
      </w:r>
      <w:bookmarkEnd w:id="28"/>
      <w:r>
        <w:rPr>
          <w:rFonts w:hint="default" w:ascii="Times New Roman" w:hAnsi="Times New Roman" w:cs="Times New Roman"/>
          <w:highlight w:val="none"/>
          <w:lang w:val="en-US" w:eastAsia="zh-CN"/>
        </w:rPr>
        <w:t xml:space="preserve"> 冷龙沟流域规划工程实施计划表</w:t>
      </w:r>
    </w:p>
    <w:tbl>
      <w:tblPr>
        <w:tblStyle w:val="20"/>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9"/>
        <w:gridCol w:w="1869"/>
        <w:gridCol w:w="3651"/>
        <w:gridCol w:w="1268"/>
        <w:gridCol w:w="1126"/>
      </w:tblGrid>
      <w:tr w14:paraId="5E16C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302" w:type="pct"/>
            <w:vAlign w:val="center"/>
          </w:tcPr>
          <w:p w14:paraId="38535FC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942" w:type="pct"/>
            <w:vAlign w:val="center"/>
          </w:tcPr>
          <w:p w14:paraId="03D96C4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重大工程名称</w:t>
            </w:r>
          </w:p>
        </w:tc>
        <w:tc>
          <w:tcPr>
            <w:tcW w:w="1840" w:type="pct"/>
            <w:vAlign w:val="center"/>
          </w:tcPr>
          <w:p w14:paraId="3375C83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重大工程举措</w:t>
            </w:r>
          </w:p>
        </w:tc>
        <w:tc>
          <w:tcPr>
            <w:tcW w:w="638" w:type="pct"/>
            <w:vAlign w:val="center"/>
          </w:tcPr>
          <w:p w14:paraId="368048D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实施年限</w:t>
            </w:r>
          </w:p>
        </w:tc>
        <w:tc>
          <w:tcPr>
            <w:tcW w:w="567" w:type="pct"/>
            <w:vAlign w:val="center"/>
          </w:tcPr>
          <w:p w14:paraId="0286042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投资估算（万元）</w:t>
            </w:r>
          </w:p>
        </w:tc>
      </w:tr>
      <w:tr w14:paraId="4A519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302" w:type="pct"/>
            <w:vAlign w:val="center"/>
          </w:tcPr>
          <w:p w14:paraId="2C063EB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942" w:type="pct"/>
            <w:vAlign w:val="center"/>
          </w:tcPr>
          <w:p w14:paraId="5F8A4F1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乡城县尼色拥水库工程</w:t>
            </w:r>
          </w:p>
        </w:tc>
        <w:tc>
          <w:tcPr>
            <w:tcW w:w="1840" w:type="pct"/>
            <w:vAlign w:val="center"/>
          </w:tcPr>
          <w:p w14:paraId="51CC3CF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水库总库容200万立方米，配套建设30km管网铺设，可改善乡城县县城及香巴拉镇1.5万人饮用供水，改善耕地灌面5400亩，新增经果林地8600亩，新增生态植被林1.3万亩。</w:t>
            </w:r>
          </w:p>
        </w:tc>
        <w:tc>
          <w:tcPr>
            <w:tcW w:w="638" w:type="pct"/>
            <w:vAlign w:val="center"/>
          </w:tcPr>
          <w:p w14:paraId="38A90E5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2023-2025</w:t>
            </w:r>
          </w:p>
        </w:tc>
        <w:tc>
          <w:tcPr>
            <w:tcW w:w="567" w:type="pct"/>
            <w:vAlign w:val="center"/>
          </w:tcPr>
          <w:p w14:paraId="4210534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21000</w:t>
            </w:r>
          </w:p>
        </w:tc>
      </w:tr>
      <w:tr w14:paraId="5DB38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302" w:type="pct"/>
            <w:vAlign w:val="center"/>
          </w:tcPr>
          <w:p w14:paraId="760CAA5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942" w:type="pct"/>
            <w:vAlign w:val="center"/>
          </w:tcPr>
          <w:p w14:paraId="1982E42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乡城县香巴拉镇冷龙拥沙场沟山洪治理工程</w:t>
            </w:r>
          </w:p>
        </w:tc>
        <w:tc>
          <w:tcPr>
            <w:tcW w:w="1840" w:type="pct"/>
            <w:vAlign w:val="center"/>
          </w:tcPr>
          <w:p w14:paraId="5D761C4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综合治理山洪沟长度3公里。</w:t>
            </w:r>
          </w:p>
        </w:tc>
        <w:tc>
          <w:tcPr>
            <w:tcW w:w="638" w:type="pct"/>
            <w:vAlign w:val="center"/>
          </w:tcPr>
          <w:p w14:paraId="59F9087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2026-2035</w:t>
            </w:r>
          </w:p>
        </w:tc>
        <w:tc>
          <w:tcPr>
            <w:tcW w:w="567" w:type="pct"/>
            <w:vAlign w:val="center"/>
          </w:tcPr>
          <w:p w14:paraId="2090ED3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500</w:t>
            </w:r>
          </w:p>
        </w:tc>
      </w:tr>
      <w:tr w14:paraId="59BD0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302" w:type="pct"/>
            <w:vAlign w:val="center"/>
          </w:tcPr>
          <w:p w14:paraId="0B1E7EB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942" w:type="pct"/>
            <w:vAlign w:val="center"/>
          </w:tcPr>
          <w:p w14:paraId="36ECA41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乡城县青德镇热宫村中小河治理工程</w:t>
            </w:r>
          </w:p>
        </w:tc>
        <w:tc>
          <w:tcPr>
            <w:tcW w:w="1840" w:type="pct"/>
            <w:vAlign w:val="center"/>
          </w:tcPr>
          <w:p w14:paraId="2A19307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中小河流治理0.45公里。</w:t>
            </w:r>
          </w:p>
        </w:tc>
        <w:tc>
          <w:tcPr>
            <w:tcW w:w="638" w:type="pct"/>
            <w:vAlign w:val="center"/>
          </w:tcPr>
          <w:p w14:paraId="49EEF1D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2025-2035</w:t>
            </w:r>
          </w:p>
        </w:tc>
        <w:tc>
          <w:tcPr>
            <w:tcW w:w="567" w:type="pct"/>
            <w:vAlign w:val="center"/>
          </w:tcPr>
          <w:p w14:paraId="1CE099F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1870</w:t>
            </w:r>
          </w:p>
        </w:tc>
      </w:tr>
      <w:tr w14:paraId="32BB5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02" w:type="pct"/>
            <w:vAlign w:val="center"/>
          </w:tcPr>
          <w:p w14:paraId="783697D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942" w:type="pct"/>
            <w:vAlign w:val="center"/>
          </w:tcPr>
          <w:p w14:paraId="7C786C5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冷龙沟水源涵养功能保护工程</w:t>
            </w:r>
          </w:p>
        </w:tc>
        <w:tc>
          <w:tcPr>
            <w:tcW w:w="1840" w:type="pct"/>
            <w:vAlign w:val="center"/>
          </w:tcPr>
          <w:p w14:paraId="5DA4C2A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冷龙沟水源涵养生态廊道，以水源涵养、生态保护为主要功能，加强沿河流水环境综合治理和生态修复，划定水源保护区，加大沿岸生态防护林建设，</w:t>
            </w:r>
          </w:p>
        </w:tc>
        <w:tc>
          <w:tcPr>
            <w:tcW w:w="638" w:type="pct"/>
            <w:vAlign w:val="center"/>
          </w:tcPr>
          <w:p w14:paraId="6DC79FF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2025-2030</w:t>
            </w:r>
          </w:p>
        </w:tc>
        <w:tc>
          <w:tcPr>
            <w:tcW w:w="567" w:type="pct"/>
            <w:vAlign w:val="center"/>
          </w:tcPr>
          <w:p w14:paraId="5BE7ED9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5000</w:t>
            </w:r>
          </w:p>
        </w:tc>
      </w:tr>
      <w:tr w14:paraId="37F5E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02" w:type="pct"/>
            <w:vAlign w:val="center"/>
          </w:tcPr>
          <w:p w14:paraId="5C68E43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942" w:type="pct"/>
            <w:vAlign w:val="center"/>
          </w:tcPr>
          <w:p w14:paraId="098BF2E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冷龙沟流域水土保持综合治理工程</w:t>
            </w:r>
          </w:p>
        </w:tc>
        <w:tc>
          <w:tcPr>
            <w:tcW w:w="1840" w:type="pct"/>
            <w:vAlign w:val="center"/>
          </w:tcPr>
          <w:p w14:paraId="24E989D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实施坡耕地改造、封禁治理和配套截引蓄水、灌排引水设施。规划综合治理水土流失面积2004.43hm²。其中：实施坡改梯27.38hm²，实施保土耕作50.70hm²；栽植经果林12.96hm²，水土保持种草13.39hm²；实施封禁治理1900.00hm²，安装封禁围栏4.80km；新建蓄水池8口，新建沉沙凼4个，新建灌排沟渠1.70km，新建田间道路2.50km。</w:t>
            </w:r>
          </w:p>
        </w:tc>
        <w:tc>
          <w:tcPr>
            <w:tcW w:w="638" w:type="pct"/>
            <w:vAlign w:val="center"/>
          </w:tcPr>
          <w:p w14:paraId="553C2C5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2022-2025</w:t>
            </w:r>
          </w:p>
        </w:tc>
        <w:tc>
          <w:tcPr>
            <w:tcW w:w="567" w:type="pct"/>
            <w:vAlign w:val="center"/>
          </w:tcPr>
          <w:p w14:paraId="2161A63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1000</w:t>
            </w:r>
          </w:p>
        </w:tc>
      </w:tr>
      <w:tr w14:paraId="7325D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02" w:type="pct"/>
            <w:vAlign w:val="center"/>
          </w:tcPr>
          <w:p w14:paraId="0E86413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942" w:type="pct"/>
            <w:vAlign w:val="center"/>
          </w:tcPr>
          <w:p w14:paraId="5368AD9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冷龙沟水源地划定及保护工程</w:t>
            </w:r>
          </w:p>
        </w:tc>
        <w:tc>
          <w:tcPr>
            <w:tcW w:w="1840" w:type="pct"/>
            <w:vAlign w:val="center"/>
          </w:tcPr>
          <w:p w14:paraId="5DC6371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设立饮用水源保护区，明确保护范围，并通过隔离防护、污染源综合整治、生态修复等措施控制污染负荷，减小污染风险</w:t>
            </w:r>
          </w:p>
        </w:tc>
        <w:tc>
          <w:tcPr>
            <w:tcW w:w="638" w:type="pct"/>
            <w:vAlign w:val="center"/>
          </w:tcPr>
          <w:p w14:paraId="694DA4B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2024-2025</w:t>
            </w:r>
          </w:p>
        </w:tc>
        <w:tc>
          <w:tcPr>
            <w:tcW w:w="567" w:type="pct"/>
            <w:vAlign w:val="center"/>
          </w:tcPr>
          <w:p w14:paraId="630D5B2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500</w:t>
            </w:r>
          </w:p>
        </w:tc>
      </w:tr>
      <w:tr w14:paraId="2456E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723" w:type="pct"/>
            <w:gridSpan w:val="4"/>
            <w:vAlign w:val="center"/>
          </w:tcPr>
          <w:p w14:paraId="243AC7B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567" w:type="pct"/>
            <w:vAlign w:val="center"/>
          </w:tcPr>
          <w:p w14:paraId="053D951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29870.00</w:t>
            </w:r>
          </w:p>
        </w:tc>
      </w:tr>
    </w:tbl>
    <w:p w14:paraId="21C0B1EA">
      <w:pPr>
        <w:ind w:left="0" w:leftChars="0" w:firstLine="0" w:firstLineChars="0"/>
        <w:rPr>
          <w:rFonts w:hint="default" w:ascii="Times New Roman" w:hAnsi="Times New Roman" w:cs="Times New Roman"/>
          <w:highlight w:val="none"/>
          <w:lang w:val="en-US" w:eastAsia="zh-CN"/>
        </w:rPr>
      </w:pPr>
    </w:p>
    <w:p w14:paraId="059D8BBF">
      <w:pPr>
        <w:pStyle w:val="3"/>
        <w:bidi w:val="0"/>
        <w:rPr>
          <w:rFonts w:hint="default"/>
          <w:highlight w:val="none"/>
          <w:lang w:val="en-US" w:eastAsia="zh-CN"/>
        </w:rPr>
      </w:pPr>
      <w:bookmarkStart w:id="29" w:name="_Toc28182"/>
      <w:r>
        <w:rPr>
          <w:rFonts w:hint="default"/>
          <w:highlight w:val="none"/>
          <w:lang w:val="en-US" w:eastAsia="zh-CN"/>
        </w:rPr>
        <w:t>规划协调性分析</w:t>
      </w:r>
      <w:bookmarkEnd w:id="29"/>
    </w:p>
    <w:p w14:paraId="7AF19044">
      <w:pPr>
        <w:pStyle w:val="4"/>
        <w:bidi w:val="0"/>
        <w:rPr>
          <w:rFonts w:hint="default"/>
          <w:highlight w:val="none"/>
          <w:lang w:val="en-US" w:eastAsia="zh-CN"/>
        </w:rPr>
      </w:pPr>
      <w:bookmarkStart w:id="30" w:name="bookmark46"/>
      <w:bookmarkEnd w:id="30"/>
      <w:r>
        <w:rPr>
          <w:rFonts w:hint="default"/>
          <w:highlight w:val="none"/>
          <w:lang w:val="en-US" w:eastAsia="zh-CN"/>
        </w:rPr>
        <w:t>与法律法规的符合性分析</w:t>
      </w:r>
    </w:p>
    <w:p w14:paraId="1AD45348">
      <w:pPr>
        <w:pStyle w:val="5"/>
        <w:bidi w:val="0"/>
        <w:rPr>
          <w:rFonts w:hint="default"/>
          <w:highlight w:val="none"/>
          <w:lang w:val="en-US" w:eastAsia="zh-CN"/>
        </w:rPr>
      </w:pPr>
      <w:r>
        <w:rPr>
          <w:rFonts w:hint="default"/>
          <w:highlight w:val="none"/>
          <w:lang w:val="en-US" w:eastAsia="zh-CN"/>
        </w:rPr>
        <w:t>与《中华人民共和国水法》符合性</w:t>
      </w:r>
    </w:p>
    <w:p w14:paraId="78C816D8">
      <w:pPr>
        <w:numPr>
          <w:ilvl w:val="0"/>
          <w:numId w:val="13"/>
        </w:numPr>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有关规定</w:t>
      </w:r>
    </w:p>
    <w:p w14:paraId="6D38889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2016年7月国家修订的《中华人民共和国水法》规定：第四条，开发、利用、节约、保护水资源和防治水害，应当全面规划、统筹兼顾、标本兼治、综合利用、讲求效益，发挥水资源的多种功能，协调好生活、生产经营和生态环境用水。</w:t>
      </w:r>
    </w:p>
    <w:p w14:paraId="458AF51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第五条，县级以上人民政府应当加强水利基础设施建设，并将其纳入本级国民经济和社会发展计划。</w:t>
      </w:r>
    </w:p>
    <w:p w14:paraId="06C657D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第六条，国家鼓励单位和个人依法开发、利用水资源，并保护其合法权益。开发、利用水资源的单位和个人有依法保护水资源的义务。</w:t>
      </w:r>
    </w:p>
    <w:p w14:paraId="56EF7A3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八条，国家厉行节约用水，大力推行节约用水措施，推广节约用水新技术、新工艺，发展节水型工业、农业和服务业，建立节水型社会。各级人民政府应当采取措施，加强对节约用水的管理，建立节约用水技术开发推广体系，培育和发展节约用水产业。单位和个人有节约用水的义务。</w:t>
      </w:r>
    </w:p>
    <w:p w14:paraId="5585A6E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第九条，国家保护水资源，采取有效措施，保护植被，植树种草，涵养水源，防治水土流失和水体污染，改善生态环境。</w:t>
      </w:r>
    </w:p>
    <w:p w14:paraId="3932766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十四条，国家制定全国水资源战略规划。开发、利用、节约、保护水资源和防治水害，应当按照流域、区域统一制定规划。规划分为流域规划和区域规划。流域规划包括流域综合规划和流域专业规划；区域规划包括区域综合规划和区域专业规划。</w:t>
      </w:r>
    </w:p>
    <w:p w14:paraId="2ACE2EA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十五条，流域范围内的区域规划应当服从流域规划，专业规划应当服从综合规划。流域综合规划和区域综合规划以及土地利用关系密切的专业规划，应当与国民经济和社会发展规律以及土地利用总体规划、城市总体规划和环境保护规划相协调，兼顾各地区、各行业需要。</w:t>
      </w:r>
    </w:p>
    <w:p w14:paraId="04C2540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第二十条，开发、利用水资源，应当坚持兴利与除害相结合，兼顾上下游、左右岸和有关地区之间的利益，充分发挥水资源的综合效益，并服从防洪的总体安排。</w:t>
      </w:r>
    </w:p>
    <w:p w14:paraId="1829A46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第二十一条，开发、利用水资源，应当首先满足城乡居民生活用水，并兼顾农业、工业、生态环境用水以及航运等需要</w:t>
      </w:r>
    </w:p>
    <w:p w14:paraId="1CC6F2D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第二十六条，国家鼓励开发、利用水能资源。在水能丰富的河流，应当有计划地进行多目标梯级开发。建设水力发电站，应当保护生态环境，兼顾防洪、供水、灌溉、航运、竹木流放和渔业等方面的需要。</w:t>
      </w:r>
    </w:p>
    <w:p w14:paraId="4397C395">
      <w:pPr>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（2）符合性分析</w:t>
      </w:r>
    </w:p>
    <w:p w14:paraId="46ECC98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包含了水资源保护、防洪、水资源利用、水土保持等专项规划。通过建立流域防洪减灾、水资源综合利用、水资源保护和生态修复、水土保持综合治理及流域综合管理五大体系，统筹协调水资源开发、利用、保护与防治的关系，可有效提高防洪减灾能力，保障人民生命财产安全，实现水资源合理开发利用，改善流域水生态与环境，实现人与自然的和谐，促进和保障流域人口、资源、环境和经济的协调可持续发展。符合《中华人民共和国水法》“开发、利用、节约、保护水资源和防治水害，应当全面规划、统筹兼顾、标本兼治、综合利用、讲求效益，发挥水资源的多种功能”的相关规定。</w:t>
      </w:r>
    </w:p>
    <w:p w14:paraId="0AA8D659">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流域综合规划从全流域角度统一制定水资源规划，规划任务包括防洪、供水、灌溉、水资源保护、水生态环境保护与修复、水土保持及流域综合管理等。符合《中华人民共和国水法》的相关规定。</w:t>
      </w:r>
    </w:p>
    <w:p w14:paraId="56FFC52F">
      <w:pPr>
        <w:pStyle w:val="5"/>
        <w:bidi w:val="0"/>
        <w:rPr>
          <w:rFonts w:hint="default"/>
          <w:highlight w:val="none"/>
          <w:lang w:val="en-US" w:eastAsia="zh-CN"/>
        </w:rPr>
      </w:pPr>
      <w:r>
        <w:rPr>
          <w:rFonts w:hint="default"/>
          <w:highlight w:val="none"/>
          <w:lang w:val="en-US" w:eastAsia="zh-CN"/>
        </w:rPr>
        <w:t>与《中华人民共和国防洪法》的符合性</w:t>
      </w:r>
    </w:p>
    <w:p w14:paraId="05CAFAF1">
      <w:pP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（1）相关规定</w:t>
      </w:r>
    </w:p>
    <w:p w14:paraId="2C3E9B0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根据《中华人民共和国防洪法》（2016年修正）规定：第三条，防洪工程设施建设，应当纳入国民经济和社会发展计划。防洪费用按照政府投入同受益者合理承担相结合的原则筹集。</w:t>
      </w:r>
    </w:p>
    <w:p w14:paraId="65F92D0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第四条，开发利用和保护水资源，应当服从防洪总体安排，实行兴利与除害相结合的原则。江河、湖泊治理以及防洪工程设施建设，应当符合流域综合规划，与流域水资源的综合开发相结合。</w:t>
      </w:r>
    </w:p>
    <w:p w14:paraId="3761248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第九条，防洪规划应当服从所在流域、区域的综合规划；区域防洪规划应当服从所在流域的流域防洪规划。</w:t>
      </w:r>
    </w:p>
    <w:p w14:paraId="2637C80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十一条，编制防洪规划，应当遵循确保重点、兼顾一般，以及防汛和抗旱相结合、工程措施和非工程措施相结合的原则，充分考虑洪涝规律和上下游、左右岸的关系以及国民经济对防洪的要求，并与国土规划和土地利用总体规划相协调。</w:t>
      </w:r>
    </w:p>
    <w:p w14:paraId="48E6433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第十七条，江河、湖泊上建设防洪工程和其他水工程、水电站等，应当符合防洪规划的要求；水库应当按照防洪规划的要求留足防洪库容。</w:t>
      </w:r>
    </w:p>
    <w:p w14:paraId="197ED1E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十八条，防治江河洪水，应当蓄泄兼施，充分发挥河道行洪能力和水库、洼淀、湖泊调蓄洪水的功能，加强河道防护，因地制宜地采取定期清淤滩等措施，保持行洪畅通。防治江河洪水，应当保护、扩大流域林草植被，涵养水源，加强流域水土保持综合治理。</w:t>
      </w:r>
    </w:p>
    <w:p w14:paraId="43E04E5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第十九条，整治河道和修建控制引导河水流向、保护堤岸等工程，应当兼顾下游、左右岸的关系，按照规划治导线实施，不得随意改变河水流向。</w:t>
      </w:r>
    </w:p>
    <w:p w14:paraId="5214DEBE">
      <w:pP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（2）符合性分析</w:t>
      </w:r>
    </w:p>
    <w:p w14:paraId="21B6D01A">
      <w:pPr>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的主要任务之一即为防洪，重点研究流域中下游地区的防洪总体布局，逐步完善流域防洪体系建设，规划实施后，冷龙沟流域防洪标准县城防洪标准为20年一遇以上，乡镇和农田防护的防洪标准为10年一遇以上。本规划通过以堤防护岸为主的工程措施和监测、预警预报系统等非工程措施建设，进一步提高流域防洪能力。符合《防洪法》第十一条“编制防洪规划，应当遵循确保重点、兼顾一般，以及防汛和抗旱相结合、工程措施和非工程措施相结合的原则”的规定。</w:t>
      </w:r>
    </w:p>
    <w:p w14:paraId="60B15E2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因此，冷龙沟流域综合规划的实施，符合《中华人民共和国防洪法》的相关要求。</w:t>
      </w:r>
    </w:p>
    <w:p w14:paraId="5A20D726">
      <w:pPr>
        <w:pStyle w:val="5"/>
        <w:bidi w:val="0"/>
        <w:rPr>
          <w:rFonts w:hint="default"/>
          <w:highlight w:val="none"/>
          <w:lang w:val="en-US" w:eastAsia="zh-CN"/>
        </w:rPr>
      </w:pPr>
      <w:r>
        <w:rPr>
          <w:rFonts w:hint="default"/>
          <w:highlight w:val="none"/>
          <w:lang w:val="en-US" w:eastAsia="zh-CN"/>
        </w:rPr>
        <w:t>与《中华人民共和国水土保持法》的符合性</w:t>
      </w:r>
    </w:p>
    <w:p w14:paraId="2EE1893E">
      <w:pPr>
        <w:numPr>
          <w:ilvl w:val="0"/>
          <w:numId w:val="14"/>
        </w:numP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有关规定</w:t>
      </w:r>
    </w:p>
    <w:p w14:paraId="672AAF7B">
      <w:pPr>
        <w:bidi w:val="0"/>
        <w:rPr>
          <w:rFonts w:hint="default"/>
          <w:highlight w:val="none"/>
          <w:lang w:val="en-US" w:eastAsia="zh-CN"/>
        </w:rPr>
      </w:pPr>
      <w:r>
        <w:rPr>
          <w:rFonts w:hint="default"/>
          <w:highlight w:val="none"/>
          <w:lang w:val="en-US" w:eastAsia="zh-CN"/>
        </w:rPr>
        <w:t>根据《中华人民共和国水土保持法》（2010年修订）规定：</w:t>
      </w:r>
      <w:r>
        <w:rPr>
          <w:rFonts w:hint="default" w:ascii="Times New Roman" w:hAnsi="Times New Roman" w:cs="Times New Roman"/>
          <w:highlight w:val="none"/>
          <w:lang w:val="en-US" w:eastAsia="zh-CN"/>
        </w:rPr>
        <w:t>第三条</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水土保持工作实行预防为主、保护优先、全面规划、综合治理、因地制宜、突出重点、科学管理、注重效益的方针。</w:t>
      </w:r>
    </w:p>
    <w:p w14:paraId="09090D36">
      <w:pPr>
        <w:bidi w:val="0"/>
        <w:rPr>
          <w:rFonts w:hint="default"/>
          <w:highlight w:val="none"/>
          <w:lang w:val="en-US" w:eastAsia="zh-CN"/>
        </w:rPr>
      </w:pPr>
      <w:r>
        <w:rPr>
          <w:rFonts w:hint="default"/>
          <w:highlight w:val="none"/>
          <w:lang w:val="en-US" w:eastAsia="zh-CN"/>
        </w:rPr>
        <w:t>第八条，任何单位和个人都有保护水土资源、预防和治理水土流失的义务，并有权对破坏水土资源、造成水土流失的行为进行举报。</w:t>
      </w:r>
    </w:p>
    <w:p w14:paraId="5678B55B">
      <w:pPr>
        <w:bidi w:val="0"/>
        <w:rPr>
          <w:rFonts w:hint="default"/>
          <w:highlight w:val="none"/>
          <w:lang w:val="en-US" w:eastAsia="zh-CN"/>
        </w:rPr>
      </w:pPr>
      <w:r>
        <w:rPr>
          <w:rFonts w:hint="default"/>
          <w:highlight w:val="none"/>
          <w:lang w:val="en-US" w:eastAsia="zh-CN"/>
        </w:rPr>
        <w:t>第十三条，水土保持规划的内容应当包括水土流失状况、水土流失类型区划分、水土流失防治目标、任务和措施等。</w:t>
      </w:r>
    </w:p>
    <w:p w14:paraId="1C66BCC5">
      <w:pPr>
        <w:bidi w:val="0"/>
        <w:rPr>
          <w:rFonts w:hint="default"/>
          <w:highlight w:val="none"/>
          <w:lang w:val="en-US" w:eastAsia="zh-CN"/>
        </w:rPr>
      </w:pPr>
      <w:r>
        <w:rPr>
          <w:rFonts w:hint="default"/>
          <w:highlight w:val="none"/>
          <w:lang w:val="en-US" w:eastAsia="zh-CN"/>
        </w:rPr>
        <w:t>第十五条，有关基础设施建设、矿产资源开发、城镇建设和公共服务设施建设等方面的规划，在实施过程中可能造成水土流失的，规划的组织编制机关应当在规划中提出水土流失预防和治理的对策和措施，并在规划报请审批前征求市级人民政府水行政主管部门的意见。</w:t>
      </w:r>
    </w:p>
    <w:p w14:paraId="22C930A3">
      <w:pPr>
        <w:bidi w:val="0"/>
        <w:rPr>
          <w:rFonts w:hint="default"/>
          <w:highlight w:val="none"/>
          <w:lang w:val="en-US" w:eastAsia="zh-CN"/>
        </w:rPr>
      </w:pPr>
      <w:r>
        <w:rPr>
          <w:rFonts w:hint="default"/>
          <w:highlight w:val="none"/>
          <w:lang w:val="en-US" w:eastAsia="zh-CN"/>
        </w:rPr>
        <w:t>第二十九条，县级以上人民政府水行政主管部门、流域管理机构，应当对生产建设项目水土保持方案的实施情况进行跟踪检查，发现问题应及时处理。</w:t>
      </w:r>
    </w:p>
    <w:p w14:paraId="0E27EC05">
      <w:pP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（2）符合性分析</w:t>
      </w:r>
    </w:p>
    <w:p w14:paraId="489D276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综合规划的规划任务之一是防治水土流失，促进流域水土资源的合理利用，并在规划中设置了水土保持规划专章。水土保持规划的内容主要包括分析流域水土流失成因和特点，根据水土流失类型，分区制定水土流失防治对策，合理规划预防监督、监测及治理方案。</w:t>
      </w:r>
    </w:p>
    <w:p w14:paraId="1BC55C1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因此，冷龙沟综合规划符合《中华人民共和国水土保持法》相关规定。</w:t>
      </w:r>
    </w:p>
    <w:p w14:paraId="78B406AB">
      <w:pPr>
        <w:pStyle w:val="5"/>
        <w:bidi w:val="0"/>
        <w:rPr>
          <w:rFonts w:hint="default"/>
          <w:highlight w:val="none"/>
          <w:lang w:val="en-US" w:eastAsia="zh-CN"/>
        </w:rPr>
      </w:pPr>
      <w:r>
        <w:rPr>
          <w:rFonts w:hint="default"/>
          <w:highlight w:val="none"/>
          <w:lang w:val="en-US" w:eastAsia="zh-CN"/>
        </w:rPr>
        <w:t>与《中华人民共和国长江保护法》的符合性</w:t>
      </w:r>
    </w:p>
    <w:p w14:paraId="37CA15E0">
      <w:pP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（1）有关规定</w:t>
      </w:r>
    </w:p>
    <w:p w14:paraId="14E60E5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《中华人民共和国长江保护法》</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第二十二条</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长江流域产业结构和布局应当与长江流域生态系统和资源环境承载能力相适应。禁止在长江流域重点生态功能区布局对生态系统有严重影响的产业。</w:t>
      </w:r>
    </w:p>
    <w:p w14:paraId="1903C38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第二十九条</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长江流域水资源保护与利用，应当根据流域综合规划，优先满足城乡居民生活用水，保障基本生态用水，并统筹农业、工业用水以及航运等需要。</w:t>
      </w:r>
    </w:p>
    <w:p w14:paraId="57FDFE4A">
      <w:pP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（2）符合性</w:t>
      </w:r>
    </w:p>
    <w:p w14:paraId="2633797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冷龙沟流域不涉及重点生态功能区，流域综合规划符合《长江保护法》的要求。冷龙沟流域综合规划综合考虑流域的用水需求，优先满足城乡居民用水，符合《长江保护法》的要求。</w:t>
      </w:r>
    </w:p>
    <w:p w14:paraId="1309706C">
      <w:pPr>
        <w:pStyle w:val="5"/>
        <w:bidi w:val="0"/>
        <w:rPr>
          <w:rFonts w:hint="default"/>
          <w:highlight w:val="none"/>
          <w:lang w:val="en-US" w:eastAsia="zh-CN"/>
        </w:rPr>
      </w:pPr>
      <w:r>
        <w:rPr>
          <w:rFonts w:hint="default"/>
          <w:highlight w:val="none"/>
          <w:lang w:val="en-US" w:eastAsia="zh-CN"/>
        </w:rPr>
        <w:t>与《中华人民共和国环境保护法》的符合性</w:t>
      </w:r>
    </w:p>
    <w:p w14:paraId="4F043701">
      <w:pPr>
        <w:numPr>
          <w:ilvl w:val="0"/>
          <w:numId w:val="15"/>
        </w:numP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相关规定</w:t>
      </w:r>
    </w:p>
    <w:p w14:paraId="1BEEC2A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《中华人民共和国环境保护法》第三十条</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开发利用自然资源，应当合理开发，保护生物多样性，保障生态安全，依法制定有关生态保护和恢复治理方案并予以实施。</w:t>
      </w:r>
    </w:p>
    <w:p w14:paraId="172B7B73">
      <w:pP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（2）符合性分析</w:t>
      </w:r>
    </w:p>
    <w:p w14:paraId="4BBADCD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坚持“以人为本、改善民生”“生态优先、绿色发展”的原则，根据流域自然特性、功能定位、经济社会条件和水资源开发利用现状，统筹流域防洪、供水、灌溉、水资源保护、水生态环境保护与修复、水土保持等任务，按照相关管理要求，处理好水资源开发与保护关系，以水定需、量水而行、因水制宜。在水资源配置方面，在保障河道内生态环境用水和强化节水的基础上，合理配置生活、生产和河道外生态环境用水；在水能资源开发方面，高度重视生态环境影响与保护，采取生态环境友好的工程方案，构建流域生态修复与水环境保护体系，推进水能资源合理有序开发。</w:t>
      </w:r>
    </w:p>
    <w:p w14:paraId="73D5ECB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因此，冷龙沟流域综合规划的实施，在维护河流健康和流域生态系统良性循环、保障生态安全的前提下，提高了流域安全供水保障能力和清洁能源水纳能力，符合《中华人民共和国环境保护法》的相关要求。</w:t>
      </w:r>
    </w:p>
    <w:p w14:paraId="7CED17F3">
      <w:pPr>
        <w:pStyle w:val="5"/>
        <w:bidi w:val="0"/>
        <w:rPr>
          <w:rFonts w:hint="default"/>
          <w:highlight w:val="none"/>
          <w:lang w:val="en-US" w:eastAsia="zh-CN"/>
        </w:rPr>
      </w:pPr>
      <w:r>
        <w:rPr>
          <w:rFonts w:hint="default"/>
          <w:highlight w:val="none"/>
          <w:lang w:val="en-US" w:eastAsia="zh-CN"/>
        </w:rPr>
        <w:t>与《中华人民共和国水污染防治法》的符合性</w:t>
      </w:r>
    </w:p>
    <w:p w14:paraId="11A778B8">
      <w:pP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（1）有关规定</w:t>
      </w:r>
    </w:p>
    <w:p w14:paraId="0F3D1FC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华人民共和国水污染防治法》第九条，国务院有关部门和地方各级人民政府在开发、利用和调节、调度水资源的时候，应当统筹兼顾，维护江河的合理流量和湖泊、水库以及地下水体的合理水位，维护水体的自然净化能力。</w:t>
      </w:r>
    </w:p>
    <w:p w14:paraId="58C0972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六十三条规定：“国家建立饮用水水源保护区制度。饮用水水源保护区分为一级保护区和二级保护区；必要时，可以在饮用水水源保护区外围划定一定的区域作为准保护区。国务院和省、自治区、直辖市人民政府可以根据保护饮用水水源的实际需要，调整饮用水水源保护区的范围，确保饮用水安全。有关地方人民政府应当在饮用水水源保护区的边界设立明确的地理界标和明显的警示标志”。</w:t>
      </w:r>
    </w:p>
    <w:p w14:paraId="62121486">
      <w:pPr>
        <w:bidi w:val="0"/>
        <w:rPr>
          <w:rFonts w:hint="default"/>
          <w:highlight w:val="none"/>
          <w:lang w:val="en-US" w:eastAsia="zh-CN"/>
        </w:rPr>
      </w:pPr>
      <w:r>
        <w:rPr>
          <w:rFonts w:hint="default"/>
          <w:highlight w:val="none"/>
          <w:lang w:val="en-US" w:eastAsia="zh-CN"/>
        </w:rPr>
        <w:t>第六十四条规定：“在饮用水水源保护区内，禁止设置排污口”。</w:t>
      </w:r>
    </w:p>
    <w:p w14:paraId="47BFEE1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六十五条规定：“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w:t>
      </w:r>
    </w:p>
    <w:p w14:paraId="5E8F376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六十六条，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p>
    <w:p w14:paraId="5B0F931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第六十七条规定：“禁止在饮用水水源准保护区内新建、扩建对水体污染严重的建设项目；改建建设项目，不得增加排污量”。</w:t>
      </w:r>
    </w:p>
    <w:p w14:paraId="2E1C7221">
      <w:pPr>
        <w:bidi w:val="0"/>
        <w:rPr>
          <w:rFonts w:hint="default"/>
          <w:highlight w:val="none"/>
          <w:lang w:val="en-US" w:eastAsia="zh-CN"/>
        </w:rPr>
      </w:pPr>
      <w:r>
        <w:rPr>
          <w:rFonts w:hint="eastAsia"/>
          <w:highlight w:val="none"/>
          <w:lang w:val="en-US" w:eastAsia="zh-CN"/>
        </w:rPr>
        <w:t>（2）符合性</w:t>
      </w:r>
    </w:p>
    <w:p w14:paraId="4FDF8F7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本次规划提出了最严格的保护措施</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如水资源利用规划要求在节水的基础上,统筹协调生活、生产、生态环境用水，实行最严格的水资源管理制度，提高用水效率，合理开发利用地表水，合理配置水资源。</w:t>
      </w:r>
      <w:r>
        <w:rPr>
          <w:rFonts w:hint="eastAsia" w:ascii="Times New Roman" w:hAnsi="Times New Roman" w:cs="Times New Roman"/>
          <w:highlight w:val="none"/>
          <w:lang w:val="en-US" w:eastAsia="zh-CN"/>
        </w:rPr>
        <w:t>流域将规划建设水库一座，将在水源地保护区内建设相关供水设施。水库设施的建设需严格遵守水污染防治法的相关规定。</w:t>
      </w:r>
    </w:p>
    <w:p w14:paraId="0CDC29A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规划的实施，符合《中华人民共和国水污染防治法》“防治水污染，保护和改善环境，保障饮用水安全，促进经济社会全面协调可持续发展”“维护江河的合理流量和湖泊、水库以及地下水体的合理水位，维护水体的自然净化能力”的相关要求。</w:t>
      </w:r>
    </w:p>
    <w:p w14:paraId="06F09CFE">
      <w:pPr>
        <w:pStyle w:val="5"/>
        <w:bidi w:val="0"/>
        <w:rPr>
          <w:rFonts w:hint="default"/>
          <w:highlight w:val="none"/>
          <w:lang w:val="en-US" w:eastAsia="zh-CN"/>
        </w:rPr>
      </w:pPr>
      <w:r>
        <w:rPr>
          <w:rFonts w:hint="default"/>
          <w:highlight w:val="none"/>
          <w:lang w:val="en-US" w:eastAsia="zh-CN"/>
        </w:rPr>
        <w:t>与《中华人民共和国自然保护区条例》符合性</w:t>
      </w:r>
    </w:p>
    <w:p w14:paraId="2A73B71D">
      <w:pPr>
        <w:bidi w:val="0"/>
        <w:rPr>
          <w:rFonts w:hint="default"/>
          <w:highlight w:val="none"/>
          <w:lang w:val="en-US" w:eastAsia="zh-CN"/>
        </w:rPr>
      </w:pPr>
      <w:r>
        <w:rPr>
          <w:rFonts w:hint="eastAsia"/>
          <w:highlight w:val="none"/>
          <w:lang w:val="en-US" w:eastAsia="zh-CN"/>
        </w:rPr>
        <w:t>（1）相关规定</w:t>
      </w:r>
    </w:p>
    <w:p w14:paraId="7503F61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《中华人民共和国自然保护区条例》第二十七条</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14:paraId="0E36434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自然保护区核心区内原有居民确有必要迁出的，由自然保护区所在地的地方人民政府予以妥善安置。</w:t>
      </w:r>
    </w:p>
    <w:p w14:paraId="40EF66C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第二十八条</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71D73FB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从事前款活动的单位和个人，应当将其活动成果的副本提交自然保护区管理机构。</w:t>
      </w:r>
    </w:p>
    <w:p w14:paraId="756C18F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第二十九条</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在自然保护区的实验区内开展参观、旅游活动的，由自然保护区管理机构编制方案，方案应当符合自然保护区管理目标。</w:t>
      </w:r>
    </w:p>
    <w:p w14:paraId="2120961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在自然保护区组织参观、旅游活动的，应当严格按照前款规定的方案进行，并加强管理；进入自然保护区参观、旅游的单位和个人，应当服从自然保护区管理机构的管理。</w:t>
      </w:r>
    </w:p>
    <w:p w14:paraId="5A989E5E">
      <w:pPr>
        <w:bidi w:val="0"/>
        <w:rPr>
          <w:rFonts w:hint="default"/>
          <w:highlight w:val="none"/>
          <w:lang w:val="en-US" w:eastAsia="zh-CN"/>
        </w:rPr>
      </w:pPr>
      <w:r>
        <w:rPr>
          <w:rFonts w:hint="eastAsia"/>
          <w:highlight w:val="none"/>
          <w:lang w:val="en-US" w:eastAsia="zh-CN"/>
        </w:rPr>
        <w:t>（2）符合性</w:t>
      </w:r>
    </w:p>
    <w:p w14:paraId="1401373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冷龙沟流域不涉及自然保护区，与条例相符合。</w:t>
      </w:r>
    </w:p>
    <w:p w14:paraId="790DF390">
      <w:pPr>
        <w:pStyle w:val="5"/>
        <w:bidi w:val="0"/>
        <w:rPr>
          <w:rFonts w:hint="default"/>
          <w:highlight w:val="none"/>
          <w:lang w:val="en-US" w:eastAsia="zh-CN"/>
        </w:rPr>
      </w:pPr>
      <w:r>
        <w:rPr>
          <w:rFonts w:hint="eastAsia"/>
          <w:highlight w:val="none"/>
          <w:lang w:val="en-US" w:eastAsia="zh-CN"/>
        </w:rPr>
        <w:t>与《中华人民共和国环境影响评价法》符合性</w:t>
      </w:r>
    </w:p>
    <w:p w14:paraId="411FB48A">
      <w:pPr>
        <w:bidi w:val="0"/>
        <w:rPr>
          <w:rFonts w:hint="default"/>
          <w:highlight w:val="none"/>
          <w:lang w:val="en-US" w:eastAsia="zh-CN"/>
        </w:rPr>
      </w:pPr>
      <w:r>
        <w:rPr>
          <w:rFonts w:hint="default"/>
          <w:highlight w:val="none"/>
          <w:lang w:val="en-US" w:eastAsia="zh-CN"/>
        </w:rPr>
        <w:t>（1）有关规定</w:t>
      </w:r>
    </w:p>
    <w:p w14:paraId="53AE5D13">
      <w:pPr>
        <w:rPr>
          <w:rFonts w:hint="default"/>
          <w:highlight w:val="none"/>
          <w:lang w:val="en-US" w:eastAsia="zh-CN"/>
        </w:rPr>
      </w:pPr>
      <w:r>
        <w:rPr>
          <w:rFonts w:hint="default"/>
          <w:highlight w:val="none"/>
          <w:lang w:val="en-US" w:eastAsia="zh-CN"/>
        </w:rPr>
        <w:t>根据《中华人民共和国环境影响评价法》（2018年修正）的有关规定：国务院有关部门、设区的市级以上地方人民政府及其有关部门，对其组织编制的工业、农业、畜牧业、林业、能源、水利、交通、城市建设、旅游、自然资源开发的有关专项规划（以下简称专项规划），应当在该专项规划草案上报审批前，组织进行环境影响评价，并向审批该专项规划的机关提出环境影响报告书。</w:t>
      </w:r>
    </w:p>
    <w:p w14:paraId="76061A90">
      <w:pPr>
        <w:numPr>
          <w:ilvl w:val="0"/>
          <w:numId w:val="15"/>
        </w:numPr>
        <w:bidi w:val="0"/>
        <w:rPr>
          <w:rFonts w:hint="eastAsia"/>
          <w:highlight w:val="none"/>
          <w:lang w:val="en-US" w:eastAsia="zh-CN"/>
        </w:rPr>
      </w:pPr>
      <w:r>
        <w:rPr>
          <w:rFonts w:hint="eastAsia"/>
          <w:highlight w:val="none"/>
          <w:lang w:val="en-US" w:eastAsia="zh-CN"/>
        </w:rPr>
        <w:t>符合性</w:t>
      </w:r>
    </w:p>
    <w:p w14:paraId="396F7838">
      <w:pPr>
        <w:bidi w:val="0"/>
        <w:rPr>
          <w:rFonts w:hint="default"/>
          <w:highlight w:val="none"/>
          <w:lang w:val="en-US" w:eastAsia="zh-CN"/>
        </w:rPr>
      </w:pPr>
      <w:r>
        <w:rPr>
          <w:rFonts w:hint="eastAsia"/>
          <w:highlight w:val="none"/>
          <w:lang w:val="en-US" w:eastAsia="zh-CN"/>
        </w:rPr>
        <w:t>2024年7月乡城县水利局委托中实建设工程咨询有限公司，于2024年9月委托我单位对以上冷龙沟流域综合规划进行环境影响评价。因此，本次流域综合规划环境影响报告符合《中华人民共和国环境影响评价法》的规定。《中华人民共和国水污染防治法》《饮用水水源保护区污染防治管理规定》《集中式饮用水水源环境保护指南（试行）》《四川省饮用水水源保护管理条例》《甘孜州饮用水水源保护管理条例（征求意见稿）》等水源地保护的相关要求，规划的各类工程符合禁止在饮用水水源一级保护区内新建、改建、扩建与供水设施和保护水源无关的建设项目的要求。</w:t>
      </w:r>
    </w:p>
    <w:p w14:paraId="6077D126">
      <w:pPr>
        <w:pStyle w:val="4"/>
        <w:bidi w:val="0"/>
        <w:rPr>
          <w:rFonts w:hint="default"/>
          <w:highlight w:val="none"/>
          <w:lang w:val="en-US" w:eastAsia="zh-CN"/>
        </w:rPr>
      </w:pPr>
      <w:r>
        <w:rPr>
          <w:rFonts w:hint="default"/>
          <w:highlight w:val="none"/>
          <w:lang w:val="en-US" w:eastAsia="zh-CN"/>
        </w:rPr>
        <w:t>与相关条例、办法</w:t>
      </w:r>
      <w:r>
        <w:rPr>
          <w:rFonts w:hint="eastAsia"/>
          <w:highlight w:val="none"/>
          <w:lang w:val="en-US" w:eastAsia="zh-CN"/>
        </w:rPr>
        <w:t>、政策</w:t>
      </w:r>
      <w:r>
        <w:rPr>
          <w:rFonts w:hint="default"/>
          <w:highlight w:val="none"/>
          <w:lang w:val="en-US" w:eastAsia="zh-CN"/>
        </w:rPr>
        <w:t>的符合性分析</w:t>
      </w:r>
    </w:p>
    <w:p w14:paraId="1FEE3451">
      <w:pPr>
        <w:pStyle w:val="5"/>
        <w:bidi w:val="0"/>
        <w:rPr>
          <w:rFonts w:hint="default"/>
          <w:highlight w:val="none"/>
          <w:lang w:val="en-US" w:eastAsia="zh-CN"/>
        </w:rPr>
      </w:pPr>
      <w:r>
        <w:rPr>
          <w:rFonts w:hint="eastAsia"/>
          <w:highlight w:val="none"/>
          <w:lang w:val="en-US" w:eastAsia="zh-CN"/>
        </w:rPr>
        <w:t>《中华人民共和国河道管理条例》</w:t>
      </w:r>
    </w:p>
    <w:p w14:paraId="53093245">
      <w:pPr>
        <w:bidi w:val="0"/>
        <w:rPr>
          <w:rFonts w:hint="default"/>
          <w:highlight w:val="none"/>
          <w:lang w:val="en-US" w:eastAsia="zh-CN"/>
        </w:rPr>
      </w:pPr>
      <w:r>
        <w:rPr>
          <w:rFonts w:hint="default"/>
          <w:highlight w:val="none"/>
          <w:lang w:val="en-US" w:eastAsia="zh-CN"/>
        </w:rPr>
        <w:t>（1）有关规定</w:t>
      </w:r>
    </w:p>
    <w:p w14:paraId="2A8B4164">
      <w:pPr>
        <w:rPr>
          <w:rFonts w:hint="default"/>
          <w:highlight w:val="none"/>
          <w:lang w:val="en-US" w:eastAsia="zh-CN"/>
        </w:rPr>
      </w:pPr>
      <w:r>
        <w:rPr>
          <w:rFonts w:hint="default"/>
          <w:highlight w:val="none"/>
          <w:lang w:val="en-US" w:eastAsia="zh-CN"/>
        </w:rPr>
        <w:t>《中华人民共和国河道管理条例》第三条规定：“开发利用江河湖泊水资源和防治水害，应当全面规划、统筹兼顾、综合利用、讲求效益，服从防洪的总体安排，促进各项事业的发展”；第十条规定：“河道的整治与建设，应当服从流域综合规划，符合国家规定的防洪标准、通航标准和其他有关技术要求，维护提防安全，保持河势稳定和行洪、航运通畅”。</w:t>
      </w:r>
    </w:p>
    <w:p w14:paraId="480ED27A">
      <w:pPr>
        <w:bidi w:val="0"/>
        <w:rPr>
          <w:rFonts w:hint="default"/>
          <w:highlight w:val="none"/>
          <w:lang w:val="en-US" w:eastAsia="zh-CN"/>
        </w:rPr>
      </w:pPr>
      <w:r>
        <w:rPr>
          <w:rFonts w:hint="default"/>
          <w:highlight w:val="none"/>
          <w:lang w:val="en-US" w:eastAsia="zh-CN"/>
        </w:rPr>
        <w:t>（2）符合性分析</w:t>
      </w:r>
    </w:p>
    <w:p w14:paraId="6C6503D9">
      <w:pPr>
        <w:rPr>
          <w:rFonts w:hint="default"/>
          <w:highlight w:val="none"/>
          <w:lang w:val="en-US" w:eastAsia="zh-CN"/>
        </w:rPr>
      </w:pPr>
      <w:r>
        <w:rPr>
          <w:rFonts w:hint="eastAsia"/>
          <w:highlight w:val="none"/>
          <w:lang w:val="en-US" w:eastAsia="zh-CN"/>
        </w:rPr>
        <w:t>冷龙沟</w:t>
      </w:r>
      <w:r>
        <w:rPr>
          <w:rFonts w:hint="default"/>
          <w:highlight w:val="none"/>
          <w:lang w:val="en-US" w:eastAsia="zh-CN"/>
        </w:rPr>
        <w:t>流域综合规划在防洪规划中规划建</w:t>
      </w:r>
      <w:r>
        <w:rPr>
          <w:rFonts w:hint="eastAsia"/>
          <w:highlight w:val="none"/>
          <w:lang w:val="en-US" w:eastAsia="zh-CN"/>
        </w:rPr>
        <w:t>3</w:t>
      </w:r>
      <w:r>
        <w:rPr>
          <w:rFonts w:hint="default"/>
          <w:highlight w:val="none"/>
          <w:lang w:val="en-US" w:eastAsia="zh-CN"/>
        </w:rPr>
        <w:t>km防洪堤，确保河道行洪顺畅。因此本次冷龙沟流域综合规划符合《中华人民共和国河道管理条例》的规定。</w:t>
      </w:r>
    </w:p>
    <w:p w14:paraId="32044857">
      <w:pPr>
        <w:pStyle w:val="5"/>
        <w:bidi w:val="0"/>
        <w:rPr>
          <w:rFonts w:hint="default"/>
          <w:highlight w:val="none"/>
          <w:lang w:val="en-US" w:eastAsia="zh-CN"/>
        </w:rPr>
      </w:pPr>
      <w:r>
        <w:rPr>
          <w:rFonts w:hint="default"/>
          <w:highlight w:val="none"/>
          <w:lang w:val="en-US" w:eastAsia="zh-CN"/>
        </w:rPr>
        <w:t>《基本农田保护条例》</w:t>
      </w:r>
    </w:p>
    <w:p w14:paraId="531DEC7C">
      <w:pPr>
        <w:bidi w:val="0"/>
        <w:rPr>
          <w:rFonts w:hint="default"/>
          <w:highlight w:val="none"/>
          <w:lang w:val="en-US" w:eastAsia="zh-CN"/>
        </w:rPr>
      </w:pPr>
      <w:r>
        <w:rPr>
          <w:rFonts w:hint="default"/>
          <w:highlight w:val="none"/>
          <w:lang w:val="en-US" w:eastAsia="zh-CN"/>
        </w:rPr>
        <w:t>（1）相关内容</w:t>
      </w:r>
    </w:p>
    <w:p w14:paraId="6ACE5AFD">
      <w:pPr>
        <w:rPr>
          <w:rFonts w:hint="default"/>
          <w:highlight w:val="none"/>
          <w:lang w:val="en-US" w:eastAsia="zh-CN"/>
        </w:rPr>
      </w:pPr>
      <w:r>
        <w:rPr>
          <w:rFonts w:hint="default"/>
          <w:highlight w:val="none"/>
          <w:lang w:val="en-US" w:eastAsia="zh-CN"/>
        </w:rPr>
        <w:t>根据《基本农田保护条例》（2011年修订）第十五条，基本农田保护区经依法划定后，任何单位和个人不得改变或者占用。国家能源、交通、水利、军事设施等重点建设项目选址确实无法避开基本农田保护区，需要占用基本农田，涉及农用地转用或者征用土地的，必须经国务院批准。</w:t>
      </w:r>
    </w:p>
    <w:p w14:paraId="6B89AB1E">
      <w:pPr>
        <w:rPr>
          <w:rFonts w:hint="default"/>
          <w:highlight w:val="none"/>
          <w:lang w:val="en-US" w:eastAsia="zh-CN"/>
        </w:rPr>
      </w:pPr>
      <w:r>
        <w:rPr>
          <w:rFonts w:hint="default"/>
          <w:highlight w:val="none"/>
          <w:lang w:val="en-US" w:eastAsia="zh-CN"/>
        </w:rPr>
        <w:t>第十六条，规定经国务院批准占用基本农田的，当地人民政府应当按照国务院的批准文件修改土地利用总体规划，并补充划入数量和质量相当的基本农田。占用单位应当按照占多少、垦多少的原则，负责开垦与所占基本农田的数量与质量相当的耕地；没有条件开垦或者开垦的耕地不符合要求的，应当按照省、自治区、直辖市的规定缴纳耕地开垦费，专款用于开垦新的耕地。</w:t>
      </w:r>
    </w:p>
    <w:p w14:paraId="00A1344C">
      <w:pPr>
        <w:rPr>
          <w:rFonts w:hint="default"/>
          <w:highlight w:val="none"/>
          <w:lang w:val="en-US" w:eastAsia="zh-CN"/>
        </w:rPr>
      </w:pPr>
      <w:r>
        <w:rPr>
          <w:rFonts w:hint="default"/>
          <w:highlight w:val="none"/>
          <w:lang w:val="en-US" w:eastAsia="zh-CN"/>
        </w:rPr>
        <w:t>第十七条，规定禁止任何单位和个人在基本农田保护区内建窑、建房、建坟、挖砂、采石、采矿、取土、堆放固体废弃物或者进行其他破坏基本农田的活动。禁止任何单位和个人占用基本农田发展林果业和挖塘养鱼。</w:t>
      </w:r>
    </w:p>
    <w:p w14:paraId="7B63D6DB">
      <w:pPr>
        <w:bidi w:val="0"/>
        <w:rPr>
          <w:rFonts w:hint="default"/>
          <w:highlight w:val="none"/>
          <w:lang w:val="en-US" w:eastAsia="zh-CN"/>
        </w:rPr>
      </w:pPr>
      <w:r>
        <w:rPr>
          <w:rFonts w:hint="default"/>
          <w:highlight w:val="none"/>
          <w:lang w:val="en-US" w:eastAsia="zh-CN"/>
        </w:rPr>
        <w:t>（2）符合性分析</w:t>
      </w:r>
    </w:p>
    <w:p w14:paraId="2D0F1E0F">
      <w:pPr>
        <w:rPr>
          <w:rFonts w:hint="eastAsia"/>
          <w:highlight w:val="none"/>
          <w:lang w:val="en-US" w:eastAsia="zh-CN"/>
        </w:rPr>
      </w:pPr>
      <w:r>
        <w:rPr>
          <w:rFonts w:hint="eastAsia"/>
          <w:highlight w:val="none"/>
          <w:lang w:val="en-US" w:eastAsia="zh-CN"/>
        </w:rPr>
        <w:t>本次规划新建水库一座，规划的工程在具体设计时应考虑优化选址选线方案，尽量不占或少占永久基本农田；确实无法避让的，参照《自然资源部 农业农村部关于加强和改进永久基本农田保护工作的通知》（自然资规〔2019〕1号），按照“数量不减、质量不降、布局稳定”的要求及时补充、开垦数量和质量相当的基本农田。</w:t>
      </w:r>
    </w:p>
    <w:p w14:paraId="023E3BB5">
      <w:pPr>
        <w:pStyle w:val="5"/>
        <w:bidi w:val="0"/>
        <w:rPr>
          <w:rFonts w:hint="default"/>
          <w:highlight w:val="none"/>
          <w:lang w:val="en-US" w:eastAsia="zh-CN"/>
        </w:rPr>
      </w:pPr>
      <w:r>
        <w:rPr>
          <w:rFonts w:hint="eastAsia"/>
          <w:highlight w:val="none"/>
          <w:lang w:val="en-US" w:eastAsia="zh-CN"/>
        </w:rPr>
        <w:t>《</w:t>
      </w:r>
      <w:r>
        <w:rPr>
          <w:rFonts w:hint="default"/>
          <w:highlight w:val="none"/>
          <w:lang w:val="en-US" w:eastAsia="zh-CN"/>
        </w:rPr>
        <w:t>四川省水资源条例</w:t>
      </w:r>
      <w:r>
        <w:rPr>
          <w:rFonts w:hint="eastAsia"/>
          <w:highlight w:val="none"/>
          <w:lang w:val="en-US" w:eastAsia="zh-CN"/>
        </w:rPr>
        <w:t>》</w:t>
      </w:r>
    </w:p>
    <w:p w14:paraId="68787B0D">
      <w:pPr>
        <w:numPr>
          <w:ilvl w:val="0"/>
          <w:numId w:val="16"/>
        </w:numPr>
        <w:bidi w:val="0"/>
        <w:rPr>
          <w:rFonts w:hint="eastAsia"/>
          <w:highlight w:val="none"/>
          <w:lang w:val="en-US" w:eastAsia="zh-CN"/>
        </w:rPr>
      </w:pPr>
      <w:r>
        <w:rPr>
          <w:rFonts w:hint="eastAsia"/>
          <w:highlight w:val="none"/>
          <w:lang w:val="en-US" w:eastAsia="zh-CN"/>
        </w:rPr>
        <w:t>相关规划</w:t>
      </w:r>
    </w:p>
    <w:p w14:paraId="3178B7D3">
      <w:pPr>
        <w:bidi w:val="0"/>
        <w:rPr>
          <w:rFonts w:hint="eastAsia"/>
          <w:highlight w:val="none"/>
          <w:lang w:val="en-US" w:eastAsia="zh-CN"/>
        </w:rPr>
      </w:pPr>
      <w:r>
        <w:rPr>
          <w:rFonts w:hint="default"/>
          <w:highlight w:val="none"/>
          <w:lang w:val="en-US" w:eastAsia="zh-CN"/>
        </w:rPr>
        <w:t>《四川省水资源条例》</w:t>
      </w:r>
      <w:r>
        <w:rPr>
          <w:rFonts w:hint="eastAsia"/>
          <w:highlight w:val="none"/>
          <w:lang w:val="en-US" w:eastAsia="zh-CN"/>
        </w:rPr>
        <w:t>第四条，县级以上地方各级人民政府应当将水资源配置、集约节约利用和保护纳入国民经济和社会发展规划、国土空间规划，并与水资源承载能力相协调，落实水资源刚性约束要求。</w:t>
      </w:r>
    </w:p>
    <w:p w14:paraId="52FE92ED">
      <w:pPr>
        <w:bidi w:val="0"/>
        <w:rPr>
          <w:rFonts w:hint="default"/>
          <w:highlight w:val="none"/>
          <w:lang w:val="en-US" w:eastAsia="zh-CN"/>
        </w:rPr>
      </w:pPr>
      <w:r>
        <w:rPr>
          <w:rFonts w:hint="default"/>
          <w:highlight w:val="none"/>
          <w:lang w:val="en-US" w:eastAsia="zh-CN"/>
        </w:rPr>
        <w:t>第五条</w:t>
      </w:r>
      <w:r>
        <w:rPr>
          <w:rFonts w:hint="eastAsia"/>
          <w:highlight w:val="none"/>
          <w:lang w:val="en-US" w:eastAsia="zh-CN"/>
        </w:rPr>
        <w:t>，</w:t>
      </w:r>
      <w:r>
        <w:rPr>
          <w:rFonts w:hint="default"/>
          <w:highlight w:val="none"/>
          <w:lang w:val="en-US" w:eastAsia="zh-CN"/>
        </w:rPr>
        <w:t>省人民政府应当根据全省经济社会总体布局和成都平原经济区、川南经济区、川东北经济区、攀西经济区、川西北生态示范区功能定位，组织制定全省水资源规划，统筹优化水资源配置和重大水工程建设。</w:t>
      </w:r>
    </w:p>
    <w:p w14:paraId="733FC6C3">
      <w:pPr>
        <w:bidi w:val="0"/>
        <w:rPr>
          <w:rFonts w:hint="default"/>
          <w:highlight w:val="none"/>
          <w:lang w:val="en-US" w:eastAsia="zh-CN"/>
        </w:rPr>
      </w:pPr>
      <w:r>
        <w:rPr>
          <w:rFonts w:hint="default"/>
          <w:highlight w:val="none"/>
          <w:lang w:val="en-US" w:eastAsia="zh-CN"/>
        </w:rPr>
        <w:t>市（州）、县（市、区）人民政府应当组织制定本行政区域的水资源规划，并服从所在流域综合规划和上一级水资源规划。</w:t>
      </w:r>
    </w:p>
    <w:p w14:paraId="7ACC1052">
      <w:pPr>
        <w:bidi w:val="0"/>
        <w:rPr>
          <w:rFonts w:hint="default"/>
          <w:highlight w:val="none"/>
          <w:lang w:val="en-US" w:eastAsia="zh-CN"/>
        </w:rPr>
      </w:pPr>
      <w:r>
        <w:rPr>
          <w:rFonts w:hint="default"/>
          <w:highlight w:val="none"/>
          <w:lang w:val="en-US" w:eastAsia="zh-CN"/>
        </w:rPr>
        <w:t>第十八条</w:t>
      </w:r>
      <w:r>
        <w:rPr>
          <w:rFonts w:hint="eastAsia"/>
          <w:highlight w:val="none"/>
          <w:lang w:val="en-US" w:eastAsia="zh-CN"/>
        </w:rPr>
        <w:t>，</w:t>
      </w:r>
      <w:r>
        <w:rPr>
          <w:rFonts w:hint="default"/>
          <w:highlight w:val="none"/>
          <w:lang w:val="en-US" w:eastAsia="zh-CN"/>
        </w:rPr>
        <w:t>水资源开发利用应当根据水资源时空分布及需水情况，遵循多源互济、蓄丰补枯的原则，优先开发地表水，控制开采地下水，统筹利用当地水和外调水，合理利用洪水资源和非常规水源。</w:t>
      </w:r>
    </w:p>
    <w:p w14:paraId="36A16259">
      <w:pPr>
        <w:bidi w:val="0"/>
        <w:rPr>
          <w:rFonts w:hint="default"/>
          <w:highlight w:val="none"/>
          <w:lang w:val="en-US" w:eastAsia="zh-CN"/>
        </w:rPr>
      </w:pPr>
      <w:r>
        <w:rPr>
          <w:rFonts w:hint="default"/>
          <w:highlight w:val="none"/>
          <w:lang w:val="en-US" w:eastAsia="zh-CN"/>
        </w:rPr>
        <w:t>第十九条</w:t>
      </w:r>
      <w:r>
        <w:rPr>
          <w:rFonts w:hint="eastAsia"/>
          <w:highlight w:val="none"/>
          <w:lang w:val="en-US" w:eastAsia="zh-CN"/>
        </w:rPr>
        <w:t>，</w:t>
      </w:r>
      <w:r>
        <w:rPr>
          <w:rFonts w:hint="default"/>
          <w:highlight w:val="none"/>
          <w:lang w:val="en-US" w:eastAsia="zh-CN"/>
        </w:rPr>
        <w:t>省人民政府规划和建设重大引调水工程、调蓄储能工程，应当遵循确有所需、生态安全、可以持续的原则，与自然河湖、地下水共同构建系统完备、绿色安全、集约高效的水网体系，保障生态安全，增强水资源战略储备、统筹调配和供水保障能力。</w:t>
      </w:r>
    </w:p>
    <w:p w14:paraId="24E3FD73">
      <w:pPr>
        <w:bidi w:val="0"/>
        <w:rPr>
          <w:rFonts w:hint="eastAsia"/>
          <w:highlight w:val="none"/>
          <w:lang w:val="en-US" w:eastAsia="zh-CN"/>
        </w:rPr>
      </w:pPr>
      <w:r>
        <w:rPr>
          <w:rFonts w:hint="eastAsia"/>
          <w:highlight w:val="none"/>
          <w:lang w:val="en-US" w:eastAsia="zh-CN"/>
        </w:rPr>
        <w:t>（2）符合性</w:t>
      </w:r>
    </w:p>
    <w:p w14:paraId="6419462E">
      <w:pPr>
        <w:bidi w:val="0"/>
        <w:rPr>
          <w:rFonts w:hint="eastAsia"/>
          <w:highlight w:val="none"/>
          <w:lang w:val="en-US" w:eastAsia="zh-CN"/>
        </w:rPr>
      </w:pPr>
      <w:r>
        <w:rPr>
          <w:rFonts w:hint="eastAsia"/>
          <w:highlight w:val="none"/>
          <w:lang w:val="en-US" w:eastAsia="zh-CN"/>
        </w:rPr>
        <w:t>冷龙沟流域综合规划将建设水库一座，承担县城供水及周边农田灌溉功能。水资源开发利用是根据水资源时空分布及需水情况，遵循多源互济、蓄丰补枯的原则，优先开发地表水的原则下进行的。并且规划水库按要求安装生态流量监测监控设备，确保生态安全。</w:t>
      </w:r>
    </w:p>
    <w:p w14:paraId="38D76581">
      <w:pPr>
        <w:pStyle w:val="5"/>
        <w:bidi w:val="0"/>
        <w:rPr>
          <w:rFonts w:hint="default"/>
          <w:highlight w:val="none"/>
          <w:lang w:val="en-US" w:eastAsia="zh-CN"/>
        </w:rPr>
      </w:pPr>
      <w:r>
        <w:rPr>
          <w:rFonts w:hint="eastAsia"/>
          <w:highlight w:val="none"/>
          <w:lang w:val="en-US" w:eastAsia="zh-CN"/>
        </w:rPr>
        <w:t>《</w:t>
      </w:r>
      <w:r>
        <w:rPr>
          <w:rFonts w:hint="default"/>
          <w:highlight w:val="none"/>
          <w:lang w:val="en-US" w:eastAsia="zh-CN"/>
        </w:rPr>
        <w:t>产业结构调整指导目录（2024年本）</w:t>
      </w:r>
      <w:r>
        <w:rPr>
          <w:rFonts w:hint="eastAsia"/>
          <w:highlight w:val="none"/>
          <w:lang w:val="en-US" w:eastAsia="zh-CN"/>
        </w:rPr>
        <w:t>》</w:t>
      </w:r>
    </w:p>
    <w:p w14:paraId="6F9FA8F2">
      <w:pPr>
        <w:bidi w:val="0"/>
        <w:rPr>
          <w:rFonts w:hint="eastAsia"/>
          <w:highlight w:val="none"/>
          <w:lang w:val="en-US" w:eastAsia="zh-CN"/>
        </w:rPr>
      </w:pPr>
      <w:r>
        <w:rPr>
          <w:rFonts w:hint="eastAsia"/>
          <w:highlight w:val="none"/>
          <w:lang w:val="en-US" w:eastAsia="zh-CN"/>
        </w:rPr>
        <w:t>（1）相关内容</w:t>
      </w:r>
    </w:p>
    <w:p w14:paraId="61835ACB">
      <w:pPr>
        <w:bidi w:val="0"/>
        <w:rPr>
          <w:rFonts w:hint="eastAsia"/>
          <w:highlight w:val="none"/>
          <w:lang w:val="en-US" w:eastAsia="zh-CN"/>
        </w:rPr>
      </w:pPr>
      <w:r>
        <w:rPr>
          <w:rFonts w:hint="default"/>
          <w:highlight w:val="none"/>
          <w:lang w:val="en-US" w:eastAsia="zh-CN"/>
        </w:rPr>
        <w:t>根据《产业结构调整指导目录（2024年本）》二、水利</w:t>
      </w:r>
      <w:r>
        <w:rPr>
          <w:rFonts w:hint="eastAsia"/>
          <w:highlight w:val="none"/>
          <w:lang w:val="en-US" w:eastAsia="zh-CN"/>
        </w:rPr>
        <w:t xml:space="preserve"> 3．防洪提升工程：病险水库、水闸除险加固工程，城市积涝预警和防洪工程，水利工程用土工合成材料及新型材料开发制造，水利工程用高性能混凝土复合管道的开发与制造，山洪地质灾害防治工程（山洪地质灾害防治区监测预报预警体系建设及山洪沟、泥石流沟和滑坡治理等），江河湖海堤防建设及河道治理工程，蓄滞洪区建设，江河湖库清淤疏浚工程，堤防隐患排查与修复，出海口门整治工程。</w:t>
      </w:r>
    </w:p>
    <w:p w14:paraId="71BE9797">
      <w:pPr>
        <w:bidi w:val="0"/>
        <w:rPr>
          <w:rFonts w:hint="eastAsia"/>
          <w:highlight w:val="none"/>
          <w:lang w:val="en-US" w:eastAsia="zh-CN"/>
        </w:rPr>
      </w:pPr>
      <w:r>
        <w:rPr>
          <w:rFonts w:hint="default"/>
          <w:highlight w:val="none"/>
          <w:lang w:val="en-US" w:eastAsia="zh-CN"/>
        </w:rPr>
        <w:t>4．水生态保护修复：水生态系统及地下水保护与修复工程，水源地保护工程（水源地保护区划分、隔离防护、水土保持、水资源保护、水生态环境修复及有关技术开发推广），水土保持工程（淤地坝工程、坡耕地水土流失综合治理，侵蚀沟治理）</w:t>
      </w:r>
      <w:r>
        <w:rPr>
          <w:rFonts w:hint="eastAsia"/>
          <w:highlight w:val="none"/>
          <w:lang w:val="en-US" w:eastAsia="zh-CN"/>
        </w:rPr>
        <w:t>。</w:t>
      </w:r>
    </w:p>
    <w:p w14:paraId="21606EB5">
      <w:pPr>
        <w:bidi w:val="0"/>
        <w:rPr>
          <w:rFonts w:hint="eastAsia"/>
          <w:highlight w:val="none"/>
          <w:lang w:val="en-US" w:eastAsia="zh-CN"/>
        </w:rPr>
      </w:pPr>
      <w:r>
        <w:rPr>
          <w:rFonts w:hint="eastAsia"/>
          <w:highlight w:val="none"/>
          <w:lang w:val="en-US" w:eastAsia="zh-CN"/>
        </w:rPr>
        <w:t>（2）符合性</w:t>
      </w:r>
    </w:p>
    <w:p w14:paraId="61FDEE68">
      <w:pPr>
        <w:rPr>
          <w:rFonts w:hint="default"/>
          <w:highlight w:val="none"/>
          <w:lang w:val="en-US" w:eastAsia="zh-CN"/>
        </w:rPr>
      </w:pPr>
      <w:r>
        <w:rPr>
          <w:rFonts w:hint="default"/>
          <w:highlight w:val="none"/>
          <w:lang w:val="en-US" w:eastAsia="zh-CN"/>
        </w:rPr>
        <w:t>本次</w:t>
      </w:r>
      <w:r>
        <w:rPr>
          <w:rFonts w:hint="eastAsia"/>
          <w:highlight w:val="none"/>
          <w:lang w:val="en-US" w:eastAsia="zh-CN"/>
        </w:rPr>
        <w:t>冷龙沟</w:t>
      </w:r>
      <w:r>
        <w:rPr>
          <w:rFonts w:hint="default"/>
          <w:highlight w:val="none"/>
          <w:lang w:val="en-US" w:eastAsia="zh-CN"/>
        </w:rPr>
        <w:t>流域规划主要包括防洪</w:t>
      </w:r>
      <w:r>
        <w:rPr>
          <w:rFonts w:hint="eastAsia"/>
          <w:highlight w:val="none"/>
          <w:lang w:val="en-US" w:eastAsia="zh-CN"/>
        </w:rPr>
        <w:t>减灾</w:t>
      </w:r>
      <w:r>
        <w:rPr>
          <w:rFonts w:hint="default"/>
          <w:highlight w:val="none"/>
          <w:lang w:val="en-US" w:eastAsia="zh-CN"/>
        </w:rPr>
        <w:t>规划、水资源</w:t>
      </w:r>
      <w:r>
        <w:rPr>
          <w:rFonts w:hint="eastAsia"/>
          <w:highlight w:val="none"/>
          <w:lang w:val="en-US" w:eastAsia="zh-CN"/>
        </w:rPr>
        <w:t>利用</w:t>
      </w:r>
      <w:r>
        <w:rPr>
          <w:rFonts w:hint="default"/>
          <w:highlight w:val="none"/>
          <w:lang w:val="en-US" w:eastAsia="zh-CN"/>
        </w:rPr>
        <w:t>规划、水资源保护与生态修复规划</w:t>
      </w:r>
      <w:r>
        <w:rPr>
          <w:rFonts w:hint="eastAsia"/>
          <w:highlight w:val="none"/>
          <w:lang w:val="en-US" w:eastAsia="zh-CN"/>
        </w:rPr>
        <w:t>、</w:t>
      </w:r>
      <w:r>
        <w:rPr>
          <w:rFonts w:hint="default"/>
          <w:highlight w:val="none"/>
          <w:lang w:val="en-US" w:eastAsia="zh-CN"/>
        </w:rPr>
        <w:t>水土保持规划等，均属于产业结构调整目录中的鼓励类的水利工程类型，均符合《产业结构调整指导目录（2019年本）》内容。</w:t>
      </w:r>
      <w:r>
        <w:rPr>
          <w:rFonts w:hint="eastAsia"/>
          <w:highlight w:val="none"/>
          <w:lang w:val="en-US" w:eastAsia="zh-CN"/>
        </w:rPr>
        <w:t>冷龙沟</w:t>
      </w:r>
      <w:r>
        <w:rPr>
          <w:rFonts w:hint="default"/>
          <w:highlight w:val="none"/>
          <w:lang w:val="en-US" w:eastAsia="zh-CN"/>
        </w:rPr>
        <w:t>流域未规划新增电站，</w:t>
      </w:r>
      <w:r>
        <w:rPr>
          <w:rFonts w:hint="eastAsia"/>
          <w:highlight w:val="none"/>
          <w:lang w:val="en-US" w:eastAsia="zh-CN"/>
        </w:rPr>
        <w:t>新建水库</w:t>
      </w:r>
      <w:r>
        <w:rPr>
          <w:rFonts w:hint="default"/>
          <w:highlight w:val="none"/>
          <w:lang w:val="en-US" w:eastAsia="zh-CN"/>
        </w:rPr>
        <w:t>安装生态流量在线监控装置与环保主管部门联网，不属于《产业结构调整指导目录》（2019年本）中的限制类项目。</w:t>
      </w:r>
    </w:p>
    <w:p w14:paraId="30649569">
      <w:pPr>
        <w:pStyle w:val="4"/>
        <w:bidi w:val="0"/>
        <w:rPr>
          <w:rFonts w:hint="default"/>
          <w:highlight w:val="none"/>
          <w:lang w:val="en-US" w:eastAsia="zh-CN"/>
        </w:rPr>
      </w:pPr>
      <w:r>
        <w:rPr>
          <w:rFonts w:hint="default"/>
          <w:highlight w:val="none"/>
          <w:lang w:val="en-US" w:eastAsia="zh-CN"/>
        </w:rPr>
        <w:t>与相关功能区规划及功能区划的符合性</w:t>
      </w:r>
    </w:p>
    <w:p w14:paraId="293433C5">
      <w:pPr>
        <w:pStyle w:val="5"/>
        <w:bidi w:val="0"/>
        <w:rPr>
          <w:rFonts w:hint="default"/>
          <w:highlight w:val="none"/>
          <w:lang w:val="en-US" w:eastAsia="zh-CN"/>
        </w:rPr>
      </w:pPr>
      <w:r>
        <w:rPr>
          <w:rFonts w:hint="default"/>
          <w:highlight w:val="none"/>
          <w:lang w:val="en-US" w:eastAsia="zh-CN"/>
        </w:rPr>
        <w:t>与全国主体功能区划、生态功能区划符合性分析</w:t>
      </w:r>
    </w:p>
    <w:p w14:paraId="6A29D5A5">
      <w:pPr>
        <w:bidi w:val="0"/>
        <w:rPr>
          <w:rFonts w:hint="default"/>
          <w:highlight w:val="none"/>
          <w:lang w:val="en-US" w:eastAsia="zh-CN"/>
        </w:rPr>
      </w:pPr>
      <w:r>
        <w:rPr>
          <w:rFonts w:hint="eastAsia"/>
          <w:highlight w:val="none"/>
          <w:lang w:val="en-US" w:eastAsia="zh-CN"/>
        </w:rPr>
        <w:t>（1）功能区划内容</w:t>
      </w:r>
    </w:p>
    <w:p w14:paraId="519A3E4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国务院2010年12月发布的《全国主体功能区规划》，本流域位于国家层面重点开发区域中成渝地区成都经济区，该区域功能定位是：西部地区重要的经济中心，全国重要的综合交通枢纽，商贸物流中心和金融中心，以及先进制造业基地、科技创新产业化基地和农产品加工基地。提出“构建以成都为核心，以成德绵乐（成都、德阳、绵阳、乐山）为主轴，等等，加强岷江、沱江、涪江等水系的水土流失防治和水污染治理，强化龙泉山等山脉的生态保护与建设，构建以邛崃山脉</w:t>
      </w:r>
      <w:r>
        <w:rPr>
          <w:rFonts w:hint="eastAsia" w:cs="Times New Roman"/>
          <w:highlight w:val="none"/>
          <w:lang w:val="en-US" w:eastAsia="zh-CN"/>
        </w:rPr>
        <w:t>-</w:t>
      </w:r>
      <w:r>
        <w:rPr>
          <w:rFonts w:hint="default" w:ascii="Times New Roman" w:hAnsi="Times New Roman" w:cs="Times New Roman"/>
          <w:highlight w:val="none"/>
          <w:lang w:val="en-US" w:eastAsia="zh-CN"/>
        </w:rPr>
        <w:t>龙门山、龙泉山为屏障，以岷江、沱江、涪江为纽带的生态格局。</w:t>
      </w:r>
    </w:p>
    <w:p w14:paraId="751E1CA8">
      <w:pPr>
        <w:bidi w:val="0"/>
        <w:rPr>
          <w:rFonts w:hint="default"/>
          <w:highlight w:val="none"/>
          <w:lang w:val="en-US" w:eastAsia="zh-CN"/>
        </w:rPr>
      </w:pPr>
      <w:r>
        <w:rPr>
          <w:rFonts w:hint="eastAsia"/>
          <w:highlight w:val="none"/>
          <w:lang w:val="en-US" w:eastAsia="zh-CN"/>
        </w:rPr>
        <w:t>（2）相容性分析</w:t>
      </w:r>
    </w:p>
    <w:p w14:paraId="1C2E710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冷龙沟流域位于乡城镇香巴拉镇，根据《全国主体功能区规划》，流域规划范围不涉及国家层面的限制开发区和禁止开发区。</w:t>
      </w:r>
    </w:p>
    <w:p w14:paraId="5AFC7E67">
      <w:pPr>
        <w:keepNext w:val="0"/>
        <w:keepLines w:val="0"/>
        <w:widowControl/>
        <w:suppressLineNumbers w:val="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全国生态功能区划》，冷龙沟属于川西北水源涵养与生物多样性保护重要区。主要生态问题：大规模水电开发导致的生态破坏加剧，湿地疏干垦殖和过度放牧导致的沼泽萎缩、草甸退化和草地沙化问题突出。生态保护主要措施：合理开发水电资源，强化水电开发与运行中的生态保护，严格控制支流小水电的无序开发。加大牧业生产设施建设力度，逐步改变牧业粗放经营和过度放牧，加强草地恢复，加大草地沙化和鼠虫害防治力度，严禁沼泽湿地疏干改造，退牧还沼，恢复湿地，加大天然草地、沼泽湿地和生物多样性的保护力度。发展生态旅游、观光旅游和科学考察服务的第三产业，开发具有地方特色的畜产品产业，走生态经济型发展道路。</w:t>
      </w:r>
    </w:p>
    <w:p w14:paraId="7FFD254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开发遵循“创新、协调、绿色、开放、共享”的发展理念，坚持“节水优先、空间均衡、系统治理、两手发力”的新时期治水思路，坚持尊重自然、顺应自然、保护自然，坚持绿水青山就是金山银山的理念，把生态保护放在突出位置，立足流域基本水情和需求，开发建设与生态保护相结合，在生态保护的基础上开展水利基础设施建设。针对流域水灾害、水资源、水生态、水环境等问题，提出水资源保护规划、水生态保护与修复规划、防洪规划、水资源利用规划、节水规划、水土保持规划等水资源保护规划中合理配置流域内供需，保障冷龙沟流域社会经济发展的需水要求。</w:t>
      </w:r>
    </w:p>
    <w:p w14:paraId="2080FB2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综上，冷龙沟流域规划与《全国主体功能区规划》《全国生态功能区划》中各个生态功能分区的发展方向和原则相协调，在规划内容中均有对各功能分区保护要求的响应，与其具有良好的协调性。</w:t>
      </w:r>
    </w:p>
    <w:p w14:paraId="16A4ABD6">
      <w:pPr>
        <w:pStyle w:val="5"/>
        <w:bidi w:val="0"/>
        <w:rPr>
          <w:rFonts w:hint="default"/>
          <w:highlight w:val="none"/>
          <w:lang w:val="en-US" w:eastAsia="zh-CN"/>
        </w:rPr>
      </w:pPr>
      <w:r>
        <w:rPr>
          <w:rFonts w:hint="default"/>
          <w:highlight w:val="none"/>
          <w:lang w:val="en-US" w:eastAsia="zh-CN"/>
        </w:rPr>
        <w:t>与水功能区划的符合性</w:t>
      </w:r>
    </w:p>
    <w:p w14:paraId="19010F69">
      <w:pPr>
        <w:bidi w:val="0"/>
        <w:rPr>
          <w:rFonts w:hint="default"/>
          <w:highlight w:val="none"/>
          <w:lang w:val="en-US" w:eastAsia="zh-CN"/>
        </w:rPr>
      </w:pPr>
      <w:r>
        <w:rPr>
          <w:rFonts w:hint="eastAsia"/>
          <w:highlight w:val="none"/>
          <w:lang w:val="en-US" w:eastAsia="zh-CN"/>
        </w:rPr>
        <w:t>（1）功能区划内容</w:t>
      </w:r>
    </w:p>
    <w:p w14:paraId="43E0CF0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根据《全国重要江河湖泊水功能区划（2011</w:t>
      </w:r>
      <w:r>
        <w:rPr>
          <w:rFonts w:hint="eastAsia" w:cs="Times New Roman"/>
          <w:highlight w:val="none"/>
          <w:lang w:val="en-US" w:eastAsia="zh-CN"/>
        </w:rPr>
        <w:t>-</w:t>
      </w:r>
      <w:r>
        <w:rPr>
          <w:rFonts w:hint="default" w:ascii="Times New Roman" w:hAnsi="Times New Roman" w:cs="Times New Roman"/>
          <w:highlight w:val="none"/>
          <w:lang w:val="en-US" w:eastAsia="zh-CN"/>
        </w:rPr>
        <w:t>2030年）》和《四川省水功能区划报告》（2020年10月），根据《四川省水功能区划》，硕曲共划分四个一级水功能区，冷龙沟河口位于硕曲河理塘乡城保留区。</w:t>
      </w:r>
    </w:p>
    <w:p w14:paraId="1B1C3E0E">
      <w:pPr>
        <w:bidi w:val="0"/>
        <w:rPr>
          <w:rFonts w:hint="default"/>
          <w:highlight w:val="none"/>
          <w:lang w:val="en-US" w:eastAsia="zh-CN"/>
        </w:rPr>
      </w:pPr>
      <w:r>
        <w:rPr>
          <w:rFonts w:hint="eastAsia"/>
          <w:highlight w:val="none"/>
          <w:lang w:val="en-US" w:eastAsia="zh-CN"/>
        </w:rPr>
        <w:t>（2）相容性分析</w:t>
      </w:r>
    </w:p>
    <w:p w14:paraId="0E6D84E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冷龙沟流域尚未划分水功能区，冷龙沟为硕曲右岸一级支流，冷龙沟流域干流全长18.2km，本规划仅规划防洪、水土保持及水资源利用，在保护和治理目标上是与水功能区要求相协调的。</w:t>
      </w:r>
    </w:p>
    <w:p w14:paraId="45C4BC46">
      <w:pPr>
        <w:pStyle w:val="5"/>
        <w:bidi w:val="0"/>
        <w:rPr>
          <w:rFonts w:hint="default"/>
          <w:highlight w:val="none"/>
          <w:lang w:val="en-US" w:eastAsia="zh-CN"/>
        </w:rPr>
      </w:pPr>
      <w:r>
        <w:rPr>
          <w:rFonts w:hint="default"/>
          <w:highlight w:val="none"/>
          <w:lang w:val="en-US" w:eastAsia="zh-CN"/>
        </w:rPr>
        <w:t>与四川主体功能区划、生态功能区划的协调性</w:t>
      </w:r>
    </w:p>
    <w:p w14:paraId="4AAB8820">
      <w:pPr>
        <w:bidi w:val="0"/>
        <w:rPr>
          <w:rFonts w:hint="default"/>
          <w:highlight w:val="none"/>
          <w:lang w:val="en-US" w:eastAsia="zh-CN"/>
        </w:rPr>
      </w:pPr>
      <w:r>
        <w:rPr>
          <w:rFonts w:hint="eastAsia"/>
          <w:highlight w:val="none"/>
          <w:lang w:val="en-US" w:eastAsia="zh-CN"/>
        </w:rPr>
        <w:t>（1）功能区划内容</w:t>
      </w:r>
    </w:p>
    <w:p w14:paraId="6B26E4C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根据《四川省主体功能区规划》（川府发</w:t>
      </w:r>
      <w:r>
        <w:rPr>
          <w:rFonts w:hint="default" w:ascii="Times New Roman" w:hAnsi="Times New Roman" w:eastAsia="微软雅黑" w:cs="Times New Roman"/>
          <w:highlight w:val="none"/>
          <w:lang w:val="en-US" w:eastAsia="zh-CN"/>
        </w:rPr>
        <w:t>〔</w:t>
      </w:r>
      <w:r>
        <w:rPr>
          <w:rFonts w:hint="default" w:ascii="Times New Roman" w:hAnsi="Times New Roman" w:cs="Times New Roman"/>
          <w:highlight w:val="none"/>
          <w:lang w:val="en-US" w:eastAsia="zh-CN"/>
        </w:rPr>
        <w:t>2013</w:t>
      </w:r>
      <w:r>
        <w:rPr>
          <w:rFonts w:hint="default" w:ascii="Times New Roman" w:hAnsi="Times New Roman" w:eastAsia="微软雅黑" w:cs="Times New Roman"/>
          <w:highlight w:val="none"/>
          <w:lang w:val="en-US" w:eastAsia="zh-CN"/>
        </w:rPr>
        <w:t>〕</w:t>
      </w:r>
      <w:r>
        <w:rPr>
          <w:rFonts w:hint="default" w:ascii="Times New Roman" w:hAnsi="Times New Roman" w:cs="Times New Roman"/>
          <w:highlight w:val="none"/>
          <w:lang w:val="en-US" w:eastAsia="zh-CN"/>
        </w:rPr>
        <w:t>16号），冷龙沟所在区域属于国家层面限制开发区域（重点生态功能区），不涉及禁止开发区域。该区域主体功能定位：大熊猫、羚牛、金丝猴等重要珍稀生物的栖息地，国家乃至世界生物多样性保护重要区域，全省重要的生物多样性、涵养水源、保持水土、维系生态平衡的主要区域。冷龙沟流域综合规划以涵养水源、保持水土、维系生态平衡等规划为主，符合主体功能区划要求。</w:t>
      </w:r>
    </w:p>
    <w:p w14:paraId="7CAD8EF3">
      <w:pPr>
        <w:bidi w:val="0"/>
        <w:rPr>
          <w:rFonts w:hint="default"/>
          <w:highlight w:val="none"/>
          <w:lang w:val="en-US" w:eastAsia="zh-CN"/>
        </w:rPr>
      </w:pPr>
      <w:r>
        <w:rPr>
          <w:rFonts w:hint="eastAsia"/>
          <w:highlight w:val="none"/>
          <w:lang w:val="en-US" w:eastAsia="zh-CN"/>
        </w:rPr>
        <w:t>（2）相容性分析</w:t>
      </w:r>
    </w:p>
    <w:p w14:paraId="7DBA351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四川省生态功能区划图》，冷龙沟流域所在区域属于川西高山高原亚热带-温带-寒温带生态区-大雪山-沙鲁里山云杉冷杉林-高山灌丛-高山草甸生态亚区。冷龙沟流域规划在保护目标与生态功能区要求是相协调的。上游未规划任何工程，下游布置了水资源协调、水土保持、防洪等内容为之资源保障提供支撑。规划与四川省生态功能区规划协调一致。</w:t>
      </w:r>
    </w:p>
    <w:p w14:paraId="1DB85BBA">
      <w:pPr>
        <w:pStyle w:val="4"/>
        <w:bidi w:val="0"/>
        <w:rPr>
          <w:rFonts w:hint="default"/>
          <w:highlight w:val="none"/>
          <w:lang w:val="en-US" w:eastAsia="zh-CN"/>
        </w:rPr>
      </w:pPr>
      <w:r>
        <w:rPr>
          <w:rFonts w:hint="default"/>
          <w:highlight w:val="none"/>
          <w:lang w:val="en-US" w:eastAsia="zh-CN"/>
        </w:rPr>
        <w:t>与相关规划的符合性</w:t>
      </w:r>
    </w:p>
    <w:p w14:paraId="72FAB777">
      <w:pPr>
        <w:pStyle w:val="5"/>
        <w:bidi w:val="0"/>
        <w:rPr>
          <w:rFonts w:hint="default"/>
          <w:highlight w:val="none"/>
          <w:lang w:val="en-US" w:eastAsia="zh-CN"/>
        </w:rPr>
      </w:pPr>
      <w:r>
        <w:rPr>
          <w:rFonts w:hint="default"/>
          <w:highlight w:val="none"/>
          <w:lang w:val="en-US" w:eastAsia="zh-CN"/>
        </w:rPr>
        <w:t>与《四川省“十四五”生态环境保护规划》的符合性</w:t>
      </w:r>
    </w:p>
    <w:p w14:paraId="61A38980">
      <w:pPr>
        <w:bidi w:val="0"/>
        <w:rPr>
          <w:rFonts w:hint="default"/>
          <w:highlight w:val="none"/>
          <w:lang w:val="en-US" w:eastAsia="zh-CN"/>
        </w:rPr>
      </w:pPr>
      <w:r>
        <w:rPr>
          <w:rFonts w:hint="eastAsia"/>
          <w:highlight w:val="none"/>
          <w:lang w:val="en-US" w:eastAsia="zh-CN"/>
        </w:rPr>
        <w:t>（1）相关内容</w:t>
      </w:r>
    </w:p>
    <w:p w14:paraId="086A3CC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四川省“十四五”生态环境保护规划》明确提出：“十四五”时期，绿色低碳生产生活方式基本形成，环境治理效果显著增强，大气、水和土壤环境质量持续好转，进一步筑牢长江黄河上游生态安全屏障，全国绿色发展示范区、高品质生活宜居地基本建成，美丽四川建设取得明显进展。到2025年，力争21个市（州）和183个县（市、区）空气质量全面达标，基本消除重污染天气，全省国控断面水质以Ⅱ类为主，长江黄河干流水质稳定达到Ⅱ类。生态系统服务功能持续增强。长江黄河上游生态安全屏障更加牢固，国家和省重点保护物种及四川特有物种得到有效保护，山水林田湖草沙冰一体的生态系统实现良性循环，生态系统质量和稳定性不断提升。</w:t>
      </w:r>
    </w:p>
    <w:p w14:paraId="051F8BB8">
      <w:pPr>
        <w:bidi w:val="0"/>
        <w:rPr>
          <w:rFonts w:hint="default"/>
          <w:highlight w:val="none"/>
          <w:lang w:val="en-US" w:eastAsia="zh-CN"/>
        </w:rPr>
      </w:pPr>
      <w:r>
        <w:rPr>
          <w:rFonts w:hint="eastAsia"/>
          <w:highlight w:val="none"/>
          <w:lang w:val="en-US" w:eastAsia="zh-CN"/>
        </w:rPr>
        <w:t>（2）符合性分析</w:t>
      </w:r>
    </w:p>
    <w:p w14:paraId="65961A1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综合规划通过水资源保护规划、水生态保护与修复规划和水土保持规划的实施，可有效促进水环境持续改善目标的实现，增强生态系统服务功能，通过规划建设灌溉配套体系的设置，将实现流域范围内山水林田湖草沙冰一体的生态系统良性循环，不断提升区域生态系统质量和稳定性。因此，冷龙沟综合规划符合《四川省“十四五”生态环境保护规划》的要求。</w:t>
      </w:r>
    </w:p>
    <w:p w14:paraId="41A3BCF0">
      <w:pPr>
        <w:pStyle w:val="5"/>
        <w:bidi w:val="0"/>
        <w:rPr>
          <w:rFonts w:hint="default"/>
          <w:highlight w:val="none"/>
          <w:lang w:val="en-US" w:eastAsia="zh-CN"/>
        </w:rPr>
      </w:pPr>
      <w:r>
        <w:rPr>
          <w:rFonts w:hint="default"/>
          <w:highlight w:val="none"/>
          <w:lang w:val="en-US" w:eastAsia="zh-CN"/>
        </w:rPr>
        <w:t>与《四川省“十四五”水安全保障规划》的符合性</w:t>
      </w:r>
    </w:p>
    <w:p w14:paraId="3C520EAF">
      <w:pPr>
        <w:bidi w:val="0"/>
        <w:rPr>
          <w:rFonts w:hint="default"/>
          <w:highlight w:val="none"/>
          <w:lang w:val="en-US" w:eastAsia="zh-CN"/>
        </w:rPr>
      </w:pPr>
      <w:r>
        <w:rPr>
          <w:rFonts w:hint="eastAsia"/>
          <w:highlight w:val="none"/>
          <w:lang w:val="en-US" w:eastAsia="zh-CN"/>
        </w:rPr>
        <w:t>（1）规划内容</w:t>
      </w:r>
    </w:p>
    <w:p w14:paraId="69111DF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《四川省“十四五”水安全保障规划》提出：到2025年，全省节水型生产和生活方式基本形成，全社会节水爱水意识明显增强。全省用水总量控制在330亿m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以内，万元国内生产总值用水量、万元工业增加值用水量较2020年下降幅度完成国家下达目标任务，灌溉水有效利用系数提高到0.51以上。建成一批生态水利工程，水网体系进一步完善，城乡供水一体化和乡村水务取得重要进展，城乡供水保障和抗旱应急能力明显增强，规模化供水覆盖程度明显提高，全省新增生活、生产、生态供水能力20亿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农村自来水普及率达到88%以上。重点城镇、重要河段基本达到国家规定的防洪排涝标准，全面消除现有病险水库安全隐患，对新出现的病险水库及时除险加固，5级及以上堤防达标率提高到80%，预报预警预演预案及调度管理体系不断完善，水旱灾害防御实现“更高标准、更严要求、更快反应、更好效果”。流域面积1000km²以上河流和常年水面面积1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以上湖泊岸线保护与利用规划全面完成，江河湖库水源涵养与保护能力明显提升。重点河湖生态流量保障目标满足程度达90%以上，水生态环境状况明显改善。人为水土流失得到基本控制，重点地区水土流失得到有效治理。水利信息化水平 显著提升，水利科技创新能力明显提高，水利标准体系不断完善，水利人才队伍结构明显优化，水利开放合作不断扩大。水利体制机制科学高效。</w:t>
      </w:r>
    </w:p>
    <w:p w14:paraId="62442436">
      <w:pPr>
        <w:bidi w:val="0"/>
        <w:rPr>
          <w:rFonts w:hint="default"/>
          <w:highlight w:val="none"/>
          <w:lang w:val="en-US" w:eastAsia="zh-CN"/>
        </w:rPr>
      </w:pPr>
      <w:r>
        <w:rPr>
          <w:rFonts w:hint="eastAsia"/>
          <w:highlight w:val="none"/>
          <w:lang w:val="en-US" w:eastAsia="zh-CN"/>
        </w:rPr>
        <w:t>（2）符合性分析</w:t>
      </w:r>
    </w:p>
    <w:p w14:paraId="35FD0D2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综合规划通过城乡供水规划、防洪规划、水资源保护规划、水生态保护与修复规划、综合管理规划等各项措施的落实，可完善流域城乡供水安全可靠，流域内重点防护区要达到国家规定的防洪标准，完成病险工程整治，做好山洪灾害预警工作；完成流域岸线利用规划，促进流域水生态保护与修复、水土流失控制。因此，冷龙沟流域综合规划符合《四川省“十四五”水安全保障规划》的要求。</w:t>
      </w:r>
    </w:p>
    <w:p w14:paraId="71216BE7">
      <w:pPr>
        <w:pStyle w:val="5"/>
        <w:bidi w:val="0"/>
        <w:rPr>
          <w:rFonts w:hint="default"/>
          <w:highlight w:val="none"/>
          <w:lang w:val="en-US" w:eastAsia="zh-CN"/>
        </w:rPr>
      </w:pPr>
      <w:r>
        <w:rPr>
          <w:rFonts w:hint="default"/>
          <w:highlight w:val="none"/>
          <w:lang w:val="en-US" w:eastAsia="zh-CN"/>
        </w:rPr>
        <w:t>与《四川省水资源综合规划》的符合性</w:t>
      </w:r>
    </w:p>
    <w:p w14:paraId="7CB37230">
      <w:pPr>
        <w:bidi w:val="0"/>
        <w:rPr>
          <w:rFonts w:hint="default"/>
          <w:highlight w:val="none"/>
          <w:lang w:val="en-US" w:eastAsia="zh-CN"/>
        </w:rPr>
      </w:pPr>
      <w:r>
        <w:rPr>
          <w:rFonts w:hint="eastAsia"/>
          <w:highlight w:val="none"/>
          <w:lang w:val="en-US" w:eastAsia="zh-CN"/>
        </w:rPr>
        <w:t>（1）规划内容</w:t>
      </w:r>
    </w:p>
    <w:p w14:paraId="3B9D91F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《四川省水资源综合规划》中我省分成都、川南、攀西、川东北、川西北生态5大经济区，其中冷龙沟流域涉及乡城县香巴拉镇，属川西北经济区。</w:t>
      </w:r>
    </w:p>
    <w:p w14:paraId="7AE021ED">
      <w:pPr>
        <w:bidi w:val="0"/>
        <w:rPr>
          <w:rFonts w:hint="default"/>
          <w:highlight w:val="none"/>
          <w:lang w:val="en-US" w:eastAsia="zh-CN"/>
        </w:rPr>
      </w:pPr>
      <w:r>
        <w:rPr>
          <w:rFonts w:hint="eastAsia"/>
          <w:highlight w:val="none"/>
          <w:lang w:val="en-US" w:eastAsia="zh-CN"/>
        </w:rPr>
        <w:t>（2）相容性分析</w:t>
      </w:r>
    </w:p>
    <w:p w14:paraId="590AB97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根据资源条件、地理区位和发展潜力，进行分区布局。分布布局为：上游主要为加强源头水源涵养采用多种措施保障河流生态需水，维系河流生态服务功能。下游以采用多种措施保障河流生态需水，开展水资源开发利用及水土保持综合治理为主。</w:t>
      </w:r>
    </w:p>
    <w:p w14:paraId="28B0B76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总体来看，冷龙沟流域综合规划中的分区布局方案符合《四川省水资源综合规划》的要求。</w:t>
      </w:r>
    </w:p>
    <w:p w14:paraId="19C4DB1A">
      <w:pPr>
        <w:pStyle w:val="5"/>
        <w:bidi w:val="0"/>
        <w:rPr>
          <w:rFonts w:hint="default"/>
          <w:highlight w:val="none"/>
          <w:lang w:val="en-US" w:eastAsia="zh-CN"/>
        </w:rPr>
      </w:pPr>
      <w:r>
        <w:rPr>
          <w:rFonts w:hint="default"/>
          <w:highlight w:val="none"/>
          <w:lang w:val="en-US" w:eastAsia="zh-CN"/>
        </w:rPr>
        <w:t>与《甘孜藏族自治州国土空间总体规划》（2021-2035年）</w:t>
      </w:r>
    </w:p>
    <w:p w14:paraId="42F5B743">
      <w:pPr>
        <w:bidi w:val="0"/>
        <w:rPr>
          <w:rFonts w:hint="default"/>
          <w:highlight w:val="none"/>
          <w:lang w:val="en-US" w:eastAsia="zh-CN"/>
        </w:rPr>
      </w:pPr>
      <w:r>
        <w:rPr>
          <w:rFonts w:hint="eastAsia"/>
          <w:highlight w:val="none"/>
          <w:lang w:val="en-US" w:eastAsia="zh-CN"/>
        </w:rPr>
        <w:t>（1）规划内容</w:t>
      </w:r>
    </w:p>
    <w:p w14:paraId="5B836FE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《甘孜藏族自治州国土空间总体规划》（2021-2035年）提出：优化国土空间开发保护格局。落实主体功能区战略，构建“两屏五区、六带四片”的国土空间开发保护总体格局。筑牢岷山</w:t>
      </w:r>
      <w:r>
        <w:rPr>
          <w:rFonts w:hint="eastAsia" w:cs="Times New Roman"/>
          <w:highlight w:val="none"/>
          <w:lang w:val="en-US" w:eastAsia="zh-CN"/>
        </w:rPr>
        <w:t>-</w:t>
      </w:r>
      <w:r>
        <w:rPr>
          <w:rFonts w:hint="default" w:ascii="Times New Roman" w:hAnsi="Times New Roman" w:cs="Times New Roman"/>
          <w:highlight w:val="none"/>
          <w:lang w:val="en-US" w:eastAsia="zh-CN"/>
        </w:rPr>
        <w:t>横断山脉和羌塘</w:t>
      </w:r>
      <w:r>
        <w:rPr>
          <w:rFonts w:hint="eastAsia" w:cs="Times New Roman"/>
          <w:highlight w:val="none"/>
          <w:lang w:val="en-US" w:eastAsia="zh-CN"/>
        </w:rPr>
        <w:t>-</w:t>
      </w:r>
      <w:r>
        <w:rPr>
          <w:rFonts w:hint="default" w:ascii="Times New Roman" w:hAnsi="Times New Roman" w:cs="Times New Roman"/>
          <w:highlight w:val="none"/>
          <w:lang w:val="en-US" w:eastAsia="zh-CN"/>
        </w:rPr>
        <w:t>三江源国家生态安全屏障，加强长沙贡玛、沙鲁里山、大雪山等重要生态安全空间保护。加强大渡河、金沙江、雅砻江流域集中连片耕地保护，推进生态农牧业复合发展。构建县城和小城镇联动发展的点状城镇空间格局。促进土地节约集约利用，加大城乡存量用地挖潜力度，全面提升国土空间开发保护利用水平。</w:t>
      </w:r>
    </w:p>
    <w:p w14:paraId="43DA2EE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提升国土空间品质。构建覆盖城乡、功能完善的公共服务资源配置体系，有效保障教育、医疗、文化、体育、养老等设施用地供给，加快社区生活圈建设。推进城市更新，持续改善城市人居环境，优化镇村布局，建设宜居宜业和美乡村，加快形成城乡融合发展新格局。</w:t>
      </w:r>
    </w:p>
    <w:p w14:paraId="0599FC57">
      <w:pPr>
        <w:bidi w:val="0"/>
        <w:rPr>
          <w:rFonts w:hint="default"/>
          <w:highlight w:val="none"/>
          <w:lang w:val="en-US" w:eastAsia="zh-CN"/>
        </w:rPr>
      </w:pPr>
      <w:r>
        <w:rPr>
          <w:rFonts w:hint="eastAsia"/>
          <w:highlight w:val="none"/>
          <w:lang w:val="en-US" w:eastAsia="zh-CN"/>
        </w:rPr>
        <w:t>（2）相容性分析</w:t>
      </w:r>
    </w:p>
    <w:p w14:paraId="7FBEEB6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本规划与优化国土空间品质，构建功能完善的公共服务资源配置体系以及筑牢国家生态安全屏障的保护目标是一致的。</w:t>
      </w:r>
    </w:p>
    <w:p w14:paraId="7E2ADB51">
      <w:pPr>
        <w:pStyle w:val="5"/>
        <w:bidi w:val="0"/>
        <w:rPr>
          <w:rFonts w:hint="default"/>
          <w:highlight w:val="none"/>
          <w:lang w:val="en-US" w:eastAsia="zh-CN"/>
        </w:rPr>
      </w:pPr>
      <w:r>
        <w:rPr>
          <w:rFonts w:hint="default"/>
          <w:highlight w:val="none"/>
          <w:lang w:val="en-US" w:eastAsia="zh-CN"/>
        </w:rPr>
        <w:t>与《甘孜藏族自治州“十四五”水安全保障规划（2021</w:t>
      </w:r>
      <w:r>
        <w:rPr>
          <w:rFonts w:hint="eastAsia"/>
          <w:highlight w:val="none"/>
          <w:lang w:val="en-US" w:eastAsia="zh-CN"/>
        </w:rPr>
        <w:t>-</w:t>
      </w:r>
      <w:r>
        <w:rPr>
          <w:rFonts w:hint="default"/>
          <w:highlight w:val="none"/>
          <w:lang w:val="en-US" w:eastAsia="zh-CN"/>
        </w:rPr>
        <w:t>2025）》的符合性</w:t>
      </w:r>
    </w:p>
    <w:p w14:paraId="007C1A13">
      <w:pPr>
        <w:bidi w:val="0"/>
        <w:rPr>
          <w:rFonts w:hint="default"/>
          <w:highlight w:val="none"/>
          <w:lang w:val="en-US" w:eastAsia="zh-CN"/>
        </w:rPr>
      </w:pPr>
      <w:r>
        <w:rPr>
          <w:rFonts w:hint="eastAsia"/>
          <w:highlight w:val="none"/>
          <w:lang w:val="en-US" w:eastAsia="zh-CN"/>
        </w:rPr>
        <w:t>（1）规划内容</w:t>
      </w:r>
    </w:p>
    <w:p w14:paraId="1DDF952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提出：到2025年，总体目标是全州水利实现大发展，水安全保障能力实现大突破，水旱灾害风险防控能力明显提升、防洪突出薄弱环节基本解决，水资源配置格局明显优化、水资源刚性约束制度更加完善、节水型生产生活方式基本建立，水生态得到有效保护，水环境得到有效改善，涉水事务监管效能明显增强，“智慧水利”平台构建初步完成。2035年，甘孜州将与全国全省同步基本实现新时代水利现代化的阶段目标。水资源节约集约利用达到全省平均水平，完备水网体系基本建成，现代水管理体系基本形成，水旱灾害防御能力大幅提高，水利体制机制模式更加完善，水生态水环境更加优美，水安全保障能力实现大跃升，长江、黄河上游生态安全屏障更加稳固，基本满足人民对防洪保安全、优质水资源、健康水生态、宜居水环境的美好生活需要，为基本实现美丽生态和谐社会主义现代化新甘孜建设目标打下坚实的基础。</w:t>
      </w:r>
    </w:p>
    <w:p w14:paraId="5D5B4AB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加快重点水源工程建设：“十四五”期间，加快建设白松水库工程，力争在2025年前建成受益。</w:t>
      </w:r>
      <w:r>
        <w:rPr>
          <w:rFonts w:hint="default" w:ascii="Times New Roman" w:hAnsi="Times New Roman" w:cs="Times New Roman"/>
          <w:b/>
          <w:bCs/>
          <w:highlight w:val="none"/>
          <w:lang w:val="en-US" w:eastAsia="zh-CN"/>
        </w:rPr>
        <w:t>积极推进乡城县尼色拥水库工程、</w:t>
      </w:r>
      <w:r>
        <w:rPr>
          <w:rFonts w:hint="default" w:ascii="Times New Roman" w:hAnsi="Times New Roman" w:cs="Times New Roman"/>
          <w:highlight w:val="none"/>
          <w:lang w:val="en-US" w:eastAsia="zh-CN"/>
        </w:rPr>
        <w:t>色达县色柯水库建设项目、理塘县卧龙溪水库等7座小型水库前期论证工作，具备条件的尽早开工，建成后新增供水人口6.5万人，改善灌溉面积5.78万亩。力争“十四五”末期建成（部分建成）受益。远景规划丹巴县跑马坪水库等9座小型水库工程。</w:t>
      </w:r>
    </w:p>
    <w:p w14:paraId="79A764D5">
      <w:pPr>
        <w:bidi w:val="0"/>
        <w:rPr>
          <w:rFonts w:hint="default"/>
          <w:highlight w:val="none"/>
          <w:lang w:val="en-US" w:eastAsia="zh-CN"/>
        </w:rPr>
      </w:pPr>
      <w:r>
        <w:rPr>
          <w:rFonts w:hint="eastAsia"/>
          <w:highlight w:val="none"/>
          <w:lang w:val="en-US" w:eastAsia="zh-CN"/>
        </w:rPr>
        <w:t>（2）相容性分析</w:t>
      </w:r>
    </w:p>
    <w:p w14:paraId="40CD33D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冷龙沟流域综合开发规划对于乡城县城镇水安全保障能力实现大突破，水旱灾害风险防控能力明显提升以及水资源配置格局优化具有重要意义。</w:t>
      </w:r>
    </w:p>
    <w:p w14:paraId="097A9C6C">
      <w:pPr>
        <w:pStyle w:val="5"/>
        <w:bidi w:val="0"/>
        <w:rPr>
          <w:rFonts w:hint="default"/>
          <w:highlight w:val="none"/>
          <w:lang w:val="en-US" w:eastAsia="zh-CN"/>
        </w:rPr>
      </w:pPr>
      <w:r>
        <w:rPr>
          <w:rFonts w:hint="default"/>
          <w:highlight w:val="none"/>
          <w:lang w:val="en-US" w:eastAsia="zh-CN"/>
        </w:rPr>
        <w:t>与《乡城县“十四五”水安全保障规划（2021年-2035年）》符合性分析</w:t>
      </w:r>
    </w:p>
    <w:p w14:paraId="23FC6E0E">
      <w:pPr>
        <w:bidi w:val="0"/>
        <w:rPr>
          <w:rFonts w:hint="default"/>
          <w:highlight w:val="none"/>
          <w:lang w:val="en-US" w:eastAsia="zh-CN"/>
        </w:rPr>
      </w:pPr>
      <w:r>
        <w:rPr>
          <w:rFonts w:hint="eastAsia"/>
          <w:highlight w:val="none"/>
          <w:lang w:val="en-US" w:eastAsia="zh-CN"/>
        </w:rPr>
        <w:t>（1）规划内容</w:t>
      </w:r>
    </w:p>
    <w:p w14:paraId="3F711C6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提出：“十四五”期间乡城县将加强水利基础设施建设。统筹生产生活生态用水，加快构建现代水利基础设施生态网络。建设许曲集中连片灌溉暨供水项目，推进农业高效节水灌溉工程、农田节水灌溉工程建设，加强干热河谷地区太阳能光伏及机电提灌站、蓄水池、引水管道建设。实施城乡集中供水工程和农村安全饮水巩固提升工程，建设尼色永水库，加强重点乡镇和重点村饮用水源地保护和水质监测，切实提高城乡供水保障能力。实施城乡防洪治理、内涝治理和小流域水土流失综合治理工程，推进城区、沿河乡镇防洪堤护岸和排涝沟槽建设，加强山洪灾害易发区防治。</w:t>
      </w:r>
    </w:p>
    <w:p w14:paraId="0EEA12DF">
      <w:pPr>
        <w:bidi w:val="0"/>
        <w:rPr>
          <w:rFonts w:hint="default"/>
          <w:highlight w:val="none"/>
          <w:lang w:val="en-US" w:eastAsia="zh-CN"/>
        </w:rPr>
      </w:pPr>
      <w:r>
        <w:rPr>
          <w:rFonts w:hint="eastAsia"/>
          <w:highlight w:val="none"/>
          <w:lang w:val="en-US" w:eastAsia="zh-CN"/>
        </w:rPr>
        <w:t>（2）相容性分析</w:t>
      </w:r>
    </w:p>
    <w:p w14:paraId="1FC2100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本规划是综合冷龙沟流域防洪、水资源配置、水土保持等的专项规划。本规划实施后，流域水资源将得到合理配置与利用，提升水土保持能力等目标实现具有协调一致性。</w:t>
      </w:r>
    </w:p>
    <w:p w14:paraId="4104FCFE">
      <w:pPr>
        <w:pStyle w:val="5"/>
        <w:bidi w:val="0"/>
        <w:rPr>
          <w:rFonts w:hint="default"/>
          <w:highlight w:val="none"/>
          <w:lang w:val="en-US" w:eastAsia="zh-CN"/>
        </w:rPr>
      </w:pPr>
      <w:r>
        <w:rPr>
          <w:rFonts w:hint="default"/>
          <w:highlight w:val="none"/>
          <w:lang w:val="en-US" w:eastAsia="zh-CN"/>
        </w:rPr>
        <w:t>与《乡城县水土保持“十四五”规划》的符合性</w:t>
      </w:r>
    </w:p>
    <w:p w14:paraId="17311ADE">
      <w:pPr>
        <w:bidi w:val="0"/>
        <w:rPr>
          <w:rFonts w:hint="default"/>
          <w:highlight w:val="none"/>
          <w:lang w:val="en-US" w:eastAsia="zh-CN"/>
        </w:rPr>
      </w:pPr>
      <w:r>
        <w:rPr>
          <w:rFonts w:hint="eastAsia"/>
          <w:highlight w:val="none"/>
          <w:lang w:val="en-US" w:eastAsia="zh-CN"/>
        </w:rPr>
        <w:t>（1）规划内容</w:t>
      </w:r>
    </w:p>
    <w:p w14:paraId="5C7E041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规划》，冷龙沟流域位于东南部高山深谷土壤保持综合治理区。该区地处硕曲河的中部，河网分布较密。区域地形以高山峡谷地貌为主。区内坡陡、分水岭明显，坡度大，林地面积较大。区域水土流失类型以水力侵蚀为主，水土流失总面积201.76km²，占全县水蚀总面积的49.67%，水土流失强度以轻度和中度为主。防治模式：重点采取封山育林、育草，减少林木采伐，预防保护、生态修复、水源涵养为主。加强对自然保护区的管理，保护现有植被和自然生态系统。加大封禁治理的力度，大力开展水土保持生态修复工程，维护生态环境相对脆弱的区域生态平衡。积极保护具有水源涵养功能的自然植被，加强对饮用水源、河流源头区的封育保护、水源涵养林建设和低效林改造，维护本区水源涵养功能。加强对牧草地的补种补植，鼠虫防治，促进生态修复。加强对香巴拉镇、青德镇局部水土流失严重区域进行小流域综合治理，护岸，结合小型水利水保措施，对水土流失区域进行治理，改良土壤，减少水土流失。</w:t>
      </w:r>
    </w:p>
    <w:p w14:paraId="4F7002B6">
      <w:pPr>
        <w:bidi w:val="0"/>
        <w:rPr>
          <w:rFonts w:hint="default"/>
          <w:highlight w:val="none"/>
          <w:lang w:val="en-US" w:eastAsia="zh-CN"/>
        </w:rPr>
      </w:pPr>
      <w:r>
        <w:rPr>
          <w:rFonts w:hint="eastAsia"/>
          <w:highlight w:val="none"/>
          <w:lang w:val="en-US" w:eastAsia="zh-CN"/>
        </w:rPr>
        <w:t>（2）符合性分析</w:t>
      </w:r>
    </w:p>
    <w:p w14:paraId="5DD0BEA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冷龙沟流域综合治理规划重点任务涵盖水土流失现状得到改善。总体上水土保持的实施将促进生态修复，减少水土流失，规划与乡城县水保规划在目标要求上协调一致。</w:t>
      </w:r>
    </w:p>
    <w:p w14:paraId="704A35C4">
      <w:pPr>
        <w:pStyle w:val="4"/>
        <w:bidi w:val="0"/>
        <w:rPr>
          <w:rFonts w:hint="default"/>
          <w:highlight w:val="none"/>
          <w:lang w:val="en-US" w:eastAsia="zh-CN"/>
        </w:rPr>
      </w:pPr>
      <w:r>
        <w:rPr>
          <w:rFonts w:hint="eastAsia"/>
          <w:highlight w:val="none"/>
          <w:lang w:val="en-US" w:eastAsia="zh-CN"/>
        </w:rPr>
        <w:t>规划不确定性分析</w:t>
      </w:r>
    </w:p>
    <w:p w14:paraId="7491A846">
      <w:pPr>
        <w:pStyle w:val="5"/>
        <w:bidi w:val="0"/>
        <w:rPr>
          <w:rFonts w:hint="default"/>
          <w:highlight w:val="none"/>
          <w:lang w:val="en-US" w:eastAsia="zh-CN"/>
        </w:rPr>
      </w:pPr>
      <w:r>
        <w:rPr>
          <w:rFonts w:hint="default"/>
          <w:highlight w:val="none"/>
          <w:lang w:val="en-US" w:eastAsia="zh-CN"/>
        </w:rPr>
        <w:t>规划基础条件的不确定性分析</w:t>
      </w:r>
    </w:p>
    <w:p w14:paraId="67677866">
      <w:pPr>
        <w:bidi w:val="0"/>
        <w:rPr>
          <w:rFonts w:hint="default"/>
          <w:highlight w:val="none"/>
          <w:lang w:val="en-US" w:eastAsia="zh-CN"/>
        </w:rPr>
      </w:pPr>
      <w:r>
        <w:rPr>
          <w:rFonts w:hint="default"/>
          <w:highlight w:val="none"/>
          <w:lang w:val="en-US" w:eastAsia="zh-CN"/>
        </w:rPr>
        <w:t>（1）数据收集的局限性</w:t>
      </w:r>
    </w:p>
    <w:p w14:paraId="56E7493F">
      <w:pPr>
        <w:rPr>
          <w:rFonts w:hint="default"/>
          <w:highlight w:val="none"/>
          <w:lang w:val="en-US" w:eastAsia="zh-CN"/>
        </w:rPr>
      </w:pPr>
      <w:r>
        <w:rPr>
          <w:rFonts w:hint="default"/>
          <w:highlight w:val="none"/>
          <w:lang w:val="en-US" w:eastAsia="zh-CN"/>
        </w:rPr>
        <w:t>由于流域规划涉及的地理范围较大，流域水质历史数据收集年限有限，很难将流域的环境现状、评价区域的环境特征、环境在地理空间上分布的差异介绍全面，仅能以点带面地分析主要的环境问题。由于受到资料的限制，加之采集数据信息也难免存在不确定性，对规划环境影响问题透彻分析带来一定的困难，造成评价分析结果的不确定性。</w:t>
      </w:r>
    </w:p>
    <w:p w14:paraId="01FCA651">
      <w:pPr>
        <w:bidi w:val="0"/>
        <w:rPr>
          <w:rFonts w:hint="default"/>
          <w:highlight w:val="none"/>
          <w:lang w:val="en-US" w:eastAsia="zh-CN"/>
        </w:rPr>
      </w:pPr>
      <w:r>
        <w:rPr>
          <w:rFonts w:hint="default"/>
          <w:highlight w:val="none"/>
          <w:lang w:val="en-US" w:eastAsia="zh-CN"/>
        </w:rPr>
        <w:t>（2）环境信息动态变化</w:t>
      </w:r>
    </w:p>
    <w:p w14:paraId="1EEB93CE">
      <w:pPr>
        <w:rPr>
          <w:rFonts w:hint="default"/>
          <w:highlight w:val="none"/>
          <w:lang w:val="en-US" w:eastAsia="zh-CN"/>
        </w:rPr>
      </w:pPr>
      <w:r>
        <w:rPr>
          <w:rFonts w:hint="default"/>
          <w:highlight w:val="none"/>
          <w:lang w:val="en-US" w:eastAsia="zh-CN"/>
        </w:rPr>
        <w:t>流域规划环境影响评价过程中收集到的环境背景资料，大多数都是对目前或过去环境状况的介绍和分析，环境影响评价一般也是以此为依据来进行预测、评价流域综合规划对环境产生影响的；但是作为预测依据的环境背景是随着时间的推移在不断的变化，势必会增加预测结果的不确定性。作为环境保护的重点目标也会随着时间的推移而在不断地变化，这些不确定性就要求将来具体建设项目必须按照届时的实际情况开展环境影响评价工作。</w:t>
      </w:r>
    </w:p>
    <w:p w14:paraId="29B19552">
      <w:pPr>
        <w:bidi w:val="0"/>
        <w:rPr>
          <w:rFonts w:hint="default"/>
          <w:highlight w:val="none"/>
          <w:lang w:val="en-US" w:eastAsia="zh-CN"/>
        </w:rPr>
      </w:pPr>
      <w:r>
        <w:rPr>
          <w:rFonts w:hint="default"/>
          <w:highlight w:val="none"/>
          <w:lang w:val="en-US" w:eastAsia="zh-CN"/>
        </w:rPr>
        <w:t>（3）潜在的环境敏感区的不确定性</w:t>
      </w:r>
    </w:p>
    <w:p w14:paraId="495101E1">
      <w:pPr>
        <w:rPr>
          <w:rFonts w:hint="default"/>
          <w:highlight w:val="none"/>
          <w:lang w:val="en-US" w:eastAsia="zh-CN"/>
        </w:rPr>
      </w:pPr>
      <w:r>
        <w:rPr>
          <w:rFonts w:hint="default"/>
          <w:highlight w:val="none"/>
          <w:lang w:val="en-US" w:eastAsia="zh-CN"/>
        </w:rPr>
        <w:t>潜在的环境敏感区是指在将来规划有可能被确定为自然保护区、风景名胜区、饮用水源地等环境敏感区的地方。按照可持续发展的观点，流域规划环境影响评价不仅要评价流域规划建设项目对现存环境敏感区的影响，同时也要考虑其对潜在环境敏感区的影响。潜在的环境敏感区的不确定性更大，不仅其确切位置、面积大小、功能分区情况尚不清楚，甚至于是否能够被确定为环境敏感区还有待商榷。</w:t>
      </w:r>
    </w:p>
    <w:p w14:paraId="4448A680">
      <w:pPr>
        <w:pStyle w:val="5"/>
        <w:bidi w:val="0"/>
        <w:rPr>
          <w:rFonts w:hint="default"/>
          <w:highlight w:val="none"/>
          <w:lang w:val="en-US" w:eastAsia="zh-CN"/>
        </w:rPr>
      </w:pPr>
      <w:r>
        <w:rPr>
          <w:rFonts w:hint="default"/>
          <w:highlight w:val="none"/>
          <w:lang w:val="en-US" w:eastAsia="zh-CN"/>
        </w:rPr>
        <w:t>规划具体方案的不确定性分析</w:t>
      </w:r>
    </w:p>
    <w:p w14:paraId="298882F7">
      <w:pPr>
        <w:rPr>
          <w:rFonts w:hint="default"/>
          <w:highlight w:val="none"/>
          <w:lang w:val="en-US" w:eastAsia="zh-CN"/>
        </w:rPr>
      </w:pPr>
      <w:r>
        <w:rPr>
          <w:rFonts w:hint="default"/>
          <w:highlight w:val="none"/>
          <w:lang w:val="en-US" w:eastAsia="zh-CN"/>
        </w:rPr>
        <w:t>首先，本次流域综合规划范围涉及面广，规划内容复杂多样，在规划审批过程中会不断出现内容修改的情况，规划最终确定方案跟评价的方案存在一定的差异。</w:t>
      </w:r>
    </w:p>
    <w:p w14:paraId="602160F6">
      <w:pPr>
        <w:rPr>
          <w:rFonts w:hint="default"/>
          <w:highlight w:val="none"/>
          <w:lang w:val="en-US" w:eastAsia="zh-CN"/>
        </w:rPr>
      </w:pPr>
      <w:r>
        <w:rPr>
          <w:rFonts w:hint="default"/>
          <w:highlight w:val="none"/>
          <w:lang w:val="en-US" w:eastAsia="zh-CN"/>
        </w:rPr>
        <w:t>其次，规划方案的不确定性还包括水利设施等级和标准的不确定。规划方案中的水库和防洪堤等是根据当前或近中期社会经济发展及区域需水量、水质要求等因素确定的。但是如果在规划期内，规划项目所在区域产业结构发生重大调整，或者国家政策发生变化，导致规划中确定的防洪堤等级过高或者过低或水电项目审批的条件发生变化等，这时就要根据实际情况调整水库、防洪堤的等级或者提高水电开发项目的准入条件，这些因素都会影响到规划项目的实施或调整。</w:t>
      </w:r>
    </w:p>
    <w:p w14:paraId="5E59A0E8">
      <w:pPr>
        <w:rPr>
          <w:rFonts w:hint="default"/>
          <w:highlight w:val="none"/>
          <w:lang w:val="en-US" w:eastAsia="zh-CN"/>
        </w:rPr>
      </w:pPr>
      <w:r>
        <w:rPr>
          <w:rFonts w:hint="default"/>
          <w:highlight w:val="none"/>
          <w:lang w:val="en-US" w:eastAsia="zh-CN"/>
        </w:rPr>
        <w:t>此外，流域规划方案的不确定还包括建设方案的不确定，主要体现在具体建设位置、规模、长度、范围、形式的差异，其对环境产生的影响也不尽相同。</w:t>
      </w:r>
    </w:p>
    <w:p w14:paraId="5E827FA1">
      <w:pPr>
        <w:pStyle w:val="5"/>
        <w:bidi w:val="0"/>
        <w:rPr>
          <w:rFonts w:hint="default"/>
          <w:highlight w:val="none"/>
          <w:lang w:val="en-US" w:eastAsia="zh-CN"/>
        </w:rPr>
      </w:pPr>
      <w:r>
        <w:rPr>
          <w:rFonts w:hint="default"/>
          <w:highlight w:val="none"/>
          <w:lang w:val="en-US" w:eastAsia="zh-CN"/>
        </w:rPr>
        <w:t>规划不确定性的应对分析</w:t>
      </w:r>
    </w:p>
    <w:p w14:paraId="5180665D">
      <w:pPr>
        <w:rPr>
          <w:rFonts w:hint="default"/>
          <w:highlight w:val="none"/>
          <w:lang w:val="en-US" w:eastAsia="zh-CN"/>
        </w:rPr>
      </w:pPr>
      <w:r>
        <w:rPr>
          <w:rFonts w:hint="default"/>
          <w:highlight w:val="none"/>
          <w:lang w:val="en-US" w:eastAsia="zh-CN"/>
        </w:rPr>
        <w:t>针对面临的上述困难和不确定性，项目课题组通过大量的现场调查弥补资料的不足，通过专家咨询和公众参与收集评价所需信息和资料。运用了当前比较通用的评价方法进行环境影响分析与评价。根据现有资料提出限制要求，在今后的跟踪评价工作中和建设项目的环境影响评价工作中，做相应的调整、预测、分析和评价。</w:t>
      </w:r>
    </w:p>
    <w:p w14:paraId="229EB6B0">
      <w:pPr>
        <w:pStyle w:val="5"/>
        <w:bidi w:val="0"/>
        <w:rPr>
          <w:rFonts w:hint="default"/>
          <w:highlight w:val="none"/>
          <w:lang w:val="en-US" w:eastAsia="zh-CN"/>
        </w:rPr>
      </w:pPr>
      <w:r>
        <w:rPr>
          <w:rFonts w:hint="default"/>
          <w:highlight w:val="none"/>
          <w:lang w:val="en-US" w:eastAsia="zh-CN"/>
        </w:rPr>
        <w:t>规划协调性分析小结</w:t>
      </w:r>
    </w:p>
    <w:p w14:paraId="3586E1CD">
      <w:pPr>
        <w:rPr>
          <w:rFonts w:hint="default"/>
          <w:highlight w:val="none"/>
          <w:lang w:val="en-US" w:eastAsia="zh-CN"/>
        </w:rPr>
      </w:pPr>
      <w:r>
        <w:rPr>
          <w:rFonts w:hint="default"/>
          <w:highlight w:val="none"/>
          <w:lang w:val="en-US" w:eastAsia="zh-CN"/>
        </w:rPr>
        <w:t>根据以上划分，本规划与相关法律法规、条例、政策、规划等的协调性分析总结如下表。</w:t>
      </w:r>
    </w:p>
    <w:p w14:paraId="4FA42A22">
      <w:pPr>
        <w:pStyle w:val="11"/>
        <w:ind w:left="0" w:leftChars="0" w:firstLine="0" w:firstLineChars="0"/>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10</w:t>
      </w:r>
      <w:r>
        <w:rPr>
          <w:highlight w:val="none"/>
        </w:rPr>
        <w:fldChar w:fldCharType="end"/>
      </w:r>
      <w:r>
        <w:rPr>
          <w:rFonts w:hint="eastAsia"/>
          <w:highlight w:val="none"/>
          <w:lang w:val="en-US" w:eastAsia="zh-CN"/>
        </w:rPr>
        <w:t xml:space="preserve"> 规划协调性分析小结一览表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3491"/>
        <w:gridCol w:w="982"/>
        <w:gridCol w:w="3161"/>
      </w:tblGrid>
      <w:tr w14:paraId="6880D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Align w:val="center"/>
          </w:tcPr>
          <w:p w14:paraId="4AAF7D20">
            <w:pPr>
              <w:pStyle w:val="25"/>
              <w:bidi w:val="0"/>
              <w:jc w:val="center"/>
              <w:rPr>
                <w:rFonts w:hint="default"/>
                <w:highlight w:val="none"/>
                <w:lang w:val="en-US" w:eastAsia="zh-CN"/>
              </w:rPr>
            </w:pPr>
            <w:r>
              <w:rPr>
                <w:rFonts w:hint="eastAsia"/>
                <w:highlight w:val="none"/>
                <w:lang w:val="en-US" w:eastAsia="zh-CN"/>
              </w:rPr>
              <w:t>分类</w:t>
            </w:r>
          </w:p>
        </w:tc>
        <w:tc>
          <w:tcPr>
            <w:tcW w:w="3491" w:type="dxa"/>
            <w:vAlign w:val="center"/>
          </w:tcPr>
          <w:p w14:paraId="58FC3B29">
            <w:pPr>
              <w:pStyle w:val="25"/>
              <w:bidi w:val="0"/>
              <w:jc w:val="center"/>
              <w:rPr>
                <w:rFonts w:hint="default"/>
                <w:highlight w:val="none"/>
                <w:lang w:val="en-US" w:eastAsia="zh-CN"/>
              </w:rPr>
            </w:pPr>
            <w:r>
              <w:rPr>
                <w:rFonts w:hint="eastAsia"/>
                <w:highlight w:val="none"/>
                <w:lang w:val="en-US" w:eastAsia="zh-CN"/>
              </w:rPr>
              <w:t>相关法律法规、政策和区划、规划</w:t>
            </w:r>
          </w:p>
        </w:tc>
        <w:tc>
          <w:tcPr>
            <w:tcW w:w="982" w:type="dxa"/>
            <w:vAlign w:val="center"/>
          </w:tcPr>
          <w:p w14:paraId="7FEA8B2B">
            <w:pPr>
              <w:pStyle w:val="25"/>
              <w:bidi w:val="0"/>
              <w:jc w:val="center"/>
              <w:rPr>
                <w:rFonts w:hint="default"/>
                <w:highlight w:val="none"/>
                <w:lang w:val="en-US" w:eastAsia="zh-CN"/>
              </w:rPr>
            </w:pPr>
            <w:r>
              <w:rPr>
                <w:rFonts w:hint="eastAsia"/>
                <w:highlight w:val="none"/>
                <w:lang w:val="en-US" w:eastAsia="zh-CN"/>
              </w:rPr>
              <w:t>协调性</w:t>
            </w:r>
          </w:p>
        </w:tc>
        <w:tc>
          <w:tcPr>
            <w:tcW w:w="3161" w:type="dxa"/>
            <w:vAlign w:val="center"/>
          </w:tcPr>
          <w:p w14:paraId="3D094083">
            <w:pPr>
              <w:pStyle w:val="25"/>
              <w:bidi w:val="0"/>
              <w:jc w:val="center"/>
              <w:rPr>
                <w:rFonts w:hint="eastAsia"/>
                <w:highlight w:val="none"/>
                <w:lang w:val="en-US" w:eastAsia="zh-CN"/>
              </w:rPr>
            </w:pPr>
            <w:r>
              <w:rPr>
                <w:rFonts w:hint="eastAsia"/>
                <w:highlight w:val="none"/>
                <w:lang w:val="en-US" w:eastAsia="zh-CN"/>
              </w:rPr>
              <w:t>建议对策</w:t>
            </w:r>
          </w:p>
        </w:tc>
      </w:tr>
      <w:tr w14:paraId="6FC7B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restart"/>
            <w:vAlign w:val="center"/>
          </w:tcPr>
          <w:p w14:paraId="6B8B13D7">
            <w:pPr>
              <w:pStyle w:val="25"/>
              <w:bidi w:val="0"/>
              <w:jc w:val="center"/>
              <w:rPr>
                <w:rFonts w:hint="eastAsia"/>
                <w:highlight w:val="none"/>
                <w:lang w:val="en-US" w:eastAsia="zh-CN"/>
              </w:rPr>
            </w:pPr>
            <w:r>
              <w:rPr>
                <w:rFonts w:hint="eastAsia"/>
                <w:highlight w:val="none"/>
                <w:lang w:val="en-US" w:eastAsia="zh-CN"/>
              </w:rPr>
              <w:t>相关法律、法规</w:t>
            </w:r>
          </w:p>
        </w:tc>
        <w:tc>
          <w:tcPr>
            <w:tcW w:w="3491" w:type="dxa"/>
            <w:vAlign w:val="center"/>
          </w:tcPr>
          <w:p w14:paraId="6EFB938E">
            <w:pPr>
              <w:pStyle w:val="25"/>
              <w:bidi w:val="0"/>
              <w:jc w:val="center"/>
              <w:rPr>
                <w:rFonts w:hint="eastAsia"/>
                <w:highlight w:val="none"/>
                <w:lang w:val="en-US" w:eastAsia="zh-CN"/>
              </w:rPr>
            </w:pPr>
            <w:r>
              <w:rPr>
                <w:rFonts w:hint="eastAsia"/>
                <w:highlight w:val="none"/>
                <w:lang w:val="en-US" w:eastAsia="zh-CN"/>
              </w:rPr>
              <w:t>《中华人民共和国水法》</w:t>
            </w:r>
          </w:p>
        </w:tc>
        <w:tc>
          <w:tcPr>
            <w:tcW w:w="982" w:type="dxa"/>
            <w:vAlign w:val="center"/>
          </w:tcPr>
          <w:p w14:paraId="6DF9A032">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4FA3F4A8">
            <w:pPr>
              <w:pStyle w:val="25"/>
              <w:bidi w:val="0"/>
              <w:jc w:val="center"/>
              <w:rPr>
                <w:rFonts w:hint="default"/>
                <w:highlight w:val="none"/>
                <w:lang w:val="en-US" w:eastAsia="zh-CN"/>
              </w:rPr>
            </w:pPr>
            <w:r>
              <w:rPr>
                <w:rFonts w:hint="eastAsia"/>
                <w:highlight w:val="none"/>
                <w:lang w:val="en-US" w:eastAsia="zh-CN"/>
              </w:rPr>
              <w:t>/</w:t>
            </w:r>
          </w:p>
        </w:tc>
      </w:tr>
      <w:tr w14:paraId="15447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17A2BFC1">
            <w:pPr>
              <w:pStyle w:val="25"/>
              <w:bidi w:val="0"/>
              <w:jc w:val="center"/>
              <w:rPr>
                <w:rFonts w:hint="eastAsia"/>
                <w:highlight w:val="none"/>
                <w:lang w:val="en-US" w:eastAsia="zh-CN"/>
              </w:rPr>
            </w:pPr>
          </w:p>
        </w:tc>
        <w:tc>
          <w:tcPr>
            <w:tcW w:w="3491" w:type="dxa"/>
            <w:vAlign w:val="center"/>
          </w:tcPr>
          <w:p w14:paraId="208BBB25">
            <w:pPr>
              <w:pStyle w:val="25"/>
              <w:bidi w:val="0"/>
              <w:jc w:val="center"/>
              <w:rPr>
                <w:rFonts w:hint="eastAsia"/>
                <w:highlight w:val="none"/>
                <w:lang w:val="en-US" w:eastAsia="zh-CN"/>
              </w:rPr>
            </w:pPr>
            <w:r>
              <w:rPr>
                <w:rFonts w:hint="eastAsia"/>
                <w:highlight w:val="none"/>
                <w:lang w:val="en-US" w:eastAsia="zh-CN"/>
              </w:rPr>
              <w:t>《中华人民共和国防洪法》</w:t>
            </w:r>
          </w:p>
        </w:tc>
        <w:tc>
          <w:tcPr>
            <w:tcW w:w="982" w:type="dxa"/>
            <w:vAlign w:val="center"/>
          </w:tcPr>
          <w:p w14:paraId="55D9023F">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643E4181">
            <w:pPr>
              <w:pStyle w:val="25"/>
              <w:bidi w:val="0"/>
              <w:jc w:val="center"/>
              <w:rPr>
                <w:rFonts w:hint="default"/>
                <w:highlight w:val="none"/>
                <w:lang w:val="en-US" w:eastAsia="zh-CN"/>
              </w:rPr>
            </w:pPr>
            <w:r>
              <w:rPr>
                <w:rFonts w:hint="eastAsia"/>
                <w:highlight w:val="none"/>
                <w:lang w:val="en-US" w:eastAsia="zh-CN"/>
              </w:rPr>
              <w:t>/</w:t>
            </w:r>
          </w:p>
        </w:tc>
      </w:tr>
      <w:tr w14:paraId="6CA3E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6456576F">
            <w:pPr>
              <w:pStyle w:val="25"/>
              <w:bidi w:val="0"/>
              <w:jc w:val="center"/>
              <w:rPr>
                <w:rFonts w:hint="eastAsia"/>
                <w:highlight w:val="none"/>
                <w:lang w:val="en-US" w:eastAsia="zh-CN"/>
              </w:rPr>
            </w:pPr>
          </w:p>
        </w:tc>
        <w:tc>
          <w:tcPr>
            <w:tcW w:w="3491" w:type="dxa"/>
            <w:vAlign w:val="center"/>
          </w:tcPr>
          <w:p w14:paraId="4C8D1FB7">
            <w:pPr>
              <w:pStyle w:val="25"/>
              <w:bidi w:val="0"/>
              <w:jc w:val="center"/>
              <w:rPr>
                <w:rFonts w:hint="eastAsia"/>
                <w:highlight w:val="none"/>
                <w:lang w:val="en-US" w:eastAsia="zh-CN"/>
              </w:rPr>
            </w:pPr>
            <w:r>
              <w:rPr>
                <w:rFonts w:hint="eastAsia"/>
                <w:highlight w:val="none"/>
                <w:lang w:val="en-US" w:eastAsia="zh-CN"/>
              </w:rPr>
              <w:t>《中华人民共和国水土保持法》</w:t>
            </w:r>
          </w:p>
        </w:tc>
        <w:tc>
          <w:tcPr>
            <w:tcW w:w="982" w:type="dxa"/>
            <w:vAlign w:val="center"/>
          </w:tcPr>
          <w:p w14:paraId="161F7FF1">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2EB1F543">
            <w:pPr>
              <w:pStyle w:val="25"/>
              <w:bidi w:val="0"/>
              <w:jc w:val="center"/>
              <w:rPr>
                <w:rFonts w:hint="default"/>
                <w:highlight w:val="none"/>
                <w:lang w:val="en-US" w:eastAsia="zh-CN"/>
              </w:rPr>
            </w:pPr>
            <w:r>
              <w:rPr>
                <w:rFonts w:hint="eastAsia"/>
                <w:highlight w:val="none"/>
                <w:lang w:val="en-US" w:eastAsia="zh-CN"/>
              </w:rPr>
              <w:t>/</w:t>
            </w:r>
          </w:p>
        </w:tc>
      </w:tr>
      <w:tr w14:paraId="62893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384F1A42">
            <w:pPr>
              <w:pStyle w:val="25"/>
              <w:bidi w:val="0"/>
              <w:jc w:val="center"/>
              <w:rPr>
                <w:rFonts w:hint="eastAsia"/>
                <w:highlight w:val="none"/>
                <w:lang w:val="en-US" w:eastAsia="zh-CN"/>
              </w:rPr>
            </w:pPr>
          </w:p>
        </w:tc>
        <w:tc>
          <w:tcPr>
            <w:tcW w:w="3491" w:type="dxa"/>
            <w:vAlign w:val="center"/>
          </w:tcPr>
          <w:p w14:paraId="696EB0CA">
            <w:pPr>
              <w:pStyle w:val="25"/>
              <w:bidi w:val="0"/>
              <w:jc w:val="center"/>
              <w:rPr>
                <w:rFonts w:hint="eastAsia"/>
                <w:highlight w:val="none"/>
                <w:lang w:val="en-US" w:eastAsia="zh-CN"/>
              </w:rPr>
            </w:pPr>
            <w:r>
              <w:rPr>
                <w:rFonts w:hint="eastAsia"/>
                <w:highlight w:val="none"/>
                <w:lang w:val="en-US" w:eastAsia="zh-CN"/>
              </w:rPr>
              <w:t>《中华人民共和国长江保护法》</w:t>
            </w:r>
          </w:p>
        </w:tc>
        <w:tc>
          <w:tcPr>
            <w:tcW w:w="982" w:type="dxa"/>
            <w:vAlign w:val="center"/>
          </w:tcPr>
          <w:p w14:paraId="4072E45B">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6420BBD3">
            <w:pPr>
              <w:pStyle w:val="25"/>
              <w:bidi w:val="0"/>
              <w:jc w:val="center"/>
              <w:rPr>
                <w:rFonts w:hint="default"/>
                <w:highlight w:val="none"/>
                <w:lang w:val="en-US" w:eastAsia="zh-CN"/>
              </w:rPr>
            </w:pPr>
            <w:r>
              <w:rPr>
                <w:rFonts w:hint="eastAsia"/>
                <w:highlight w:val="none"/>
                <w:lang w:val="en-US" w:eastAsia="zh-CN"/>
              </w:rPr>
              <w:t>/</w:t>
            </w:r>
          </w:p>
        </w:tc>
      </w:tr>
      <w:tr w14:paraId="2A113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004ED96E">
            <w:pPr>
              <w:pStyle w:val="25"/>
              <w:bidi w:val="0"/>
              <w:jc w:val="center"/>
              <w:rPr>
                <w:rFonts w:hint="eastAsia"/>
                <w:highlight w:val="none"/>
                <w:lang w:val="en-US" w:eastAsia="zh-CN"/>
              </w:rPr>
            </w:pPr>
          </w:p>
        </w:tc>
        <w:tc>
          <w:tcPr>
            <w:tcW w:w="3491" w:type="dxa"/>
            <w:vAlign w:val="center"/>
          </w:tcPr>
          <w:p w14:paraId="4FA152D0">
            <w:pPr>
              <w:pStyle w:val="25"/>
              <w:bidi w:val="0"/>
              <w:jc w:val="center"/>
              <w:rPr>
                <w:rFonts w:hint="eastAsia"/>
                <w:highlight w:val="none"/>
                <w:lang w:val="en-US" w:eastAsia="zh-CN"/>
              </w:rPr>
            </w:pPr>
            <w:r>
              <w:rPr>
                <w:rFonts w:hint="eastAsia"/>
                <w:highlight w:val="none"/>
                <w:lang w:val="en-US" w:eastAsia="zh-CN"/>
              </w:rPr>
              <w:t>《中华人民共和国环境保护法》</w:t>
            </w:r>
          </w:p>
        </w:tc>
        <w:tc>
          <w:tcPr>
            <w:tcW w:w="982" w:type="dxa"/>
            <w:vAlign w:val="center"/>
          </w:tcPr>
          <w:p w14:paraId="12499068">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31E13DD9">
            <w:pPr>
              <w:pStyle w:val="25"/>
              <w:bidi w:val="0"/>
              <w:jc w:val="center"/>
              <w:rPr>
                <w:rFonts w:hint="default"/>
                <w:highlight w:val="none"/>
                <w:lang w:val="en-US" w:eastAsia="zh-CN"/>
              </w:rPr>
            </w:pPr>
            <w:r>
              <w:rPr>
                <w:rFonts w:hint="eastAsia"/>
                <w:highlight w:val="none"/>
                <w:lang w:val="en-US" w:eastAsia="zh-CN"/>
              </w:rPr>
              <w:t>/</w:t>
            </w:r>
          </w:p>
        </w:tc>
      </w:tr>
      <w:tr w14:paraId="07A54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11E29FB9">
            <w:pPr>
              <w:pStyle w:val="25"/>
              <w:bidi w:val="0"/>
              <w:jc w:val="center"/>
              <w:rPr>
                <w:rFonts w:hint="eastAsia"/>
                <w:highlight w:val="none"/>
                <w:lang w:val="en-US" w:eastAsia="zh-CN"/>
              </w:rPr>
            </w:pPr>
          </w:p>
        </w:tc>
        <w:tc>
          <w:tcPr>
            <w:tcW w:w="3491" w:type="dxa"/>
            <w:vAlign w:val="center"/>
          </w:tcPr>
          <w:p w14:paraId="33CE4BFC">
            <w:pPr>
              <w:pStyle w:val="25"/>
              <w:bidi w:val="0"/>
              <w:jc w:val="center"/>
              <w:rPr>
                <w:rFonts w:hint="eastAsia"/>
                <w:highlight w:val="none"/>
                <w:lang w:val="en-US" w:eastAsia="zh-CN"/>
              </w:rPr>
            </w:pPr>
            <w:r>
              <w:rPr>
                <w:rFonts w:hint="eastAsia"/>
                <w:highlight w:val="none"/>
                <w:lang w:val="en-US" w:eastAsia="zh-CN"/>
              </w:rPr>
              <w:t>《中华人民共和国水污染防治法》</w:t>
            </w:r>
          </w:p>
        </w:tc>
        <w:tc>
          <w:tcPr>
            <w:tcW w:w="982" w:type="dxa"/>
            <w:vAlign w:val="center"/>
          </w:tcPr>
          <w:p w14:paraId="10962B8C">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3255F4A1">
            <w:pPr>
              <w:pStyle w:val="25"/>
              <w:bidi w:val="0"/>
              <w:jc w:val="center"/>
              <w:rPr>
                <w:rFonts w:hint="default"/>
                <w:highlight w:val="none"/>
                <w:lang w:val="en-US" w:eastAsia="zh-CN"/>
              </w:rPr>
            </w:pPr>
            <w:r>
              <w:rPr>
                <w:rFonts w:hint="eastAsia"/>
                <w:highlight w:val="none"/>
                <w:lang w:val="en-US" w:eastAsia="zh-CN"/>
              </w:rPr>
              <w:t>/</w:t>
            </w:r>
          </w:p>
        </w:tc>
      </w:tr>
      <w:tr w14:paraId="518AA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4F9B1FA7">
            <w:pPr>
              <w:pStyle w:val="25"/>
              <w:bidi w:val="0"/>
              <w:jc w:val="center"/>
              <w:rPr>
                <w:rFonts w:hint="eastAsia"/>
                <w:highlight w:val="none"/>
                <w:lang w:val="en-US" w:eastAsia="zh-CN"/>
              </w:rPr>
            </w:pPr>
          </w:p>
        </w:tc>
        <w:tc>
          <w:tcPr>
            <w:tcW w:w="3491" w:type="dxa"/>
            <w:vAlign w:val="center"/>
          </w:tcPr>
          <w:p w14:paraId="184AB590">
            <w:pPr>
              <w:pStyle w:val="25"/>
              <w:bidi w:val="0"/>
              <w:jc w:val="center"/>
              <w:rPr>
                <w:rFonts w:hint="eastAsia"/>
                <w:highlight w:val="none"/>
                <w:lang w:val="en-US" w:eastAsia="zh-CN"/>
              </w:rPr>
            </w:pPr>
            <w:r>
              <w:rPr>
                <w:rFonts w:hint="eastAsia"/>
                <w:highlight w:val="none"/>
                <w:lang w:val="en-US" w:eastAsia="zh-CN"/>
              </w:rPr>
              <w:t>《中华人民共和国自然保护区条例》</w:t>
            </w:r>
          </w:p>
        </w:tc>
        <w:tc>
          <w:tcPr>
            <w:tcW w:w="982" w:type="dxa"/>
            <w:vAlign w:val="center"/>
          </w:tcPr>
          <w:p w14:paraId="126B3844">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006D11BC">
            <w:pPr>
              <w:pStyle w:val="25"/>
              <w:bidi w:val="0"/>
              <w:jc w:val="center"/>
              <w:rPr>
                <w:rFonts w:hint="eastAsia"/>
                <w:highlight w:val="none"/>
                <w:lang w:val="en-US" w:eastAsia="zh-CN"/>
              </w:rPr>
            </w:pPr>
            <w:r>
              <w:rPr>
                <w:rFonts w:hint="eastAsia"/>
                <w:highlight w:val="none"/>
                <w:lang w:val="en-US" w:eastAsia="zh-CN"/>
              </w:rPr>
              <w:t>规划不涉及到自然保护区</w:t>
            </w:r>
          </w:p>
        </w:tc>
      </w:tr>
      <w:tr w14:paraId="26AA5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5A8C4EF5">
            <w:pPr>
              <w:pStyle w:val="25"/>
              <w:bidi w:val="0"/>
              <w:jc w:val="center"/>
              <w:rPr>
                <w:rFonts w:hint="eastAsia"/>
                <w:highlight w:val="none"/>
                <w:lang w:val="en-US" w:eastAsia="zh-CN"/>
              </w:rPr>
            </w:pPr>
          </w:p>
        </w:tc>
        <w:tc>
          <w:tcPr>
            <w:tcW w:w="3491" w:type="dxa"/>
            <w:vAlign w:val="center"/>
          </w:tcPr>
          <w:p w14:paraId="0DA00E74">
            <w:pPr>
              <w:pStyle w:val="25"/>
              <w:bidi w:val="0"/>
              <w:jc w:val="center"/>
              <w:rPr>
                <w:rFonts w:hint="eastAsia"/>
                <w:highlight w:val="none"/>
                <w:lang w:val="en-US" w:eastAsia="zh-CN"/>
              </w:rPr>
            </w:pPr>
            <w:r>
              <w:rPr>
                <w:rFonts w:hint="eastAsia"/>
                <w:highlight w:val="none"/>
                <w:lang w:val="en-US" w:eastAsia="zh-CN"/>
              </w:rPr>
              <w:t>《中华人民共和国环境影响评价法》</w:t>
            </w:r>
          </w:p>
        </w:tc>
        <w:tc>
          <w:tcPr>
            <w:tcW w:w="982" w:type="dxa"/>
            <w:vAlign w:val="center"/>
          </w:tcPr>
          <w:p w14:paraId="18A243F1">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08AE2C41">
            <w:pPr>
              <w:pStyle w:val="25"/>
              <w:bidi w:val="0"/>
              <w:jc w:val="center"/>
              <w:rPr>
                <w:rFonts w:hint="default"/>
                <w:highlight w:val="none"/>
                <w:lang w:val="en-US" w:eastAsia="zh-CN"/>
              </w:rPr>
            </w:pPr>
            <w:r>
              <w:rPr>
                <w:rFonts w:hint="eastAsia"/>
                <w:highlight w:val="none"/>
                <w:lang w:val="en-US" w:eastAsia="zh-CN"/>
              </w:rPr>
              <w:t>/</w:t>
            </w:r>
          </w:p>
        </w:tc>
      </w:tr>
      <w:tr w14:paraId="673F6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6BEBA565">
            <w:pPr>
              <w:pStyle w:val="25"/>
              <w:bidi w:val="0"/>
              <w:jc w:val="center"/>
              <w:rPr>
                <w:rFonts w:hint="eastAsia"/>
                <w:highlight w:val="none"/>
                <w:lang w:val="en-US" w:eastAsia="zh-CN"/>
              </w:rPr>
            </w:pPr>
          </w:p>
        </w:tc>
        <w:tc>
          <w:tcPr>
            <w:tcW w:w="3491" w:type="dxa"/>
            <w:vAlign w:val="center"/>
          </w:tcPr>
          <w:p w14:paraId="60EE15D2">
            <w:pPr>
              <w:pStyle w:val="25"/>
              <w:bidi w:val="0"/>
              <w:jc w:val="center"/>
              <w:rPr>
                <w:rFonts w:hint="default"/>
                <w:highlight w:val="none"/>
                <w:lang w:val="en-US" w:eastAsia="zh-CN"/>
              </w:rPr>
            </w:pPr>
            <w:r>
              <w:rPr>
                <w:rFonts w:hint="eastAsia"/>
                <w:highlight w:val="none"/>
                <w:lang w:val="en-US" w:eastAsia="zh-CN"/>
              </w:rPr>
              <w:t>《中华人民共和国河道管理条例》</w:t>
            </w:r>
          </w:p>
        </w:tc>
        <w:tc>
          <w:tcPr>
            <w:tcW w:w="982" w:type="dxa"/>
            <w:vAlign w:val="center"/>
          </w:tcPr>
          <w:p w14:paraId="6A35A66A">
            <w:pPr>
              <w:pStyle w:val="25"/>
              <w:bidi w:val="0"/>
              <w:jc w:val="center"/>
              <w:rPr>
                <w:rFonts w:hint="default"/>
                <w:highlight w:val="none"/>
                <w:lang w:val="en-US" w:eastAsia="zh-CN"/>
              </w:rPr>
            </w:pPr>
            <w:r>
              <w:rPr>
                <w:rFonts w:hint="eastAsia"/>
                <w:highlight w:val="none"/>
                <w:lang w:val="en-US" w:eastAsia="zh-CN"/>
              </w:rPr>
              <w:t>符合</w:t>
            </w:r>
          </w:p>
        </w:tc>
        <w:tc>
          <w:tcPr>
            <w:tcW w:w="3161" w:type="dxa"/>
            <w:vAlign w:val="center"/>
          </w:tcPr>
          <w:p w14:paraId="10B5953E">
            <w:pPr>
              <w:pStyle w:val="25"/>
              <w:bidi w:val="0"/>
              <w:jc w:val="center"/>
              <w:rPr>
                <w:rFonts w:hint="default"/>
                <w:highlight w:val="none"/>
                <w:lang w:val="en-US" w:eastAsia="zh-CN"/>
              </w:rPr>
            </w:pPr>
            <w:r>
              <w:rPr>
                <w:rFonts w:hint="eastAsia"/>
                <w:highlight w:val="none"/>
                <w:lang w:val="en-US" w:eastAsia="zh-CN"/>
              </w:rPr>
              <w:t>/</w:t>
            </w:r>
          </w:p>
        </w:tc>
      </w:tr>
      <w:tr w14:paraId="17B6E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restart"/>
            <w:vAlign w:val="center"/>
          </w:tcPr>
          <w:p w14:paraId="2D651D72">
            <w:pPr>
              <w:pStyle w:val="25"/>
              <w:bidi w:val="0"/>
              <w:jc w:val="center"/>
              <w:rPr>
                <w:rFonts w:hint="default"/>
                <w:highlight w:val="none"/>
                <w:lang w:val="en-US" w:eastAsia="zh-CN"/>
              </w:rPr>
            </w:pPr>
            <w:r>
              <w:rPr>
                <w:rFonts w:hint="eastAsia"/>
                <w:highlight w:val="none"/>
                <w:lang w:val="en-US" w:eastAsia="zh-CN"/>
              </w:rPr>
              <w:t>相关条例、办法、政策</w:t>
            </w:r>
          </w:p>
        </w:tc>
        <w:tc>
          <w:tcPr>
            <w:tcW w:w="3491" w:type="dxa"/>
            <w:vAlign w:val="center"/>
          </w:tcPr>
          <w:p w14:paraId="0C90011C">
            <w:pPr>
              <w:pStyle w:val="25"/>
              <w:bidi w:val="0"/>
              <w:jc w:val="center"/>
              <w:rPr>
                <w:rFonts w:hint="eastAsia"/>
                <w:highlight w:val="none"/>
                <w:lang w:val="en-US" w:eastAsia="zh-CN"/>
              </w:rPr>
            </w:pPr>
            <w:r>
              <w:rPr>
                <w:rFonts w:hint="eastAsia"/>
                <w:highlight w:val="none"/>
                <w:lang w:val="en-US" w:eastAsia="zh-CN"/>
              </w:rPr>
              <w:t>《中华人民共和国河道管理条例》</w:t>
            </w:r>
          </w:p>
        </w:tc>
        <w:tc>
          <w:tcPr>
            <w:tcW w:w="982" w:type="dxa"/>
            <w:shd w:val="clear" w:color="auto" w:fill="auto"/>
            <w:vAlign w:val="center"/>
          </w:tcPr>
          <w:p w14:paraId="58B731BB">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6DF071B4">
            <w:pPr>
              <w:pStyle w:val="25"/>
              <w:bidi w:val="0"/>
              <w:jc w:val="center"/>
              <w:rPr>
                <w:rFonts w:hint="default"/>
                <w:highlight w:val="none"/>
                <w:lang w:val="en-US" w:eastAsia="zh-CN"/>
              </w:rPr>
            </w:pPr>
            <w:r>
              <w:rPr>
                <w:rFonts w:hint="eastAsia"/>
                <w:highlight w:val="none"/>
                <w:lang w:val="en-US" w:eastAsia="zh-CN"/>
              </w:rPr>
              <w:t>/</w:t>
            </w:r>
          </w:p>
        </w:tc>
      </w:tr>
      <w:tr w14:paraId="0F30A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41958F2F">
            <w:pPr>
              <w:pStyle w:val="25"/>
              <w:bidi w:val="0"/>
              <w:jc w:val="center"/>
              <w:rPr>
                <w:rFonts w:hint="eastAsia"/>
                <w:highlight w:val="none"/>
                <w:lang w:val="en-US" w:eastAsia="zh-CN"/>
              </w:rPr>
            </w:pPr>
          </w:p>
        </w:tc>
        <w:tc>
          <w:tcPr>
            <w:tcW w:w="3491" w:type="dxa"/>
            <w:vAlign w:val="center"/>
          </w:tcPr>
          <w:p w14:paraId="3D1B41D7">
            <w:pPr>
              <w:pStyle w:val="25"/>
              <w:bidi w:val="0"/>
              <w:jc w:val="center"/>
              <w:rPr>
                <w:rFonts w:hint="eastAsia"/>
                <w:highlight w:val="none"/>
                <w:lang w:val="en-US" w:eastAsia="zh-CN"/>
              </w:rPr>
            </w:pPr>
            <w:r>
              <w:rPr>
                <w:rFonts w:hint="eastAsia"/>
                <w:highlight w:val="none"/>
                <w:lang w:val="en-US" w:eastAsia="zh-CN"/>
              </w:rPr>
              <w:t>《中华人民共和国自然保护区条例》</w:t>
            </w:r>
          </w:p>
        </w:tc>
        <w:tc>
          <w:tcPr>
            <w:tcW w:w="982" w:type="dxa"/>
            <w:shd w:val="clear" w:color="auto" w:fill="auto"/>
            <w:vAlign w:val="center"/>
          </w:tcPr>
          <w:p w14:paraId="335F8FD9">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61DDF0AC">
            <w:pPr>
              <w:pStyle w:val="25"/>
              <w:bidi w:val="0"/>
              <w:jc w:val="center"/>
              <w:rPr>
                <w:rFonts w:hint="default"/>
                <w:highlight w:val="none"/>
                <w:lang w:val="en-US" w:eastAsia="zh-CN"/>
              </w:rPr>
            </w:pPr>
            <w:r>
              <w:rPr>
                <w:rFonts w:hint="eastAsia"/>
                <w:highlight w:val="none"/>
                <w:lang w:val="en-US" w:eastAsia="zh-CN"/>
              </w:rPr>
              <w:t>/</w:t>
            </w:r>
          </w:p>
        </w:tc>
      </w:tr>
      <w:tr w14:paraId="1EA8E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30110AA4">
            <w:pPr>
              <w:pStyle w:val="25"/>
              <w:bidi w:val="0"/>
              <w:jc w:val="center"/>
              <w:rPr>
                <w:rFonts w:hint="eastAsia"/>
                <w:highlight w:val="none"/>
                <w:lang w:val="en-US" w:eastAsia="zh-CN"/>
              </w:rPr>
            </w:pPr>
          </w:p>
        </w:tc>
        <w:tc>
          <w:tcPr>
            <w:tcW w:w="3491" w:type="dxa"/>
            <w:vAlign w:val="center"/>
          </w:tcPr>
          <w:p w14:paraId="702522FA">
            <w:pPr>
              <w:pStyle w:val="25"/>
              <w:bidi w:val="0"/>
              <w:jc w:val="center"/>
              <w:rPr>
                <w:rFonts w:hint="eastAsia"/>
                <w:highlight w:val="none"/>
                <w:lang w:val="en-US" w:eastAsia="zh-CN"/>
              </w:rPr>
            </w:pPr>
            <w:r>
              <w:rPr>
                <w:rFonts w:hint="eastAsia"/>
                <w:highlight w:val="none"/>
                <w:lang w:val="en-US" w:eastAsia="zh-CN"/>
              </w:rPr>
              <w:t>《基本农田保护条例》</w:t>
            </w:r>
          </w:p>
        </w:tc>
        <w:tc>
          <w:tcPr>
            <w:tcW w:w="982" w:type="dxa"/>
            <w:shd w:val="clear" w:color="auto" w:fill="auto"/>
            <w:vAlign w:val="center"/>
          </w:tcPr>
          <w:p w14:paraId="2E4017AB">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2719A665">
            <w:pPr>
              <w:pStyle w:val="25"/>
              <w:bidi w:val="0"/>
              <w:jc w:val="center"/>
              <w:rPr>
                <w:rFonts w:hint="eastAsia"/>
                <w:highlight w:val="none"/>
                <w:lang w:val="en-US" w:eastAsia="zh-CN"/>
              </w:rPr>
            </w:pPr>
            <w:r>
              <w:rPr>
                <w:rFonts w:hint="eastAsia"/>
                <w:highlight w:val="none"/>
                <w:lang w:val="en-US" w:eastAsia="zh-CN"/>
              </w:rPr>
              <w:t>规划工程以防洪堤防工程、河道清淤工程、灌区工程为主，规划的工程在具体设计时应考虑优化选址选线方案，尽量不占或少占永久基本农田；确实无法避让的，参照《自然资源部 农业农村部关于加强和改进永久基本农田保护工作的通知》（自然资规〔2019〕1号），按照“数量不减、质量不降、布局稳定”的要求及时补充、开垦数量和质量相当的基本农田</w:t>
            </w:r>
          </w:p>
        </w:tc>
      </w:tr>
      <w:tr w14:paraId="5E353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5C9C7852">
            <w:pPr>
              <w:pStyle w:val="25"/>
              <w:bidi w:val="0"/>
              <w:jc w:val="center"/>
              <w:rPr>
                <w:rFonts w:hint="eastAsia"/>
                <w:highlight w:val="none"/>
                <w:lang w:val="en-US" w:eastAsia="zh-CN"/>
              </w:rPr>
            </w:pPr>
          </w:p>
        </w:tc>
        <w:tc>
          <w:tcPr>
            <w:tcW w:w="3491" w:type="dxa"/>
            <w:vAlign w:val="center"/>
          </w:tcPr>
          <w:p w14:paraId="34A80548">
            <w:pPr>
              <w:pStyle w:val="25"/>
              <w:bidi w:val="0"/>
              <w:jc w:val="center"/>
              <w:rPr>
                <w:rFonts w:hint="eastAsia"/>
                <w:highlight w:val="none"/>
                <w:lang w:val="en-US" w:eastAsia="zh-CN"/>
              </w:rPr>
            </w:pPr>
            <w:r>
              <w:rPr>
                <w:rFonts w:hint="eastAsia"/>
                <w:highlight w:val="none"/>
                <w:lang w:val="en-US" w:eastAsia="zh-CN"/>
              </w:rPr>
              <w:t>《四川省水资源条例》</w:t>
            </w:r>
          </w:p>
        </w:tc>
        <w:tc>
          <w:tcPr>
            <w:tcW w:w="982" w:type="dxa"/>
            <w:shd w:val="clear" w:color="auto" w:fill="auto"/>
            <w:vAlign w:val="center"/>
          </w:tcPr>
          <w:p w14:paraId="320323F4">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3D002EC9">
            <w:pPr>
              <w:pStyle w:val="25"/>
              <w:bidi w:val="0"/>
              <w:jc w:val="center"/>
              <w:rPr>
                <w:rFonts w:hint="default"/>
                <w:highlight w:val="none"/>
                <w:lang w:val="en-US" w:eastAsia="zh-CN"/>
              </w:rPr>
            </w:pPr>
            <w:r>
              <w:rPr>
                <w:rFonts w:hint="eastAsia"/>
                <w:highlight w:val="none"/>
                <w:lang w:val="en-US" w:eastAsia="zh-CN"/>
              </w:rPr>
              <w:t>/</w:t>
            </w:r>
          </w:p>
        </w:tc>
      </w:tr>
      <w:tr w14:paraId="5973E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297B2BAE">
            <w:pPr>
              <w:pStyle w:val="25"/>
              <w:bidi w:val="0"/>
              <w:jc w:val="center"/>
              <w:rPr>
                <w:rFonts w:hint="eastAsia"/>
                <w:highlight w:val="none"/>
                <w:lang w:val="en-US" w:eastAsia="zh-CN"/>
              </w:rPr>
            </w:pPr>
          </w:p>
        </w:tc>
        <w:tc>
          <w:tcPr>
            <w:tcW w:w="3491" w:type="dxa"/>
            <w:vAlign w:val="center"/>
          </w:tcPr>
          <w:p w14:paraId="4423CDF8">
            <w:pPr>
              <w:pStyle w:val="25"/>
              <w:bidi w:val="0"/>
              <w:jc w:val="center"/>
              <w:rPr>
                <w:rFonts w:hint="default"/>
                <w:highlight w:val="none"/>
                <w:lang w:val="en-US" w:eastAsia="zh-CN"/>
              </w:rPr>
            </w:pPr>
            <w:r>
              <w:rPr>
                <w:rFonts w:hint="eastAsia"/>
                <w:highlight w:val="none"/>
                <w:lang w:val="en-US" w:eastAsia="zh-CN"/>
              </w:rPr>
              <w:t>《产业结构调整指导目录（2024年）》</w:t>
            </w:r>
          </w:p>
        </w:tc>
        <w:tc>
          <w:tcPr>
            <w:tcW w:w="982" w:type="dxa"/>
            <w:shd w:val="clear" w:color="auto" w:fill="auto"/>
            <w:vAlign w:val="center"/>
          </w:tcPr>
          <w:p w14:paraId="51CC218C">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7CB35AA0">
            <w:pPr>
              <w:pStyle w:val="25"/>
              <w:bidi w:val="0"/>
              <w:jc w:val="center"/>
              <w:rPr>
                <w:rFonts w:hint="default"/>
                <w:highlight w:val="none"/>
                <w:lang w:val="en-US" w:eastAsia="zh-CN"/>
              </w:rPr>
            </w:pPr>
            <w:r>
              <w:rPr>
                <w:rFonts w:hint="eastAsia"/>
                <w:highlight w:val="none"/>
                <w:lang w:val="en-US" w:eastAsia="zh-CN"/>
              </w:rPr>
              <w:t>/</w:t>
            </w:r>
          </w:p>
        </w:tc>
      </w:tr>
      <w:tr w14:paraId="5DE6F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restart"/>
            <w:vAlign w:val="center"/>
          </w:tcPr>
          <w:p w14:paraId="2E29C719">
            <w:pPr>
              <w:pStyle w:val="25"/>
              <w:bidi w:val="0"/>
              <w:jc w:val="center"/>
              <w:rPr>
                <w:rFonts w:hint="default"/>
                <w:highlight w:val="none"/>
                <w:lang w:val="en-US" w:eastAsia="zh-CN"/>
              </w:rPr>
            </w:pPr>
            <w:r>
              <w:rPr>
                <w:rFonts w:hint="eastAsia"/>
                <w:highlight w:val="none"/>
                <w:lang w:val="en-US" w:eastAsia="zh-CN"/>
              </w:rPr>
              <w:t>相关区划</w:t>
            </w:r>
          </w:p>
        </w:tc>
        <w:tc>
          <w:tcPr>
            <w:tcW w:w="3491" w:type="dxa"/>
            <w:vAlign w:val="center"/>
          </w:tcPr>
          <w:p w14:paraId="4DAFC99D">
            <w:pPr>
              <w:pStyle w:val="25"/>
              <w:bidi w:val="0"/>
              <w:jc w:val="center"/>
              <w:rPr>
                <w:rFonts w:hint="default"/>
                <w:highlight w:val="none"/>
                <w:lang w:val="en-US" w:eastAsia="zh-CN"/>
              </w:rPr>
            </w:pPr>
            <w:r>
              <w:rPr>
                <w:rFonts w:hint="eastAsia"/>
                <w:highlight w:val="none"/>
                <w:lang w:val="en-US" w:eastAsia="zh-CN"/>
              </w:rPr>
              <w:t>《全国主体功能区划》</w:t>
            </w:r>
          </w:p>
        </w:tc>
        <w:tc>
          <w:tcPr>
            <w:tcW w:w="982" w:type="dxa"/>
            <w:shd w:val="clear" w:color="auto" w:fill="auto"/>
            <w:vAlign w:val="center"/>
          </w:tcPr>
          <w:p w14:paraId="3AA93A57">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4CAA2DE9">
            <w:pPr>
              <w:pStyle w:val="25"/>
              <w:bidi w:val="0"/>
              <w:jc w:val="center"/>
              <w:rPr>
                <w:rFonts w:hint="default"/>
                <w:highlight w:val="none"/>
                <w:lang w:val="en-US" w:eastAsia="zh-CN"/>
              </w:rPr>
            </w:pPr>
            <w:r>
              <w:rPr>
                <w:rFonts w:hint="eastAsia"/>
                <w:highlight w:val="none"/>
                <w:lang w:val="en-US" w:eastAsia="zh-CN"/>
              </w:rPr>
              <w:t>/</w:t>
            </w:r>
          </w:p>
        </w:tc>
      </w:tr>
      <w:tr w14:paraId="4998B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14731D7F">
            <w:pPr>
              <w:pStyle w:val="25"/>
              <w:bidi w:val="0"/>
              <w:jc w:val="center"/>
              <w:rPr>
                <w:rFonts w:hint="eastAsia"/>
                <w:highlight w:val="none"/>
                <w:lang w:val="en-US" w:eastAsia="zh-CN"/>
              </w:rPr>
            </w:pPr>
          </w:p>
        </w:tc>
        <w:tc>
          <w:tcPr>
            <w:tcW w:w="3491" w:type="dxa"/>
            <w:vAlign w:val="center"/>
          </w:tcPr>
          <w:p w14:paraId="625EEFD0">
            <w:pPr>
              <w:pStyle w:val="25"/>
              <w:bidi w:val="0"/>
              <w:jc w:val="center"/>
              <w:rPr>
                <w:rFonts w:hint="default"/>
                <w:highlight w:val="none"/>
                <w:lang w:val="en-US" w:eastAsia="zh-CN"/>
              </w:rPr>
            </w:pPr>
            <w:r>
              <w:rPr>
                <w:rFonts w:hint="eastAsia"/>
                <w:highlight w:val="none"/>
                <w:lang w:val="en-US" w:eastAsia="zh-CN"/>
              </w:rPr>
              <w:t>《全国生态功能区划》</w:t>
            </w:r>
          </w:p>
        </w:tc>
        <w:tc>
          <w:tcPr>
            <w:tcW w:w="982" w:type="dxa"/>
            <w:shd w:val="clear" w:color="auto" w:fill="auto"/>
            <w:vAlign w:val="center"/>
          </w:tcPr>
          <w:p w14:paraId="1EB3C117">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388AD6D1">
            <w:pPr>
              <w:pStyle w:val="25"/>
              <w:bidi w:val="0"/>
              <w:jc w:val="center"/>
              <w:rPr>
                <w:rFonts w:hint="default"/>
                <w:highlight w:val="none"/>
                <w:lang w:val="en-US" w:eastAsia="zh-CN"/>
              </w:rPr>
            </w:pPr>
            <w:r>
              <w:rPr>
                <w:rFonts w:hint="eastAsia"/>
                <w:highlight w:val="none"/>
                <w:lang w:val="en-US" w:eastAsia="zh-CN"/>
              </w:rPr>
              <w:t>/</w:t>
            </w:r>
          </w:p>
        </w:tc>
      </w:tr>
      <w:tr w14:paraId="66C95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6CC6A206">
            <w:pPr>
              <w:pStyle w:val="25"/>
              <w:bidi w:val="0"/>
              <w:jc w:val="center"/>
              <w:rPr>
                <w:rFonts w:hint="eastAsia"/>
                <w:highlight w:val="none"/>
                <w:lang w:val="en-US" w:eastAsia="zh-CN"/>
              </w:rPr>
            </w:pPr>
          </w:p>
        </w:tc>
        <w:tc>
          <w:tcPr>
            <w:tcW w:w="3491" w:type="dxa"/>
            <w:vAlign w:val="center"/>
          </w:tcPr>
          <w:p w14:paraId="07ED7936">
            <w:pPr>
              <w:pStyle w:val="25"/>
              <w:bidi w:val="0"/>
              <w:jc w:val="center"/>
              <w:rPr>
                <w:rFonts w:hint="eastAsia"/>
                <w:highlight w:val="none"/>
                <w:lang w:val="en-US" w:eastAsia="zh-CN"/>
              </w:rPr>
            </w:pPr>
            <w:r>
              <w:rPr>
                <w:rFonts w:hint="eastAsia"/>
                <w:highlight w:val="none"/>
                <w:lang w:val="en-US" w:eastAsia="zh-CN"/>
              </w:rPr>
              <w:t>《四川省主体功能区规划》</w:t>
            </w:r>
          </w:p>
        </w:tc>
        <w:tc>
          <w:tcPr>
            <w:tcW w:w="982" w:type="dxa"/>
            <w:shd w:val="clear" w:color="auto" w:fill="auto"/>
            <w:vAlign w:val="center"/>
          </w:tcPr>
          <w:p w14:paraId="6EF66E20">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62EAE9B9">
            <w:pPr>
              <w:pStyle w:val="25"/>
              <w:bidi w:val="0"/>
              <w:jc w:val="center"/>
              <w:rPr>
                <w:rFonts w:hint="default"/>
                <w:highlight w:val="none"/>
                <w:lang w:val="en-US" w:eastAsia="zh-CN"/>
              </w:rPr>
            </w:pPr>
            <w:r>
              <w:rPr>
                <w:rFonts w:hint="eastAsia"/>
                <w:highlight w:val="none"/>
                <w:lang w:val="en-US" w:eastAsia="zh-CN"/>
              </w:rPr>
              <w:t>/</w:t>
            </w:r>
          </w:p>
        </w:tc>
      </w:tr>
      <w:tr w14:paraId="53B94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545AC1D8">
            <w:pPr>
              <w:pStyle w:val="25"/>
              <w:bidi w:val="0"/>
              <w:jc w:val="center"/>
              <w:rPr>
                <w:rFonts w:hint="eastAsia"/>
                <w:highlight w:val="none"/>
                <w:lang w:val="en-US" w:eastAsia="zh-CN"/>
              </w:rPr>
            </w:pPr>
          </w:p>
        </w:tc>
        <w:tc>
          <w:tcPr>
            <w:tcW w:w="3491" w:type="dxa"/>
            <w:vAlign w:val="center"/>
          </w:tcPr>
          <w:p w14:paraId="7819151F">
            <w:pPr>
              <w:pStyle w:val="25"/>
              <w:bidi w:val="0"/>
              <w:jc w:val="center"/>
              <w:rPr>
                <w:rFonts w:hint="eastAsia"/>
                <w:highlight w:val="none"/>
                <w:lang w:val="en-US" w:eastAsia="zh-CN"/>
              </w:rPr>
            </w:pPr>
            <w:r>
              <w:rPr>
                <w:rFonts w:hint="eastAsia"/>
                <w:highlight w:val="none"/>
                <w:lang w:val="en-US" w:eastAsia="zh-CN"/>
              </w:rPr>
              <w:t>《四川省主体功能区规划》</w:t>
            </w:r>
          </w:p>
        </w:tc>
        <w:tc>
          <w:tcPr>
            <w:tcW w:w="982" w:type="dxa"/>
            <w:shd w:val="clear" w:color="auto" w:fill="auto"/>
            <w:vAlign w:val="center"/>
          </w:tcPr>
          <w:p w14:paraId="28340E91">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21FF8163">
            <w:pPr>
              <w:pStyle w:val="25"/>
              <w:bidi w:val="0"/>
              <w:jc w:val="center"/>
              <w:rPr>
                <w:rFonts w:hint="default"/>
                <w:highlight w:val="none"/>
                <w:lang w:val="en-US" w:eastAsia="zh-CN"/>
              </w:rPr>
            </w:pPr>
            <w:r>
              <w:rPr>
                <w:rFonts w:hint="eastAsia"/>
                <w:highlight w:val="none"/>
                <w:lang w:val="en-US" w:eastAsia="zh-CN"/>
              </w:rPr>
              <w:t>/</w:t>
            </w:r>
          </w:p>
        </w:tc>
      </w:tr>
      <w:tr w14:paraId="71412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6EF4B42F">
            <w:pPr>
              <w:pStyle w:val="25"/>
              <w:bidi w:val="0"/>
              <w:jc w:val="center"/>
              <w:rPr>
                <w:rFonts w:hint="eastAsia"/>
                <w:highlight w:val="none"/>
                <w:lang w:val="en-US" w:eastAsia="zh-CN"/>
              </w:rPr>
            </w:pPr>
          </w:p>
        </w:tc>
        <w:tc>
          <w:tcPr>
            <w:tcW w:w="3491" w:type="dxa"/>
            <w:vAlign w:val="center"/>
          </w:tcPr>
          <w:p w14:paraId="5E90CDC1">
            <w:pPr>
              <w:pStyle w:val="25"/>
              <w:bidi w:val="0"/>
              <w:jc w:val="center"/>
              <w:rPr>
                <w:rFonts w:hint="eastAsia"/>
                <w:highlight w:val="none"/>
                <w:lang w:val="en-US" w:eastAsia="zh-CN"/>
              </w:rPr>
            </w:pPr>
            <w:r>
              <w:rPr>
                <w:rFonts w:hint="eastAsia"/>
                <w:highlight w:val="none"/>
                <w:lang w:val="en-US" w:eastAsia="zh-CN"/>
              </w:rPr>
              <w:t>《四川省“十四五”生态环境保护规划》</w:t>
            </w:r>
          </w:p>
        </w:tc>
        <w:tc>
          <w:tcPr>
            <w:tcW w:w="982" w:type="dxa"/>
            <w:shd w:val="clear" w:color="auto" w:fill="auto"/>
            <w:vAlign w:val="center"/>
          </w:tcPr>
          <w:p w14:paraId="354BE9AC">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218B761F">
            <w:pPr>
              <w:pStyle w:val="25"/>
              <w:bidi w:val="0"/>
              <w:jc w:val="center"/>
              <w:rPr>
                <w:rFonts w:hint="default"/>
                <w:highlight w:val="none"/>
                <w:lang w:val="en-US" w:eastAsia="zh-CN"/>
              </w:rPr>
            </w:pPr>
            <w:r>
              <w:rPr>
                <w:rFonts w:hint="eastAsia"/>
                <w:highlight w:val="none"/>
                <w:lang w:val="en-US" w:eastAsia="zh-CN"/>
              </w:rPr>
              <w:t>/</w:t>
            </w:r>
          </w:p>
        </w:tc>
      </w:tr>
      <w:tr w14:paraId="47C64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1B2CE5A9">
            <w:pPr>
              <w:pStyle w:val="25"/>
              <w:bidi w:val="0"/>
              <w:jc w:val="center"/>
              <w:rPr>
                <w:rFonts w:hint="eastAsia"/>
                <w:highlight w:val="none"/>
                <w:lang w:val="en-US" w:eastAsia="zh-CN"/>
              </w:rPr>
            </w:pPr>
          </w:p>
        </w:tc>
        <w:tc>
          <w:tcPr>
            <w:tcW w:w="3491" w:type="dxa"/>
            <w:vAlign w:val="center"/>
          </w:tcPr>
          <w:p w14:paraId="56D12418">
            <w:pPr>
              <w:pStyle w:val="25"/>
              <w:bidi w:val="0"/>
              <w:jc w:val="center"/>
              <w:rPr>
                <w:rFonts w:hint="eastAsia"/>
                <w:highlight w:val="none"/>
                <w:lang w:val="en-US" w:eastAsia="zh-CN"/>
              </w:rPr>
            </w:pPr>
            <w:r>
              <w:rPr>
                <w:rFonts w:hint="eastAsia"/>
                <w:highlight w:val="none"/>
                <w:lang w:val="en-US" w:eastAsia="zh-CN"/>
              </w:rPr>
              <w:t>《四川省“十四五”水安全保障规划》</w:t>
            </w:r>
          </w:p>
        </w:tc>
        <w:tc>
          <w:tcPr>
            <w:tcW w:w="982" w:type="dxa"/>
            <w:shd w:val="clear" w:color="auto" w:fill="auto"/>
            <w:vAlign w:val="center"/>
          </w:tcPr>
          <w:p w14:paraId="7438DF10">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25AA1F01">
            <w:pPr>
              <w:pStyle w:val="25"/>
              <w:bidi w:val="0"/>
              <w:jc w:val="center"/>
              <w:rPr>
                <w:rFonts w:hint="default"/>
                <w:highlight w:val="none"/>
                <w:lang w:val="en-US" w:eastAsia="zh-CN"/>
              </w:rPr>
            </w:pPr>
            <w:r>
              <w:rPr>
                <w:rFonts w:hint="eastAsia"/>
                <w:highlight w:val="none"/>
                <w:lang w:val="en-US" w:eastAsia="zh-CN"/>
              </w:rPr>
              <w:t>/</w:t>
            </w:r>
          </w:p>
        </w:tc>
      </w:tr>
      <w:tr w14:paraId="1DE1C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38E84390">
            <w:pPr>
              <w:pStyle w:val="25"/>
              <w:bidi w:val="0"/>
              <w:jc w:val="center"/>
              <w:rPr>
                <w:rFonts w:hint="eastAsia"/>
                <w:highlight w:val="none"/>
                <w:lang w:val="en-US" w:eastAsia="zh-CN"/>
              </w:rPr>
            </w:pPr>
          </w:p>
        </w:tc>
        <w:tc>
          <w:tcPr>
            <w:tcW w:w="3491" w:type="dxa"/>
            <w:vAlign w:val="center"/>
          </w:tcPr>
          <w:p w14:paraId="450563FC">
            <w:pPr>
              <w:pStyle w:val="25"/>
              <w:bidi w:val="0"/>
              <w:jc w:val="center"/>
              <w:rPr>
                <w:rFonts w:hint="eastAsia"/>
                <w:highlight w:val="none"/>
                <w:lang w:val="en-US" w:eastAsia="zh-CN"/>
              </w:rPr>
            </w:pPr>
            <w:r>
              <w:rPr>
                <w:rFonts w:hint="eastAsia"/>
                <w:highlight w:val="none"/>
                <w:lang w:val="en-US" w:eastAsia="zh-CN"/>
              </w:rPr>
              <w:t>《四川省“十四五”水安全保障规划》</w:t>
            </w:r>
          </w:p>
        </w:tc>
        <w:tc>
          <w:tcPr>
            <w:tcW w:w="982" w:type="dxa"/>
            <w:shd w:val="clear" w:color="auto" w:fill="auto"/>
            <w:vAlign w:val="center"/>
          </w:tcPr>
          <w:p w14:paraId="6CF73BB6">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7D202256">
            <w:pPr>
              <w:pStyle w:val="25"/>
              <w:bidi w:val="0"/>
              <w:jc w:val="center"/>
              <w:rPr>
                <w:rFonts w:hint="default"/>
                <w:highlight w:val="none"/>
                <w:lang w:val="en-US" w:eastAsia="zh-CN"/>
              </w:rPr>
            </w:pPr>
            <w:r>
              <w:rPr>
                <w:rFonts w:hint="eastAsia"/>
                <w:highlight w:val="none"/>
                <w:lang w:val="en-US" w:eastAsia="zh-CN"/>
              </w:rPr>
              <w:t>/</w:t>
            </w:r>
          </w:p>
        </w:tc>
      </w:tr>
      <w:tr w14:paraId="4F78B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4F2E7BBD">
            <w:pPr>
              <w:pStyle w:val="25"/>
              <w:bidi w:val="0"/>
              <w:jc w:val="center"/>
              <w:rPr>
                <w:rFonts w:hint="eastAsia"/>
                <w:highlight w:val="none"/>
                <w:lang w:val="en-US" w:eastAsia="zh-CN"/>
              </w:rPr>
            </w:pPr>
          </w:p>
        </w:tc>
        <w:tc>
          <w:tcPr>
            <w:tcW w:w="3491" w:type="dxa"/>
            <w:vAlign w:val="center"/>
          </w:tcPr>
          <w:p w14:paraId="7E544AD8">
            <w:pPr>
              <w:pStyle w:val="25"/>
              <w:bidi w:val="0"/>
              <w:jc w:val="center"/>
              <w:rPr>
                <w:rFonts w:hint="eastAsia"/>
                <w:highlight w:val="none"/>
                <w:lang w:val="en-US" w:eastAsia="zh-CN"/>
              </w:rPr>
            </w:pPr>
            <w:r>
              <w:rPr>
                <w:rFonts w:hint="eastAsia"/>
                <w:highlight w:val="none"/>
                <w:lang w:val="en-US" w:eastAsia="zh-CN"/>
              </w:rPr>
              <w:t>《甘孜藏族自治州国土空间总体规划》（2021-2035年）</w:t>
            </w:r>
          </w:p>
        </w:tc>
        <w:tc>
          <w:tcPr>
            <w:tcW w:w="982" w:type="dxa"/>
            <w:shd w:val="clear" w:color="auto" w:fill="auto"/>
            <w:vAlign w:val="center"/>
          </w:tcPr>
          <w:p w14:paraId="7B6E44E1">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37548CDF">
            <w:pPr>
              <w:pStyle w:val="25"/>
              <w:bidi w:val="0"/>
              <w:jc w:val="center"/>
              <w:rPr>
                <w:rFonts w:hint="default"/>
                <w:highlight w:val="none"/>
                <w:lang w:val="en-US" w:eastAsia="zh-CN"/>
              </w:rPr>
            </w:pPr>
            <w:r>
              <w:rPr>
                <w:rFonts w:hint="eastAsia"/>
                <w:highlight w:val="none"/>
                <w:lang w:val="en-US" w:eastAsia="zh-CN"/>
              </w:rPr>
              <w:t>/</w:t>
            </w:r>
          </w:p>
        </w:tc>
      </w:tr>
      <w:tr w14:paraId="0CD0C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51C0E79E">
            <w:pPr>
              <w:pStyle w:val="25"/>
              <w:bidi w:val="0"/>
              <w:jc w:val="center"/>
              <w:rPr>
                <w:rFonts w:hint="eastAsia"/>
                <w:highlight w:val="none"/>
                <w:lang w:val="en-US" w:eastAsia="zh-CN"/>
              </w:rPr>
            </w:pPr>
          </w:p>
        </w:tc>
        <w:tc>
          <w:tcPr>
            <w:tcW w:w="3491" w:type="dxa"/>
            <w:vAlign w:val="center"/>
          </w:tcPr>
          <w:p w14:paraId="01752D0B">
            <w:pPr>
              <w:pStyle w:val="25"/>
              <w:bidi w:val="0"/>
              <w:jc w:val="center"/>
              <w:rPr>
                <w:rFonts w:hint="eastAsia"/>
                <w:highlight w:val="none"/>
                <w:lang w:val="en-US" w:eastAsia="zh-CN"/>
              </w:rPr>
            </w:pPr>
            <w:r>
              <w:rPr>
                <w:rFonts w:hint="eastAsia"/>
                <w:highlight w:val="none"/>
                <w:lang w:val="en-US" w:eastAsia="zh-CN"/>
              </w:rPr>
              <w:t>《甘孜藏族自治州“十四五”水安全保障规划（2021-2025）》的符合性</w:t>
            </w:r>
          </w:p>
        </w:tc>
        <w:tc>
          <w:tcPr>
            <w:tcW w:w="982" w:type="dxa"/>
            <w:shd w:val="clear" w:color="auto" w:fill="auto"/>
            <w:vAlign w:val="center"/>
          </w:tcPr>
          <w:p w14:paraId="07DF5BDB">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721F6FFF">
            <w:pPr>
              <w:pStyle w:val="25"/>
              <w:bidi w:val="0"/>
              <w:jc w:val="center"/>
              <w:rPr>
                <w:rFonts w:hint="eastAsia"/>
                <w:highlight w:val="none"/>
                <w:lang w:val="en-US" w:eastAsia="zh-CN"/>
              </w:rPr>
            </w:pPr>
          </w:p>
        </w:tc>
      </w:tr>
      <w:tr w14:paraId="76490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58E61065">
            <w:pPr>
              <w:pStyle w:val="25"/>
              <w:bidi w:val="0"/>
              <w:jc w:val="center"/>
              <w:rPr>
                <w:rFonts w:hint="eastAsia"/>
                <w:highlight w:val="none"/>
                <w:lang w:val="en-US" w:eastAsia="zh-CN"/>
              </w:rPr>
            </w:pPr>
          </w:p>
        </w:tc>
        <w:tc>
          <w:tcPr>
            <w:tcW w:w="3491" w:type="dxa"/>
            <w:vAlign w:val="center"/>
          </w:tcPr>
          <w:p w14:paraId="417CE40A">
            <w:pPr>
              <w:pStyle w:val="25"/>
              <w:bidi w:val="0"/>
              <w:jc w:val="center"/>
              <w:rPr>
                <w:rFonts w:hint="eastAsia"/>
                <w:highlight w:val="none"/>
                <w:lang w:val="en-US" w:eastAsia="zh-CN"/>
              </w:rPr>
            </w:pPr>
            <w:r>
              <w:rPr>
                <w:rFonts w:hint="eastAsia"/>
                <w:highlight w:val="none"/>
                <w:lang w:val="en-US" w:eastAsia="zh-CN"/>
              </w:rPr>
              <w:t>《乡城县“十四五”水安全保障规划（2021年-2035年）》</w:t>
            </w:r>
          </w:p>
        </w:tc>
        <w:tc>
          <w:tcPr>
            <w:tcW w:w="982" w:type="dxa"/>
            <w:shd w:val="clear" w:color="auto" w:fill="auto"/>
            <w:vAlign w:val="center"/>
          </w:tcPr>
          <w:p w14:paraId="4B0CF7A6">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0833EB71">
            <w:pPr>
              <w:pStyle w:val="25"/>
              <w:bidi w:val="0"/>
              <w:jc w:val="center"/>
              <w:rPr>
                <w:rFonts w:hint="default"/>
                <w:highlight w:val="none"/>
                <w:lang w:val="en-US" w:eastAsia="zh-CN"/>
              </w:rPr>
            </w:pPr>
            <w:r>
              <w:rPr>
                <w:rFonts w:hint="eastAsia"/>
                <w:highlight w:val="none"/>
                <w:lang w:val="en-US" w:eastAsia="zh-CN"/>
              </w:rPr>
              <w:t>/</w:t>
            </w:r>
          </w:p>
        </w:tc>
      </w:tr>
      <w:tr w14:paraId="239E7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dxa"/>
            <w:vMerge w:val="continue"/>
            <w:vAlign w:val="center"/>
          </w:tcPr>
          <w:p w14:paraId="5252E811">
            <w:pPr>
              <w:pStyle w:val="25"/>
              <w:bidi w:val="0"/>
              <w:jc w:val="center"/>
              <w:rPr>
                <w:rFonts w:hint="eastAsia"/>
                <w:highlight w:val="none"/>
                <w:lang w:val="en-US" w:eastAsia="zh-CN"/>
              </w:rPr>
            </w:pPr>
          </w:p>
        </w:tc>
        <w:tc>
          <w:tcPr>
            <w:tcW w:w="3491" w:type="dxa"/>
            <w:vAlign w:val="center"/>
          </w:tcPr>
          <w:p w14:paraId="3C17E6FB">
            <w:pPr>
              <w:pStyle w:val="25"/>
              <w:bidi w:val="0"/>
              <w:jc w:val="center"/>
              <w:rPr>
                <w:rFonts w:hint="eastAsia"/>
                <w:highlight w:val="none"/>
                <w:lang w:val="en-US" w:eastAsia="zh-CN"/>
              </w:rPr>
            </w:pPr>
            <w:r>
              <w:rPr>
                <w:rFonts w:hint="eastAsia"/>
                <w:highlight w:val="none"/>
                <w:lang w:val="en-US" w:eastAsia="zh-CN"/>
              </w:rPr>
              <w:t>《乡城县水土保持“十四五”规划》</w:t>
            </w:r>
          </w:p>
        </w:tc>
        <w:tc>
          <w:tcPr>
            <w:tcW w:w="982" w:type="dxa"/>
            <w:shd w:val="clear" w:color="auto" w:fill="auto"/>
            <w:vAlign w:val="center"/>
          </w:tcPr>
          <w:p w14:paraId="2116EF05">
            <w:pPr>
              <w:pStyle w:val="25"/>
              <w:bidi w:val="0"/>
              <w:ind w:firstLine="0" w:firstLineChars="0"/>
              <w:jc w:val="center"/>
              <w:rPr>
                <w:rFonts w:hint="eastAsia" w:ascii="Times New Roman" w:hAnsi="Times New Roman" w:eastAsiaTheme="minorEastAsia" w:cstheme="minorBidi"/>
                <w:color w:val="000000"/>
                <w:kern w:val="0"/>
                <w:sz w:val="22"/>
                <w:szCs w:val="21"/>
                <w:highlight w:val="none"/>
                <w:lang w:val="en-US" w:eastAsia="zh-CN" w:bidi="ar-SA"/>
              </w:rPr>
            </w:pPr>
            <w:r>
              <w:rPr>
                <w:rFonts w:hint="eastAsia"/>
                <w:highlight w:val="none"/>
                <w:lang w:val="en-US" w:eastAsia="zh-CN"/>
              </w:rPr>
              <w:t>符合</w:t>
            </w:r>
          </w:p>
        </w:tc>
        <w:tc>
          <w:tcPr>
            <w:tcW w:w="3161" w:type="dxa"/>
            <w:vAlign w:val="center"/>
          </w:tcPr>
          <w:p w14:paraId="78BE5FD5">
            <w:pPr>
              <w:pStyle w:val="25"/>
              <w:bidi w:val="0"/>
              <w:jc w:val="center"/>
              <w:rPr>
                <w:rFonts w:hint="default"/>
                <w:highlight w:val="none"/>
                <w:lang w:val="en-US" w:eastAsia="zh-CN"/>
              </w:rPr>
            </w:pPr>
            <w:r>
              <w:rPr>
                <w:rFonts w:hint="eastAsia"/>
                <w:highlight w:val="none"/>
                <w:lang w:val="en-US" w:eastAsia="zh-CN"/>
              </w:rPr>
              <w:t>/</w:t>
            </w:r>
          </w:p>
        </w:tc>
      </w:tr>
    </w:tbl>
    <w:p w14:paraId="7370AB43">
      <w:pPr>
        <w:ind w:left="0" w:leftChars="0" w:firstLine="0" w:firstLineChars="0"/>
        <w:rPr>
          <w:rFonts w:hint="eastAsia"/>
          <w:highlight w:val="none"/>
          <w:lang w:val="en-US" w:eastAsia="zh-CN"/>
        </w:rPr>
      </w:pPr>
    </w:p>
    <w:p w14:paraId="1A5285A0">
      <w:pPr>
        <w:pStyle w:val="4"/>
        <w:bidi w:val="0"/>
        <w:rPr>
          <w:rFonts w:hint="default"/>
          <w:highlight w:val="none"/>
          <w:lang w:val="en-US" w:eastAsia="zh-CN"/>
        </w:rPr>
      </w:pPr>
      <w:r>
        <w:rPr>
          <w:rFonts w:hint="default"/>
          <w:highlight w:val="none"/>
          <w:lang w:val="en-US" w:eastAsia="zh-CN"/>
        </w:rPr>
        <w:t>与四川省“三线一单”管控要求的符合性</w:t>
      </w:r>
    </w:p>
    <w:p w14:paraId="3F5D281A">
      <w:pPr>
        <w:pStyle w:val="5"/>
        <w:bidi w:val="0"/>
        <w:rPr>
          <w:rFonts w:hint="default"/>
          <w:highlight w:val="none"/>
          <w:lang w:val="en-US" w:eastAsia="zh-CN"/>
        </w:rPr>
      </w:pPr>
      <w:r>
        <w:rPr>
          <w:rFonts w:hint="default"/>
          <w:highlight w:val="none"/>
          <w:lang w:val="en-US" w:eastAsia="zh-CN"/>
        </w:rPr>
        <w:t>生态保护红线</w:t>
      </w:r>
    </w:p>
    <w:p w14:paraId="1AC84723">
      <w:pPr>
        <w:bidi w:val="0"/>
        <w:rPr>
          <w:rFonts w:hint="default"/>
          <w:highlight w:val="none"/>
          <w:lang w:val="en-US" w:eastAsia="zh-CN"/>
        </w:rPr>
      </w:pPr>
      <w:r>
        <w:rPr>
          <w:rFonts w:hint="eastAsia"/>
          <w:highlight w:val="none"/>
          <w:lang w:val="en-US" w:eastAsia="zh-CN"/>
        </w:rPr>
        <w:t>（1）红线划定成果</w:t>
      </w:r>
    </w:p>
    <w:p w14:paraId="392A9FB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根据《四川省生态保护红线方案》</w:t>
      </w:r>
      <w:r>
        <w:rPr>
          <w:rFonts w:hint="eastAsia" w:cs="Times New Roman"/>
          <w:highlight w:val="none"/>
          <w:lang w:val="en-US" w:eastAsia="zh-CN"/>
        </w:rPr>
        <w:t>，</w:t>
      </w:r>
      <w:r>
        <w:rPr>
          <w:rFonts w:hint="default" w:ascii="Times New Roman" w:hAnsi="Times New Roman" w:cs="Times New Roman"/>
          <w:highlight w:val="none"/>
          <w:lang w:val="en-US" w:eastAsia="zh-CN"/>
        </w:rPr>
        <w:t>四川省生态保护红线总面积达14.80万平方公里，占全省幅员面积的30.45%。四川生态保护红线布局方案明确，四川生态保护红线空间分布格局呈“四轴九核”</w:t>
      </w:r>
      <w:r>
        <w:rPr>
          <w:rFonts w:hint="eastAsia" w:cs="Times New Roman"/>
          <w:highlight w:val="none"/>
          <w:lang w:val="en-US" w:eastAsia="zh-CN"/>
        </w:rPr>
        <w:t>，</w:t>
      </w:r>
      <w:r>
        <w:rPr>
          <w:rFonts w:hint="default" w:ascii="Times New Roman" w:hAnsi="Times New Roman" w:cs="Times New Roman"/>
          <w:highlight w:val="none"/>
          <w:lang w:val="en-US" w:eastAsia="zh-CN"/>
        </w:rPr>
        <w:t>“四轴”是指大巴山、金沙江下游干热河谷、川东南山地以及盆中丘陵区，呈带状分布；“九核”指若尔盖湿地（黄河源）、雅砻江源、大渡河源以及大雪山、沙鲁里山、岷山、邛崃山、凉山</w:t>
      </w:r>
      <w:r>
        <w:rPr>
          <w:rFonts w:hint="eastAsia" w:cs="Times New Roman"/>
          <w:highlight w:val="none"/>
          <w:lang w:val="en-US" w:eastAsia="zh-CN"/>
        </w:rPr>
        <w:t>-</w:t>
      </w:r>
      <w:r>
        <w:rPr>
          <w:rFonts w:hint="default" w:ascii="Times New Roman" w:hAnsi="Times New Roman" w:cs="Times New Roman"/>
          <w:highlight w:val="none"/>
          <w:lang w:val="en-US" w:eastAsia="zh-CN"/>
        </w:rPr>
        <w:t>相岭、锦屏山，以水系、山系为骨架集中成片分布。方案指出，四川生态保护红线分为5大类13个区块，主要分布在川西高原山地、盆周山地的水源涵养、生物多样性维护、水土保持生态功能富集区和金沙江下游水土流失敏感区、川东南石漠化敏感区。</w:t>
      </w:r>
    </w:p>
    <w:p w14:paraId="3886BAF4">
      <w:pPr>
        <w:rPr>
          <w:rFonts w:hint="default" w:ascii="Times New Roman" w:hAnsi="Times New Roman" w:cs="Times New Roman"/>
          <w:highlight w:val="none"/>
          <w:lang w:val="en-US" w:eastAsia="zh-CN"/>
        </w:rPr>
      </w:pPr>
      <w:r>
        <w:rPr>
          <w:rFonts w:hint="eastAsia" w:cs="Times New Roman"/>
          <w:highlight w:val="none"/>
          <w:lang w:val="en-US" w:eastAsia="zh-CN"/>
        </w:rPr>
        <w:t>根据甘孜州生态保护红线划定方案，全州行政区域从生态环境保护角度划分为优先保护、重点管控和一般管控三类环境管控单元，共60个。</w:t>
      </w:r>
    </w:p>
    <w:p w14:paraId="6934F36C">
      <w:pPr>
        <w:bidi w:val="0"/>
        <w:rPr>
          <w:rFonts w:hint="default"/>
          <w:highlight w:val="none"/>
          <w:lang w:val="en-US" w:eastAsia="zh-CN"/>
        </w:rPr>
      </w:pPr>
      <w:r>
        <w:rPr>
          <w:rFonts w:hint="eastAsia"/>
          <w:highlight w:val="none"/>
          <w:lang w:val="en-US" w:eastAsia="zh-CN"/>
        </w:rPr>
        <w:t>（2）符合性分析</w:t>
      </w:r>
    </w:p>
    <w:p w14:paraId="0B9ADB4E">
      <w:pPr>
        <w:rPr>
          <w:rFonts w:hint="eastAsia"/>
          <w:highlight w:val="none"/>
          <w:lang w:val="en-US" w:eastAsia="zh-CN"/>
        </w:rPr>
      </w:pPr>
      <w:r>
        <w:rPr>
          <w:rFonts w:hint="default" w:ascii="Times New Roman" w:hAnsi="Times New Roman" w:cs="Times New Roman"/>
          <w:highlight w:val="none"/>
          <w:lang w:val="en-US" w:eastAsia="zh-CN"/>
        </w:rPr>
        <w:t>冷龙沟流域不涉及《四川省生态保护红线方案》划定的生态保护红线区域</w:t>
      </w:r>
      <w:r>
        <w:rPr>
          <w:rFonts w:hint="eastAsia" w:cs="Times New Roman"/>
          <w:highlight w:val="none"/>
          <w:lang w:val="en-US" w:eastAsia="zh-CN"/>
        </w:rPr>
        <w:t>。</w:t>
      </w:r>
      <w:r>
        <w:rPr>
          <w:rFonts w:hint="default" w:ascii="Times New Roman" w:hAnsi="Times New Roman" w:cs="Times New Roman"/>
          <w:highlight w:val="none"/>
          <w:lang w:val="en-US" w:eastAsia="zh-CN"/>
        </w:rPr>
        <w:t>经与甘孜州生态保护红线叠图分析，本次流域规划涉及</w:t>
      </w:r>
      <w:r>
        <w:rPr>
          <w:rFonts w:hint="eastAsia" w:cs="Times New Roman"/>
          <w:highlight w:val="none"/>
          <w:lang w:val="en-US" w:eastAsia="zh-CN"/>
        </w:rPr>
        <w:t>乡城县冷龙沟冷龙村饮用水水源保护区，属于优先保护单元</w:t>
      </w:r>
      <w:r>
        <w:rPr>
          <w:rFonts w:hint="default" w:ascii="Times New Roman" w:hAnsi="Times New Roman" w:cs="Times New Roman"/>
          <w:highlight w:val="none"/>
          <w:lang w:val="en-US" w:eastAsia="zh-CN"/>
        </w:rPr>
        <w:t>。</w:t>
      </w:r>
      <w:r>
        <w:rPr>
          <w:rFonts w:hint="eastAsia" w:cs="Times New Roman"/>
          <w:highlight w:val="none"/>
          <w:lang w:val="en-US" w:eastAsia="zh-CN"/>
        </w:rPr>
        <w:t>本项目规划工程与生态红线叠图分析见附图。</w:t>
      </w:r>
      <w:r>
        <w:rPr>
          <w:rFonts w:hint="eastAsia"/>
          <w:highlight w:val="none"/>
          <w:lang w:val="en-US" w:eastAsia="zh-CN"/>
        </w:rPr>
        <w:t>本次流域综合规划环境影响报告符合《中华人民共和国环境影响评价法》的规定。《中华人民共和国水污染防治法》《饮用水水源保护区污染防治管理规定》《集中式饮用水水源环境保护指南（试行）》《四川省饮用水水源保护管理条例》《甘孜州饮用水水源保护管理条例（征求意见稿）》等水源地保护的相关要求，本规划涉及的水资源开发利用工程不涉及生态保护红线其他区域中10类有限人为活动，但选址上仍应尽量避开生态保护红线，无法避免的工程项目应该结合生态安全、可以持续的要求，深入研究论证、慎重决策实施。</w:t>
      </w:r>
    </w:p>
    <w:p w14:paraId="75F6F548">
      <w:pPr>
        <w:rPr>
          <w:rFonts w:hint="default"/>
          <w:highlight w:val="none"/>
          <w:lang w:val="en-US" w:eastAsia="zh-CN"/>
        </w:rPr>
      </w:pPr>
      <w:r>
        <w:rPr>
          <w:rFonts w:hint="default"/>
          <w:highlight w:val="none"/>
          <w:lang w:val="en-US" w:eastAsia="zh-CN"/>
        </w:rPr>
        <w:t>因此，本次规划与生态保护红线要求基本符合。</w:t>
      </w:r>
    </w:p>
    <w:p w14:paraId="3CB672EC">
      <w:pPr>
        <w:pStyle w:val="5"/>
        <w:bidi w:val="0"/>
        <w:rPr>
          <w:rFonts w:hint="default"/>
          <w:highlight w:val="none"/>
          <w:lang w:val="en-US" w:eastAsia="zh-CN"/>
        </w:rPr>
      </w:pPr>
      <w:r>
        <w:rPr>
          <w:rFonts w:hint="default"/>
          <w:highlight w:val="none"/>
          <w:lang w:val="en-US" w:eastAsia="zh-CN"/>
        </w:rPr>
        <w:t>环境质量底线</w:t>
      </w:r>
    </w:p>
    <w:p w14:paraId="563AE65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根据《全国重要江河湖泊水功能区划（2011</w:t>
      </w:r>
      <w:r>
        <w:rPr>
          <w:rFonts w:hint="eastAsia" w:cs="Times New Roman"/>
          <w:highlight w:val="none"/>
          <w:lang w:val="en-US" w:eastAsia="zh-CN"/>
        </w:rPr>
        <w:t>-</w:t>
      </w:r>
      <w:r>
        <w:rPr>
          <w:rFonts w:hint="default" w:ascii="Times New Roman" w:hAnsi="Times New Roman" w:cs="Times New Roman"/>
          <w:highlight w:val="none"/>
          <w:lang w:val="en-US" w:eastAsia="zh-CN"/>
        </w:rPr>
        <w:t>2030年）》和《四川省水功能区划报告》（2020年10月），冷龙沟流域尚未划分水功能区，冷龙沟为硕曲右岸一级支流，根据《四川省水功能区划》，硕曲共划分四个一级水功能区，冷龙沟河口位于硕曲河理塘乡城保留区。结合上述核准结果结合流域水环境现状及规划工程布局，提出流域的环境质量底线，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_Ref27710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表11</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0D772272">
      <w:pPr>
        <w:pStyle w:val="11"/>
        <w:ind w:left="0" w:leftChars="0" w:firstLine="0" w:firstLineChars="0"/>
        <w:jc w:val="center"/>
        <w:rPr>
          <w:rFonts w:hint="default" w:ascii="Times New Roman" w:hAnsi="Times New Roman" w:cs="Times New Roman"/>
          <w:highlight w:val="none"/>
          <w:lang w:val="en-US" w:eastAsia="zh-CN"/>
        </w:rPr>
      </w:pPr>
      <w:bookmarkStart w:id="31" w:name="_Ref27710"/>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w:t>
      </w:r>
      <w:r>
        <w:rPr>
          <w:rFonts w:hint="default" w:ascii="Times New Roman" w:hAnsi="Times New Roman" w:cs="Times New Roman"/>
          <w:highlight w:val="none"/>
        </w:rPr>
        <w:fldChar w:fldCharType="end"/>
      </w:r>
      <w:bookmarkEnd w:id="31"/>
      <w:r>
        <w:rPr>
          <w:rFonts w:hint="default" w:ascii="Times New Roman" w:hAnsi="Times New Roman" w:cs="Times New Roman"/>
          <w:highlight w:val="none"/>
          <w:lang w:val="en-US" w:eastAsia="zh-CN"/>
        </w:rPr>
        <w:t xml:space="preserve"> 冷龙沟流域环境质量底线</w:t>
      </w:r>
    </w:p>
    <w:tbl>
      <w:tblPr>
        <w:tblStyle w:val="24"/>
        <w:tblW w:w="89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78"/>
        <w:gridCol w:w="1250"/>
        <w:gridCol w:w="1129"/>
        <w:gridCol w:w="596"/>
        <w:gridCol w:w="641"/>
        <w:gridCol w:w="1922"/>
        <w:gridCol w:w="2357"/>
      </w:tblGrid>
      <w:tr w14:paraId="2AE28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0" w:hRule="atLeast"/>
        </w:trPr>
        <w:tc>
          <w:tcPr>
            <w:tcW w:w="1078" w:type="dxa"/>
            <w:vAlign w:val="center"/>
          </w:tcPr>
          <w:p w14:paraId="7DA290C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流域名称</w:t>
            </w:r>
          </w:p>
        </w:tc>
        <w:tc>
          <w:tcPr>
            <w:tcW w:w="1250" w:type="dxa"/>
            <w:vAlign w:val="center"/>
          </w:tcPr>
          <w:p w14:paraId="28305C64">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rPr>
              <w:t>环境管控</w:t>
            </w:r>
            <w:r>
              <w:rPr>
                <w:rFonts w:hint="default" w:ascii="Times New Roman" w:hAnsi="Times New Roman" w:cs="Times New Roman"/>
                <w:highlight w:val="none"/>
                <w:lang w:val="en-US" w:eastAsia="zh-CN"/>
              </w:rPr>
              <w:t>单元编码</w:t>
            </w:r>
          </w:p>
        </w:tc>
        <w:tc>
          <w:tcPr>
            <w:tcW w:w="1129" w:type="dxa"/>
            <w:vAlign w:val="center"/>
          </w:tcPr>
          <w:p w14:paraId="3F2F19C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环境要素管控分区名称</w:t>
            </w:r>
          </w:p>
        </w:tc>
        <w:tc>
          <w:tcPr>
            <w:tcW w:w="596" w:type="dxa"/>
            <w:vAlign w:val="center"/>
          </w:tcPr>
          <w:p w14:paraId="3571933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行政区</w:t>
            </w:r>
          </w:p>
        </w:tc>
        <w:tc>
          <w:tcPr>
            <w:tcW w:w="641" w:type="dxa"/>
            <w:vAlign w:val="center"/>
          </w:tcPr>
          <w:p w14:paraId="7725E1D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管控单 元分类</w:t>
            </w:r>
          </w:p>
        </w:tc>
        <w:tc>
          <w:tcPr>
            <w:tcW w:w="1922" w:type="dxa"/>
            <w:vAlign w:val="center"/>
          </w:tcPr>
          <w:p w14:paraId="35B218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管控要求</w:t>
            </w:r>
          </w:p>
        </w:tc>
        <w:tc>
          <w:tcPr>
            <w:tcW w:w="2357" w:type="dxa"/>
            <w:vAlign w:val="center"/>
          </w:tcPr>
          <w:p w14:paraId="1D53060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符合性分析</w:t>
            </w:r>
          </w:p>
        </w:tc>
      </w:tr>
      <w:tr w14:paraId="78ADB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6" w:hRule="atLeast"/>
        </w:trPr>
        <w:tc>
          <w:tcPr>
            <w:tcW w:w="1078" w:type="dxa"/>
            <w:vAlign w:val="center"/>
          </w:tcPr>
          <w:p w14:paraId="60B693FD">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冷龙沟流域</w:t>
            </w:r>
          </w:p>
        </w:tc>
        <w:tc>
          <w:tcPr>
            <w:tcW w:w="1250" w:type="dxa"/>
            <w:vAlign w:val="center"/>
          </w:tcPr>
          <w:p w14:paraId="5465599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YS5133363210004</w:t>
            </w:r>
          </w:p>
        </w:tc>
        <w:tc>
          <w:tcPr>
            <w:tcW w:w="1129" w:type="dxa"/>
            <w:vAlign w:val="center"/>
          </w:tcPr>
          <w:p w14:paraId="2B70C9F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硕曲河（东旺河）香巴拉镇控制单元</w:t>
            </w:r>
          </w:p>
        </w:tc>
        <w:tc>
          <w:tcPr>
            <w:tcW w:w="596" w:type="dxa"/>
            <w:vAlign w:val="center"/>
          </w:tcPr>
          <w:p w14:paraId="6DEEDEE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甘孜藏族自治州</w:t>
            </w:r>
          </w:p>
        </w:tc>
        <w:tc>
          <w:tcPr>
            <w:tcW w:w="641" w:type="dxa"/>
            <w:vAlign w:val="center"/>
          </w:tcPr>
          <w:p w14:paraId="57327EF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水环境 一般管 控区</w:t>
            </w:r>
          </w:p>
        </w:tc>
        <w:tc>
          <w:tcPr>
            <w:tcW w:w="1922" w:type="dxa"/>
            <w:vAlign w:val="center"/>
          </w:tcPr>
          <w:p w14:paraId="20870B9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强化乡镇场镇生活污水收集、处理设施建设、运行；合理控制畜禽养殖规模，完善粪污收集处理设施，提高资源化利用率</w:t>
            </w:r>
          </w:p>
        </w:tc>
        <w:tc>
          <w:tcPr>
            <w:tcW w:w="2357" w:type="dxa"/>
            <w:vAlign w:val="center"/>
          </w:tcPr>
          <w:p w14:paraId="4EF839A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冷龙沟流域无工业企业，仅有沿线面源及</w:t>
            </w:r>
            <w:r>
              <w:rPr>
                <w:rFonts w:hint="default" w:ascii="Times New Roman" w:hAnsi="Times New Roman" w:cs="Times New Roman"/>
                <w:highlight w:val="none"/>
              </w:rPr>
              <w:t>畜禽养殖</w:t>
            </w:r>
            <w:r>
              <w:rPr>
                <w:rFonts w:hint="default" w:ascii="Times New Roman" w:hAnsi="Times New Roman" w:cs="Times New Roman"/>
                <w:highlight w:val="none"/>
                <w:lang w:val="en-US" w:eastAsia="zh-CN"/>
              </w:rPr>
              <w:t>散养排污</w:t>
            </w:r>
            <w:r>
              <w:rPr>
                <w:rFonts w:hint="default" w:ascii="Times New Roman" w:hAnsi="Times New Roman" w:cs="Times New Roman"/>
                <w:highlight w:val="none"/>
              </w:rPr>
              <w:t>，且流域综合规划要求严格限制污染物排放入河，符合“三线一单”的要求</w:t>
            </w:r>
          </w:p>
        </w:tc>
      </w:tr>
    </w:tbl>
    <w:p w14:paraId="7297D480">
      <w:pPr>
        <w:ind w:left="0" w:leftChars="0" w:firstLine="0" w:firstLineChars="0"/>
        <w:rPr>
          <w:rFonts w:hint="default" w:ascii="Times New Roman" w:hAnsi="Times New Roman" w:cs="Times New Roman"/>
          <w:highlight w:val="none"/>
          <w:lang w:val="en-US" w:eastAsia="zh-CN"/>
        </w:rPr>
      </w:pPr>
    </w:p>
    <w:p w14:paraId="01BE0F15">
      <w:pPr>
        <w:pStyle w:val="5"/>
        <w:bidi w:val="0"/>
        <w:rPr>
          <w:rFonts w:hint="default"/>
          <w:highlight w:val="none"/>
          <w:lang w:val="en-US" w:eastAsia="zh-CN"/>
        </w:rPr>
      </w:pPr>
      <w:r>
        <w:rPr>
          <w:rFonts w:hint="default"/>
          <w:highlight w:val="none"/>
          <w:lang w:val="en-US" w:eastAsia="zh-CN"/>
        </w:rPr>
        <w:t>资源利用上限</w:t>
      </w:r>
    </w:p>
    <w:p w14:paraId="56AD775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综合规划以水为核心，其主要目标是实现水资源的合理配置和高效利用。规划应按照实行最严格水资源管理制度的要求，将国家和地方确定的冷龙沟流域水资源开发利用红线和用水总量控制指标作为流域的水资源利用上线。</w:t>
      </w:r>
    </w:p>
    <w:p w14:paraId="0C71C42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根据《实行最严格水资源管理制度考核工作实施方案》</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水资源</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2014</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61号</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、《四川省节水行动实施方案》《乡城县</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十四五</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水安全保障规划（2021年-2035年）》《尼色拥水库水资源论证报告书》，冷龙沟2021年用水总量控制为0.201亿立方米，近期规划水平年多年平均取用水量298.74万m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，远期规划取水398.63万m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287D827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冷龙沟综合规划在维护河流健康和流域生态系统良性循环、保障生态安全的前提下提出了水资源开发利用规划方案，主要包括生活供水、农业、工业、生态、水能资源开发工程。</w:t>
      </w:r>
    </w:p>
    <w:p w14:paraId="445C62BA">
      <w:pPr>
        <w:rPr>
          <w:rFonts w:hint="default" w:ascii="Times New Roman" w:hAnsi="Times New Roman" w:cs="Times New Roman"/>
          <w:highlight w:val="none"/>
          <w:lang w:val="en-US" w:eastAsia="zh-CN"/>
        </w:rPr>
      </w:pPr>
      <w:r>
        <w:rPr>
          <w:rFonts w:hint="default" w:ascii="Times New Roman" w:hAnsi="Times New Roman" w:cs="Times New Roman"/>
          <w:color w:val="auto"/>
          <w:highlight w:val="none"/>
          <w:lang w:val="en-US" w:eastAsia="zh-CN"/>
        </w:rPr>
        <w:t>根据冷龙沟水文预测可知，冷龙沟地表水水资源总量为</w:t>
      </w:r>
      <w:r>
        <w:rPr>
          <w:rFonts w:hint="eastAsia" w:ascii="Times New Roman" w:hAnsi="Times New Roman" w:cs="Times New Roman"/>
          <w:color w:val="auto"/>
          <w:highlight w:val="none"/>
          <w:lang w:val="en-US" w:eastAsia="zh-CN"/>
        </w:rPr>
        <w:t>12</w:t>
      </w:r>
      <w:r>
        <w:rPr>
          <w:rFonts w:hint="eastAsia" w:cs="Times New Roman"/>
          <w:color w:val="auto"/>
          <w:highlight w:val="none"/>
          <w:lang w:val="en-US" w:eastAsia="zh-CN"/>
        </w:rPr>
        <w:t>8</w:t>
      </w:r>
      <w:r>
        <w:rPr>
          <w:rFonts w:hint="eastAsia" w:ascii="Times New Roman" w:hAnsi="Times New Roman" w:cs="Times New Roman"/>
          <w:color w:val="auto"/>
          <w:highlight w:val="none"/>
          <w:lang w:val="en-US" w:eastAsia="zh-CN"/>
        </w:rPr>
        <w:t>0</w:t>
      </w:r>
      <w:r>
        <w:rPr>
          <w:rFonts w:hint="default" w:ascii="Times New Roman" w:hAnsi="Times New Roman" w:cs="Times New Roman"/>
          <w:color w:val="auto"/>
          <w:highlight w:val="none"/>
          <w:lang w:val="en-US" w:eastAsia="zh-CN"/>
        </w:rPr>
        <w:t>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/年，规划水平年2030年地表水总用水量最大298.74万m³，规划水平年2035年总用水量最大398.63万m³。冷龙沟流域20</w:t>
      </w:r>
      <w:r>
        <w:rPr>
          <w:rFonts w:hint="eastAsia" w:cs="Times New Roman"/>
          <w:color w:val="auto"/>
          <w:highlight w:val="none"/>
          <w:lang w:val="en-US" w:eastAsia="zh-CN"/>
        </w:rPr>
        <w:t>30</w:t>
      </w:r>
      <w:r>
        <w:rPr>
          <w:rFonts w:hint="default" w:ascii="Times New Roman" w:hAnsi="Times New Roman" w:cs="Times New Roman"/>
          <w:color w:val="auto"/>
          <w:highlight w:val="none"/>
          <w:lang w:val="en-US" w:eastAsia="zh-CN"/>
        </w:rPr>
        <w:t>年和2035年水资源开发利用分别达到23.34%与31.14%</w:t>
      </w:r>
      <w:r>
        <w:rPr>
          <w:rFonts w:hint="eastAsia" w:ascii="Times New Roman" w:hAnsi="Times New Roman" w:cs="Times New Roman"/>
          <w:color w:val="auto"/>
          <w:highlight w:val="none"/>
          <w:lang w:val="en-US" w:eastAsia="zh-CN"/>
        </w:rPr>
        <w:t>。</w:t>
      </w:r>
    </w:p>
    <w:p w14:paraId="74911704">
      <w:pPr>
        <w:pStyle w:val="5"/>
        <w:bidi w:val="0"/>
        <w:rPr>
          <w:rFonts w:hint="default"/>
          <w:highlight w:val="none"/>
          <w:lang w:val="en-US" w:eastAsia="zh-CN"/>
        </w:rPr>
      </w:pPr>
      <w:r>
        <w:rPr>
          <w:rFonts w:hint="default"/>
          <w:highlight w:val="none"/>
          <w:lang w:val="en-US" w:eastAsia="zh-CN"/>
        </w:rPr>
        <w:t>与环境准入负面清单的符合性分析</w:t>
      </w:r>
    </w:p>
    <w:p w14:paraId="260EE35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流域规划中，主要包括防洪减灾规划、水资源利用规划、水资源保护与生态修复规划、水土保持规划和其他规划。项目所在乡城县生态环境准入清单详见下表，经分析，本次流域规划涉及的规划项目均不属于乡城县管控单元环境准入负面清单中的项目详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_Ref15377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表12</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65CA2D49">
      <w:pPr>
        <w:pStyle w:val="11"/>
        <w:ind w:left="0" w:leftChars="0" w:firstLine="0" w:firstLineChars="0"/>
        <w:jc w:val="center"/>
        <w:rPr>
          <w:rFonts w:hint="default" w:ascii="Times New Roman" w:hAnsi="Times New Roman" w:eastAsia="黑体" w:cs="Times New Roman"/>
          <w:highlight w:val="none"/>
          <w:lang w:val="en-US" w:eastAsia="zh-CN"/>
        </w:rPr>
      </w:pPr>
      <w:bookmarkStart w:id="32" w:name="_Ref15377"/>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12</w:t>
      </w:r>
      <w:r>
        <w:rPr>
          <w:rFonts w:hint="default" w:ascii="Times New Roman" w:hAnsi="Times New Roman" w:cs="Times New Roman"/>
          <w:highlight w:val="none"/>
        </w:rPr>
        <w:fldChar w:fldCharType="end"/>
      </w:r>
      <w:bookmarkEnd w:id="32"/>
      <w:r>
        <w:rPr>
          <w:rFonts w:hint="default" w:ascii="Times New Roman" w:hAnsi="Times New Roman" w:cs="Times New Roman"/>
          <w:highlight w:val="none"/>
          <w:lang w:val="en-US" w:eastAsia="zh-CN"/>
        </w:rPr>
        <w:t xml:space="preserve"> 乡城县生态环境准入清单总体管控要求</w:t>
      </w:r>
    </w:p>
    <w:tbl>
      <w:tblPr>
        <w:tblStyle w:val="20"/>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675"/>
        <w:gridCol w:w="1273"/>
        <w:gridCol w:w="4531"/>
        <w:gridCol w:w="1276"/>
      </w:tblGrid>
      <w:tr w14:paraId="2331F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539" w:type="dxa"/>
            <w:gridSpan w:val="2"/>
            <w:vAlign w:val="center"/>
          </w:tcPr>
          <w:p w14:paraId="30A92470">
            <w:pPr>
              <w:pStyle w:val="22"/>
              <w:bidi w:val="0"/>
              <w:rPr>
                <w:rFonts w:hint="default"/>
                <w:b/>
                <w:bCs/>
                <w:highlight w:val="none"/>
              </w:rPr>
            </w:pPr>
            <w:r>
              <w:rPr>
                <w:rFonts w:hint="default"/>
                <w:b/>
                <w:bCs/>
                <w:highlight w:val="none"/>
              </w:rPr>
              <w:t>管控类别</w:t>
            </w:r>
          </w:p>
        </w:tc>
        <w:tc>
          <w:tcPr>
            <w:tcW w:w="5804" w:type="dxa"/>
            <w:gridSpan w:val="2"/>
            <w:vAlign w:val="center"/>
          </w:tcPr>
          <w:p w14:paraId="5B9AE08F">
            <w:pPr>
              <w:pStyle w:val="22"/>
              <w:bidi w:val="0"/>
              <w:rPr>
                <w:rFonts w:hint="default"/>
                <w:b/>
                <w:bCs/>
                <w:highlight w:val="none"/>
              </w:rPr>
            </w:pPr>
            <w:r>
              <w:rPr>
                <w:rFonts w:hint="default"/>
                <w:b/>
                <w:bCs/>
                <w:highlight w:val="none"/>
                <w:lang w:val="en-US" w:eastAsia="zh-CN"/>
              </w:rPr>
              <w:t>总体</w:t>
            </w:r>
            <w:r>
              <w:rPr>
                <w:rFonts w:hint="default"/>
                <w:b/>
                <w:bCs/>
                <w:highlight w:val="none"/>
              </w:rPr>
              <w:t>管控要求</w:t>
            </w:r>
          </w:p>
        </w:tc>
        <w:tc>
          <w:tcPr>
            <w:tcW w:w="1276" w:type="dxa"/>
            <w:vAlign w:val="center"/>
          </w:tcPr>
          <w:p w14:paraId="6815B677">
            <w:pPr>
              <w:pStyle w:val="22"/>
              <w:bidi w:val="0"/>
              <w:rPr>
                <w:rFonts w:hint="default"/>
                <w:b/>
                <w:bCs/>
                <w:highlight w:val="none"/>
                <w:lang w:val="en-US" w:eastAsia="zh-CN"/>
              </w:rPr>
            </w:pPr>
            <w:r>
              <w:rPr>
                <w:rFonts w:hint="eastAsia"/>
                <w:b/>
                <w:bCs/>
                <w:highlight w:val="none"/>
                <w:lang w:val="en-US" w:eastAsia="zh-CN"/>
              </w:rPr>
              <w:t>符合性分析</w:t>
            </w:r>
          </w:p>
        </w:tc>
      </w:tr>
      <w:tr w14:paraId="4BDB7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9" w:hRule="atLeast"/>
        </w:trPr>
        <w:tc>
          <w:tcPr>
            <w:tcW w:w="1539" w:type="dxa"/>
            <w:gridSpan w:val="2"/>
            <w:vAlign w:val="center"/>
          </w:tcPr>
          <w:p w14:paraId="051D55B1">
            <w:pPr>
              <w:pStyle w:val="22"/>
              <w:bidi w:val="0"/>
              <w:rPr>
                <w:rFonts w:hint="default"/>
                <w:highlight w:val="none"/>
                <w:lang w:val="en-US" w:eastAsia="zh-CN"/>
              </w:rPr>
            </w:pPr>
            <w:r>
              <w:rPr>
                <w:rFonts w:hint="default"/>
                <w:highlight w:val="none"/>
                <w:lang w:val="en-US" w:eastAsia="zh-CN"/>
              </w:rPr>
              <w:t>乡城县</w:t>
            </w:r>
          </w:p>
        </w:tc>
        <w:tc>
          <w:tcPr>
            <w:tcW w:w="5804" w:type="dxa"/>
            <w:gridSpan w:val="2"/>
            <w:vAlign w:val="center"/>
          </w:tcPr>
          <w:p w14:paraId="7C78007F">
            <w:pPr>
              <w:pStyle w:val="22"/>
              <w:bidi w:val="0"/>
              <w:jc w:val="left"/>
              <w:rPr>
                <w:rFonts w:hint="eastAsia"/>
                <w:highlight w:val="none"/>
                <w:lang w:eastAsia="zh-CN"/>
              </w:rPr>
            </w:pPr>
            <w:r>
              <w:rPr>
                <w:rFonts w:hint="default"/>
                <w:highlight w:val="none"/>
                <w:lang w:val="en-US" w:eastAsia="zh-CN"/>
              </w:rPr>
              <w:t>1</w:t>
            </w:r>
            <w:r>
              <w:rPr>
                <w:rFonts w:hint="eastAsia"/>
                <w:highlight w:val="none"/>
                <w:lang w:val="en-US" w:eastAsia="zh-CN"/>
              </w:rPr>
              <w:t>、</w:t>
            </w:r>
            <w:r>
              <w:rPr>
                <w:rFonts w:hint="default"/>
                <w:highlight w:val="none"/>
              </w:rPr>
              <w:t>强化主体功能区定位，保障沙鲁里山生物多样性维护生态功能</w:t>
            </w:r>
            <w:r>
              <w:rPr>
                <w:rFonts w:hint="eastAsia"/>
                <w:highlight w:val="none"/>
                <w:lang w:eastAsia="zh-CN"/>
              </w:rPr>
              <w:t>。</w:t>
            </w:r>
          </w:p>
          <w:p w14:paraId="53076800">
            <w:pPr>
              <w:pStyle w:val="22"/>
              <w:bidi w:val="0"/>
              <w:jc w:val="left"/>
              <w:rPr>
                <w:rFonts w:hint="eastAsia"/>
                <w:highlight w:val="none"/>
                <w:lang w:eastAsia="zh-CN"/>
              </w:rPr>
            </w:pPr>
            <w:r>
              <w:rPr>
                <w:rFonts w:hint="default"/>
                <w:highlight w:val="none"/>
              </w:rPr>
              <w:t>2</w:t>
            </w:r>
            <w:r>
              <w:rPr>
                <w:rFonts w:hint="eastAsia"/>
                <w:highlight w:val="none"/>
                <w:lang w:eastAsia="zh-CN"/>
              </w:rPr>
              <w:t>、</w:t>
            </w:r>
            <w:r>
              <w:rPr>
                <w:rFonts w:hint="default"/>
                <w:highlight w:val="none"/>
              </w:rPr>
              <w:t>严控园区外企业排污，屠宰项目必须配套污水处理设施或进入城市污水管网</w:t>
            </w:r>
            <w:r>
              <w:rPr>
                <w:rFonts w:hint="eastAsia"/>
                <w:highlight w:val="none"/>
                <w:lang w:eastAsia="zh-CN"/>
              </w:rPr>
              <w:t>；</w:t>
            </w:r>
          </w:p>
          <w:p w14:paraId="753E3D41">
            <w:pPr>
              <w:pStyle w:val="22"/>
              <w:bidi w:val="0"/>
              <w:jc w:val="left"/>
              <w:rPr>
                <w:rFonts w:hint="eastAsia"/>
                <w:highlight w:val="none"/>
                <w:lang w:eastAsia="zh-CN"/>
              </w:rPr>
            </w:pPr>
            <w:r>
              <w:rPr>
                <w:rFonts w:hint="default"/>
                <w:highlight w:val="none"/>
              </w:rPr>
              <w:t>3</w:t>
            </w:r>
            <w:r>
              <w:rPr>
                <w:rFonts w:hint="eastAsia"/>
                <w:highlight w:val="none"/>
                <w:lang w:eastAsia="zh-CN"/>
              </w:rPr>
              <w:t>、</w:t>
            </w:r>
            <w:r>
              <w:rPr>
                <w:rFonts w:hint="default"/>
                <w:highlight w:val="none"/>
              </w:rPr>
              <w:t>控制生活污染源，强化城乡生活污水、垃圾处理、公共厕所等生态环境保护基础设施建设</w:t>
            </w:r>
            <w:r>
              <w:rPr>
                <w:rFonts w:hint="eastAsia"/>
                <w:highlight w:val="none"/>
                <w:lang w:eastAsia="zh-CN"/>
              </w:rPr>
              <w:t>；</w:t>
            </w:r>
          </w:p>
          <w:p w14:paraId="7A892418">
            <w:pPr>
              <w:pStyle w:val="22"/>
              <w:bidi w:val="0"/>
              <w:jc w:val="left"/>
              <w:rPr>
                <w:rFonts w:hint="default"/>
                <w:highlight w:val="none"/>
              </w:rPr>
            </w:pPr>
            <w:r>
              <w:rPr>
                <w:rFonts w:hint="default"/>
                <w:highlight w:val="none"/>
              </w:rPr>
              <w:t>4</w:t>
            </w:r>
            <w:r>
              <w:rPr>
                <w:rFonts w:hint="eastAsia"/>
                <w:highlight w:val="none"/>
                <w:lang w:eastAsia="zh-CN"/>
              </w:rPr>
              <w:t>、</w:t>
            </w:r>
            <w:r>
              <w:rPr>
                <w:rFonts w:hint="default"/>
                <w:highlight w:val="none"/>
              </w:rPr>
              <w:t>加强过境道路噪音、空气污染治理。</w:t>
            </w:r>
          </w:p>
        </w:tc>
        <w:tc>
          <w:tcPr>
            <w:tcW w:w="1276" w:type="dxa"/>
            <w:vAlign w:val="center"/>
          </w:tcPr>
          <w:p w14:paraId="72D459FC">
            <w:pPr>
              <w:pStyle w:val="22"/>
              <w:bidi w:val="0"/>
              <w:rPr>
                <w:rFonts w:hint="eastAsia"/>
                <w:highlight w:val="none"/>
                <w:lang w:val="en-US" w:eastAsia="zh-CN"/>
              </w:rPr>
            </w:pPr>
            <w:r>
              <w:rPr>
                <w:rFonts w:hint="eastAsia"/>
                <w:highlight w:val="none"/>
                <w:lang w:val="en-US" w:eastAsia="zh-CN"/>
              </w:rPr>
              <w:t>符合</w:t>
            </w:r>
          </w:p>
        </w:tc>
      </w:tr>
      <w:tr w14:paraId="66FAA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trPr>
        <w:tc>
          <w:tcPr>
            <w:tcW w:w="864" w:type="dxa"/>
            <w:vAlign w:val="center"/>
          </w:tcPr>
          <w:p w14:paraId="3BFCC1A9">
            <w:pPr>
              <w:pStyle w:val="22"/>
              <w:bidi w:val="0"/>
              <w:rPr>
                <w:rFonts w:hint="default"/>
                <w:b/>
                <w:bCs/>
                <w:highlight w:val="none"/>
                <w:lang w:val="en-US" w:eastAsia="zh-CN"/>
              </w:rPr>
            </w:pPr>
            <w:r>
              <w:rPr>
                <w:rFonts w:hint="default"/>
                <w:b/>
                <w:bCs/>
                <w:highlight w:val="none"/>
                <w:lang w:val="en-US" w:eastAsia="zh-CN"/>
              </w:rPr>
              <w:t>环境管控单元名称</w:t>
            </w:r>
          </w:p>
        </w:tc>
        <w:tc>
          <w:tcPr>
            <w:tcW w:w="675" w:type="dxa"/>
            <w:vAlign w:val="center"/>
          </w:tcPr>
          <w:p w14:paraId="6BADD8F0">
            <w:pPr>
              <w:pStyle w:val="22"/>
              <w:bidi w:val="0"/>
              <w:rPr>
                <w:rFonts w:hint="default"/>
                <w:b/>
                <w:bCs/>
                <w:highlight w:val="none"/>
                <w:lang w:val="en-US" w:eastAsia="zh-CN"/>
              </w:rPr>
            </w:pPr>
            <w:r>
              <w:rPr>
                <w:rFonts w:hint="default"/>
                <w:b/>
                <w:bCs/>
                <w:highlight w:val="none"/>
                <w:lang w:val="en-US" w:eastAsia="zh-CN"/>
              </w:rPr>
              <w:t>管控单元类别</w:t>
            </w:r>
          </w:p>
        </w:tc>
        <w:tc>
          <w:tcPr>
            <w:tcW w:w="5804" w:type="dxa"/>
            <w:gridSpan w:val="2"/>
            <w:vAlign w:val="center"/>
          </w:tcPr>
          <w:p w14:paraId="79F14433">
            <w:pPr>
              <w:pStyle w:val="22"/>
              <w:bidi w:val="0"/>
              <w:rPr>
                <w:rFonts w:hint="default"/>
                <w:b/>
                <w:bCs/>
                <w:highlight w:val="none"/>
              </w:rPr>
            </w:pPr>
            <w:r>
              <w:rPr>
                <w:rFonts w:hint="default"/>
                <w:b/>
                <w:bCs/>
                <w:highlight w:val="none"/>
              </w:rPr>
              <w:t>管控要求</w:t>
            </w:r>
          </w:p>
        </w:tc>
        <w:tc>
          <w:tcPr>
            <w:tcW w:w="1276" w:type="dxa"/>
            <w:vAlign w:val="center"/>
          </w:tcPr>
          <w:p w14:paraId="35169CA0">
            <w:pPr>
              <w:pStyle w:val="22"/>
              <w:bidi w:val="0"/>
              <w:rPr>
                <w:rFonts w:hint="eastAsia"/>
                <w:b/>
                <w:bCs/>
                <w:highlight w:val="none"/>
                <w:lang w:val="en-US" w:eastAsia="zh-CN"/>
              </w:rPr>
            </w:pPr>
            <w:r>
              <w:rPr>
                <w:rFonts w:hint="eastAsia"/>
                <w:b/>
                <w:bCs/>
                <w:highlight w:val="none"/>
                <w:lang w:val="en-US" w:eastAsia="zh-CN"/>
              </w:rPr>
              <w:t>符合性分析</w:t>
            </w:r>
          </w:p>
        </w:tc>
      </w:tr>
      <w:tr w14:paraId="64CE5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39" w:type="dxa"/>
            <w:gridSpan w:val="2"/>
            <w:vMerge w:val="restart"/>
            <w:vAlign w:val="center"/>
          </w:tcPr>
          <w:p w14:paraId="6F1A0656">
            <w:pPr>
              <w:pStyle w:val="22"/>
              <w:bidi w:val="0"/>
              <w:rPr>
                <w:rFonts w:hint="default"/>
                <w:highlight w:val="none"/>
                <w:lang w:val="en-US" w:eastAsia="zh-CN"/>
              </w:rPr>
            </w:pPr>
            <w:r>
              <w:rPr>
                <w:rFonts w:hint="eastAsia"/>
                <w:highlight w:val="none"/>
                <w:lang w:val="en-US" w:eastAsia="zh-CN"/>
              </w:rPr>
              <w:t>生态保护红线</w:t>
            </w:r>
          </w:p>
        </w:tc>
        <w:tc>
          <w:tcPr>
            <w:tcW w:w="1273" w:type="dxa"/>
            <w:vAlign w:val="center"/>
          </w:tcPr>
          <w:p w14:paraId="63E2ECB0">
            <w:pPr>
              <w:pStyle w:val="22"/>
              <w:bidi w:val="0"/>
              <w:rPr>
                <w:rFonts w:hint="default"/>
                <w:highlight w:val="none"/>
                <w:lang w:val="en-US" w:eastAsia="zh-CN"/>
              </w:rPr>
            </w:pPr>
            <w:r>
              <w:rPr>
                <w:rFonts w:hint="eastAsia"/>
                <w:highlight w:val="none"/>
                <w:lang w:val="en-US" w:eastAsia="zh-CN"/>
              </w:rPr>
              <w:t>空间布局约束-禁止开发建设活动的要求</w:t>
            </w:r>
          </w:p>
        </w:tc>
        <w:tc>
          <w:tcPr>
            <w:tcW w:w="4531" w:type="dxa"/>
            <w:vAlign w:val="center"/>
          </w:tcPr>
          <w:p w14:paraId="1A3E3F0A">
            <w:pPr>
              <w:pStyle w:val="22"/>
              <w:bidi w:val="0"/>
              <w:jc w:val="left"/>
              <w:rPr>
                <w:rFonts w:hint="default"/>
                <w:highlight w:val="none"/>
              </w:rPr>
            </w:pPr>
            <w:r>
              <w:rPr>
                <w:rFonts w:hint="default"/>
                <w:highlight w:val="none"/>
              </w:rPr>
              <w:t>1、生态保护红线内自然保护地核心保护区外，禁止开发性、生产性建设活动。2、生态保护红线内零星分布的已有水电、风电、光伏设施，按照相关法律法规规定进行管理，严禁扩大现有规模与范围。</w:t>
            </w:r>
          </w:p>
        </w:tc>
        <w:tc>
          <w:tcPr>
            <w:tcW w:w="1276" w:type="dxa"/>
            <w:vAlign w:val="center"/>
          </w:tcPr>
          <w:p w14:paraId="0A38735C">
            <w:pPr>
              <w:pStyle w:val="22"/>
              <w:bidi w:val="0"/>
              <w:rPr>
                <w:rFonts w:hint="eastAsia"/>
                <w:highlight w:val="none"/>
                <w:lang w:val="en-US" w:eastAsia="zh-CN"/>
              </w:rPr>
            </w:pPr>
            <w:r>
              <w:rPr>
                <w:rFonts w:hint="eastAsia"/>
                <w:highlight w:val="none"/>
                <w:lang w:val="en-US" w:eastAsia="zh-CN"/>
              </w:rPr>
              <w:t>符合</w:t>
            </w:r>
          </w:p>
        </w:tc>
      </w:tr>
      <w:tr w14:paraId="6F03B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39" w:type="dxa"/>
            <w:gridSpan w:val="2"/>
            <w:vMerge w:val="continue"/>
            <w:vAlign w:val="center"/>
          </w:tcPr>
          <w:p w14:paraId="2E8D27B0">
            <w:pPr>
              <w:pStyle w:val="22"/>
              <w:bidi w:val="0"/>
              <w:rPr>
                <w:rFonts w:hint="default"/>
                <w:highlight w:val="none"/>
              </w:rPr>
            </w:pPr>
          </w:p>
        </w:tc>
        <w:tc>
          <w:tcPr>
            <w:tcW w:w="1273" w:type="dxa"/>
            <w:vAlign w:val="center"/>
          </w:tcPr>
          <w:p w14:paraId="301E0640">
            <w:pPr>
              <w:pStyle w:val="22"/>
              <w:bidi w:val="0"/>
              <w:rPr>
                <w:rFonts w:hint="default"/>
                <w:highlight w:val="none"/>
              </w:rPr>
            </w:pPr>
            <w:r>
              <w:rPr>
                <w:rFonts w:hint="eastAsia"/>
                <w:highlight w:val="none"/>
                <w:lang w:val="en-US" w:eastAsia="zh-CN"/>
              </w:rPr>
              <w:t>空间布局约束-允许开发建设活动的要求</w:t>
            </w:r>
          </w:p>
        </w:tc>
        <w:tc>
          <w:tcPr>
            <w:tcW w:w="4531" w:type="dxa"/>
            <w:vAlign w:val="center"/>
          </w:tcPr>
          <w:p w14:paraId="15085609">
            <w:pPr>
              <w:pStyle w:val="22"/>
              <w:bidi w:val="0"/>
              <w:jc w:val="left"/>
              <w:rPr>
                <w:rFonts w:hint="default"/>
                <w:highlight w:val="none"/>
              </w:rPr>
            </w:pPr>
            <w:r>
              <w:rPr>
                <w:rFonts w:hint="default"/>
                <w:highlight w:val="none"/>
              </w:rPr>
              <w:t>在符合法律法规的前提下</w:t>
            </w:r>
            <w:r>
              <w:rPr>
                <w:rFonts w:hint="eastAsia"/>
                <w:highlight w:val="none"/>
                <w:lang w:eastAsia="zh-CN"/>
              </w:rPr>
              <w:t>，</w:t>
            </w:r>
            <w:r>
              <w:rPr>
                <w:rFonts w:hint="default"/>
                <w:highlight w:val="none"/>
              </w:rPr>
              <w:t>仅允许以下对生态功能不造成破坏的有限人为活动</w:t>
            </w:r>
            <w:r>
              <w:rPr>
                <w:rFonts w:hint="eastAsia"/>
                <w:highlight w:val="none"/>
                <w:lang w:eastAsia="zh-CN"/>
              </w:rPr>
              <w:t>：</w:t>
            </w:r>
            <w:r>
              <w:rPr>
                <w:rFonts w:hint="default"/>
                <w:highlight w:val="none"/>
              </w:rPr>
              <w:t>1、管护巡护、保护执法、科学研究、调查监测、测绘导航、防灾减灾救灾、军事国防等活动及相关的必要设施修筑。2、原住居民和其他合法权益主体，允许在不扩大现有建设用地、耕地、水产养殖规模和放牧强度</w:t>
            </w:r>
            <w:r>
              <w:rPr>
                <w:rFonts w:hint="eastAsia"/>
                <w:highlight w:val="none"/>
                <w:lang w:eastAsia="zh-CN"/>
              </w:rPr>
              <w:t>（</w:t>
            </w:r>
            <w:r>
              <w:rPr>
                <w:rFonts w:hint="default"/>
                <w:highlight w:val="none"/>
              </w:rPr>
              <w:t>符合草畜平管理规定</w:t>
            </w:r>
            <w:r>
              <w:rPr>
                <w:rFonts w:hint="eastAsia"/>
                <w:highlight w:val="none"/>
                <w:lang w:eastAsia="zh-CN"/>
              </w:rPr>
              <w:t>））</w:t>
            </w:r>
            <w:r>
              <w:rPr>
                <w:rFonts w:hint="default"/>
                <w:highlight w:val="none"/>
              </w:rPr>
              <w:t>的前提下，开展种植、放牧、捕捞、养殖</w:t>
            </w:r>
            <w:r>
              <w:rPr>
                <w:rFonts w:hint="eastAsia"/>
                <w:highlight w:val="none"/>
                <w:lang w:eastAsia="zh-CN"/>
              </w:rPr>
              <w:t>（</w:t>
            </w:r>
            <w:r>
              <w:rPr>
                <w:rFonts w:hint="default"/>
                <w:highlight w:val="none"/>
              </w:rPr>
              <w:t>不包括投礁型海洋牧场、围海养殖</w:t>
            </w:r>
            <w:r>
              <w:rPr>
                <w:rFonts w:hint="eastAsia"/>
                <w:highlight w:val="none"/>
                <w:lang w:eastAsia="zh-CN"/>
              </w:rPr>
              <w:t>）</w:t>
            </w:r>
            <w:r>
              <w:rPr>
                <w:rFonts w:hint="default"/>
                <w:highlight w:val="none"/>
              </w:rPr>
              <w:t>等活动，修筑生产生活设施。3、经依法批准的考古调查发掘、古生物化石调查发掘、标本采集和文物保护活动。4、按规定对人工商品林进行抚育采伐或以提升森林质量、优化栖息地、建设生物防火隔离带等为目的的树种更新</w:t>
            </w:r>
            <w:r>
              <w:rPr>
                <w:rFonts w:hint="eastAsia"/>
                <w:highlight w:val="none"/>
                <w:lang w:eastAsia="zh-CN"/>
              </w:rPr>
              <w:t>，</w:t>
            </w:r>
            <w:r>
              <w:rPr>
                <w:rFonts w:hint="default"/>
                <w:highlight w:val="none"/>
              </w:rPr>
              <w:t>依法开展的竹林采伐经营。5、不破坏生态功能的适度参观旅游、科普宣教及符合相关规划的配套性服务设施和相关的必要公共设施建设及维护。6、必须且无法避让、符合县级以上国土空间规划的线性基础设施、通讯和防洪供水设施建设和船舶航行、航道疏浚消淤等活动</w:t>
            </w:r>
            <w:r>
              <w:rPr>
                <w:rFonts w:hint="eastAsia"/>
                <w:highlight w:val="none"/>
                <w:lang w:eastAsia="zh-CN"/>
              </w:rPr>
              <w:t>；</w:t>
            </w:r>
            <w:r>
              <w:rPr>
                <w:rFonts w:hint="default"/>
                <w:highlight w:val="none"/>
              </w:rPr>
              <w:t>已有的合法水利、交通运输等设施运行维护改造。7、地质调查与矿产资源勘查开采。包括:基础地质调查和战略性矿产资源远景调查等公益性工作</w:t>
            </w:r>
            <w:r>
              <w:rPr>
                <w:rFonts w:hint="eastAsia"/>
                <w:highlight w:val="none"/>
                <w:lang w:eastAsia="zh-CN"/>
              </w:rPr>
              <w:t>；</w:t>
            </w:r>
            <w:r>
              <w:rPr>
                <w:rFonts w:hint="default"/>
                <w:highlight w:val="none"/>
              </w:rPr>
              <w:t>铀矿勘查开采活动，可办理矿业权登记</w:t>
            </w:r>
            <w:r>
              <w:rPr>
                <w:rFonts w:hint="eastAsia"/>
                <w:highlight w:val="none"/>
                <w:lang w:eastAsia="zh-CN"/>
              </w:rPr>
              <w:t>；</w:t>
            </w:r>
            <w:r>
              <w:rPr>
                <w:rFonts w:hint="default"/>
                <w:highlight w:val="none"/>
              </w:rPr>
              <w:t>已依法设立的油气探矿权继续勘查活动，可办理探矿权延续、变更</w:t>
            </w:r>
            <w:r>
              <w:rPr>
                <w:rFonts w:hint="eastAsia"/>
                <w:highlight w:val="none"/>
                <w:lang w:eastAsia="zh-CN"/>
              </w:rPr>
              <w:t>（</w:t>
            </w:r>
            <w:r>
              <w:rPr>
                <w:rFonts w:hint="default"/>
                <w:highlight w:val="none"/>
              </w:rPr>
              <w:t>不含扩大勘查区块范围</w:t>
            </w:r>
            <w:r>
              <w:rPr>
                <w:rFonts w:hint="eastAsia"/>
                <w:highlight w:val="none"/>
                <w:lang w:eastAsia="zh-CN"/>
              </w:rPr>
              <w:t>）</w:t>
            </w:r>
            <w:r>
              <w:rPr>
                <w:rFonts w:hint="default"/>
                <w:highlight w:val="none"/>
              </w:rPr>
              <w:t>、保留、注销</w:t>
            </w:r>
            <w:r>
              <w:rPr>
                <w:rFonts w:hint="eastAsia"/>
                <w:highlight w:val="none"/>
                <w:lang w:eastAsia="zh-CN"/>
              </w:rPr>
              <w:t>，</w:t>
            </w:r>
            <w:r>
              <w:rPr>
                <w:rFonts w:hint="default"/>
                <w:highlight w:val="none"/>
              </w:rPr>
              <w:t>当发现可供开采油气资源并探明储量时</w:t>
            </w:r>
            <w:r>
              <w:rPr>
                <w:rFonts w:hint="eastAsia"/>
                <w:highlight w:val="none"/>
                <w:lang w:eastAsia="zh-CN"/>
              </w:rPr>
              <w:t>，</w:t>
            </w:r>
            <w:r>
              <w:rPr>
                <w:rFonts w:hint="default"/>
                <w:highlight w:val="none"/>
              </w:rPr>
              <w:t>可将开采拟占用的地表范围依照国家相关规定调出生态保护红线</w:t>
            </w:r>
            <w:r>
              <w:rPr>
                <w:rFonts w:hint="eastAsia"/>
                <w:highlight w:val="none"/>
                <w:lang w:eastAsia="zh-CN"/>
              </w:rPr>
              <w:t>；</w:t>
            </w:r>
            <w:r>
              <w:rPr>
                <w:rFonts w:hint="default"/>
                <w:highlight w:val="none"/>
              </w:rPr>
              <w:t>已依法设立的油气采矿权不扩大用地范围，继续开采，可办理采矿权延续、变更</w:t>
            </w:r>
            <w:r>
              <w:rPr>
                <w:rFonts w:hint="eastAsia"/>
                <w:highlight w:val="none"/>
                <w:lang w:eastAsia="zh-CN"/>
              </w:rPr>
              <w:t>（</w:t>
            </w:r>
            <w:r>
              <w:rPr>
                <w:rFonts w:hint="default"/>
                <w:highlight w:val="none"/>
              </w:rPr>
              <w:t>不含扩大矿区范围</w:t>
            </w:r>
            <w:r>
              <w:rPr>
                <w:rFonts w:hint="eastAsia"/>
                <w:highlight w:val="none"/>
                <w:lang w:eastAsia="zh-CN"/>
              </w:rPr>
              <w:t>）</w:t>
            </w:r>
            <w:r>
              <w:rPr>
                <w:rFonts w:hint="default"/>
                <w:highlight w:val="none"/>
              </w:rPr>
              <w:t>、注销</w:t>
            </w:r>
            <w:r>
              <w:rPr>
                <w:rFonts w:hint="eastAsia"/>
                <w:highlight w:val="none"/>
                <w:lang w:eastAsia="zh-CN"/>
              </w:rPr>
              <w:t>；</w:t>
            </w:r>
            <w:r>
              <w:rPr>
                <w:rFonts w:hint="default"/>
                <w:highlight w:val="none"/>
              </w:rPr>
              <w:t>已依法设立的矿泉水和地热采矿权</w:t>
            </w:r>
            <w:r>
              <w:rPr>
                <w:rFonts w:hint="eastAsia"/>
                <w:highlight w:val="none"/>
                <w:lang w:eastAsia="zh-CN"/>
              </w:rPr>
              <w:t>，</w:t>
            </w:r>
            <w:r>
              <w:rPr>
                <w:rFonts w:hint="default"/>
                <w:highlight w:val="none"/>
              </w:rPr>
              <w:t>在不超出已经核定的生产规模、不新增生产设施的前提下继续开采，可办理采矿权延续、变更</w:t>
            </w:r>
            <w:r>
              <w:rPr>
                <w:rFonts w:hint="eastAsia"/>
                <w:highlight w:val="none"/>
                <w:lang w:eastAsia="zh-CN"/>
              </w:rPr>
              <w:t>（</w:t>
            </w:r>
            <w:r>
              <w:rPr>
                <w:rFonts w:hint="default"/>
                <w:highlight w:val="none"/>
              </w:rPr>
              <w:t>不含扩大矿区范围</w:t>
            </w:r>
            <w:r>
              <w:rPr>
                <w:rFonts w:hint="eastAsia"/>
                <w:highlight w:val="none"/>
                <w:lang w:eastAsia="zh-CN"/>
              </w:rPr>
              <w:t>）</w:t>
            </w:r>
            <w:r>
              <w:rPr>
                <w:rFonts w:hint="default"/>
                <w:highlight w:val="none"/>
              </w:rPr>
              <w:t>、注销</w:t>
            </w:r>
            <w:r>
              <w:rPr>
                <w:rFonts w:hint="eastAsia"/>
                <w:highlight w:val="none"/>
                <w:lang w:eastAsia="zh-CN"/>
              </w:rPr>
              <w:t>；</w:t>
            </w:r>
            <w:r>
              <w:rPr>
                <w:rFonts w:hint="default"/>
                <w:highlight w:val="none"/>
              </w:rPr>
              <w:t>已依法设立和新立饹、铜、镍、锂、钻、锆、钾盐、</w:t>
            </w:r>
            <w:r>
              <w:rPr>
                <w:rFonts w:hint="eastAsia"/>
                <w:highlight w:val="none"/>
                <w:lang w:eastAsia="zh-CN"/>
              </w:rPr>
              <w:t>（</w:t>
            </w:r>
            <w:r>
              <w:rPr>
                <w:rFonts w:hint="default"/>
                <w:highlight w:val="none"/>
              </w:rPr>
              <w:t>中</w:t>
            </w:r>
            <w:r>
              <w:rPr>
                <w:rFonts w:hint="eastAsia"/>
                <w:highlight w:val="none"/>
                <w:lang w:eastAsia="zh-CN"/>
              </w:rPr>
              <w:t>）</w:t>
            </w:r>
            <w:r>
              <w:rPr>
                <w:rFonts w:hint="default"/>
                <w:highlight w:val="none"/>
              </w:rPr>
              <w:t>重稀土矿等战略性矿产探矿权开展勘查活动，可办理探矿权登记</w:t>
            </w:r>
            <w:r>
              <w:rPr>
                <w:rFonts w:hint="eastAsia"/>
                <w:highlight w:val="none"/>
                <w:lang w:eastAsia="zh-CN"/>
              </w:rPr>
              <w:t>，</w:t>
            </w:r>
            <w:r>
              <w:rPr>
                <w:rFonts w:hint="default"/>
                <w:highlight w:val="none"/>
              </w:rPr>
              <w:t>因国家战略需要开展开采活动的，可办理采矿权登记。上述勘查开采活动,应落实减缓生态环境影响措施，严格执行绿色勘查、开采及矿山环境生态修复相关要求。8、依据县级以上国土空间规划和生态保护修复专项规划开展的生态修复。9、法律法规规定允许的其他人为活动。</w:t>
            </w:r>
          </w:p>
        </w:tc>
        <w:tc>
          <w:tcPr>
            <w:tcW w:w="1276" w:type="dxa"/>
            <w:vAlign w:val="center"/>
          </w:tcPr>
          <w:p w14:paraId="7D9A82F7">
            <w:pPr>
              <w:pStyle w:val="22"/>
              <w:bidi w:val="0"/>
              <w:rPr>
                <w:rFonts w:hint="eastAsia"/>
                <w:highlight w:val="none"/>
                <w:lang w:val="en-US" w:eastAsia="zh-CN"/>
              </w:rPr>
            </w:pPr>
            <w:r>
              <w:rPr>
                <w:rFonts w:hint="eastAsia"/>
                <w:highlight w:val="none"/>
                <w:lang w:val="en-US" w:eastAsia="zh-CN"/>
              </w:rPr>
              <w:t>符合</w:t>
            </w:r>
          </w:p>
        </w:tc>
      </w:tr>
      <w:tr w14:paraId="602F8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39" w:type="dxa"/>
            <w:gridSpan w:val="2"/>
            <w:vMerge w:val="continue"/>
            <w:vAlign w:val="center"/>
          </w:tcPr>
          <w:p w14:paraId="4B7C16A1">
            <w:pPr>
              <w:pStyle w:val="22"/>
              <w:bidi w:val="0"/>
              <w:rPr>
                <w:rFonts w:hint="default"/>
                <w:highlight w:val="none"/>
              </w:rPr>
            </w:pPr>
          </w:p>
        </w:tc>
        <w:tc>
          <w:tcPr>
            <w:tcW w:w="1273" w:type="dxa"/>
            <w:vAlign w:val="center"/>
          </w:tcPr>
          <w:p w14:paraId="2DFA2CB4">
            <w:pPr>
              <w:pStyle w:val="22"/>
              <w:bidi w:val="0"/>
              <w:rPr>
                <w:rFonts w:hint="default"/>
                <w:highlight w:val="none"/>
              </w:rPr>
            </w:pPr>
            <w:r>
              <w:rPr>
                <w:rFonts w:hint="default"/>
                <w:highlight w:val="none"/>
              </w:rPr>
              <w:t>空间布局约束-</w:t>
            </w:r>
            <w:r>
              <w:rPr>
                <w:rFonts w:hint="eastAsia"/>
                <w:highlight w:val="none"/>
                <w:lang w:val="en-US" w:eastAsia="zh-CN"/>
              </w:rPr>
              <w:t>限制</w:t>
            </w:r>
            <w:r>
              <w:rPr>
                <w:rFonts w:hint="default"/>
                <w:highlight w:val="none"/>
              </w:rPr>
              <w:t>开发建设活动的要求</w:t>
            </w:r>
          </w:p>
        </w:tc>
        <w:tc>
          <w:tcPr>
            <w:tcW w:w="4531" w:type="dxa"/>
            <w:vAlign w:val="center"/>
          </w:tcPr>
          <w:p w14:paraId="4A8E63CE">
            <w:pPr>
              <w:pStyle w:val="22"/>
              <w:bidi w:val="0"/>
              <w:jc w:val="left"/>
              <w:rPr>
                <w:rFonts w:hint="default"/>
                <w:highlight w:val="none"/>
              </w:rPr>
            </w:pPr>
            <w:r>
              <w:rPr>
                <w:rFonts w:hint="default"/>
                <w:highlight w:val="none"/>
              </w:rPr>
              <w:t>1、上述生态保护红线管控范围内有限人为活动中</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涉及新增建设用地审批的，在报批农用地转用、土地征收时，附省级人民政府出具符合生态保护红线内允许有限人为活动的认定意见。</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不涉及新增建设用地审批的，按有关规定进行管理,无明确规定的由省级人民政府制定具体监管办法。2、上述活动涉及自然保护地的，应征求林业和草原主管部门或自然保护地管理机构意见。3、上述活动和国家重大项目占用生态保护红线涉及临时用地的，按照自然资源邰关于规范临时用地管理的有关要求</w:t>
            </w:r>
            <w:r>
              <w:rPr>
                <w:rFonts w:hint="eastAsia"/>
                <w:highlight w:val="none"/>
                <w:lang w:eastAsia="zh-CN"/>
              </w:rPr>
              <w:t>，</w:t>
            </w:r>
            <w:r>
              <w:rPr>
                <w:rFonts w:hint="default"/>
                <w:highlight w:val="none"/>
              </w:rPr>
              <w:t>参照临时占用永久基木农田规定办理</w:t>
            </w:r>
            <w:r>
              <w:rPr>
                <w:rFonts w:hint="eastAsia"/>
                <w:highlight w:val="none"/>
                <w:lang w:eastAsia="zh-CN"/>
              </w:rPr>
              <w:t>，</w:t>
            </w:r>
            <w:r>
              <w:rPr>
                <w:rFonts w:hint="default"/>
                <w:highlight w:val="none"/>
              </w:rPr>
              <w:t>严格落实恢复责任。4、占用生态保护红线的国家重大项目，应严格落实生态环境分区管控要求</w:t>
            </w:r>
            <w:r>
              <w:rPr>
                <w:rFonts w:hint="eastAsia"/>
                <w:highlight w:val="none"/>
                <w:lang w:eastAsia="zh-CN"/>
              </w:rPr>
              <w:t>，</w:t>
            </w:r>
            <w:r>
              <w:rPr>
                <w:rFonts w:hint="default"/>
                <w:highlight w:val="none"/>
              </w:rPr>
              <w:t>依法开展环境影响评价。</w:t>
            </w:r>
          </w:p>
        </w:tc>
        <w:tc>
          <w:tcPr>
            <w:tcW w:w="1276" w:type="dxa"/>
            <w:vAlign w:val="center"/>
          </w:tcPr>
          <w:p w14:paraId="4EFD13FB">
            <w:pPr>
              <w:pStyle w:val="22"/>
              <w:bidi w:val="0"/>
              <w:rPr>
                <w:rFonts w:hint="eastAsia"/>
                <w:highlight w:val="none"/>
                <w:lang w:val="en-US" w:eastAsia="zh-CN"/>
              </w:rPr>
            </w:pPr>
            <w:r>
              <w:rPr>
                <w:rFonts w:hint="eastAsia"/>
                <w:highlight w:val="none"/>
                <w:lang w:val="en-US" w:eastAsia="zh-CN"/>
              </w:rPr>
              <w:t>符合</w:t>
            </w:r>
          </w:p>
        </w:tc>
      </w:tr>
      <w:tr w14:paraId="41AAA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39" w:type="dxa"/>
            <w:gridSpan w:val="2"/>
            <w:vMerge w:val="continue"/>
            <w:vAlign w:val="center"/>
          </w:tcPr>
          <w:p w14:paraId="1EB65E09">
            <w:pPr>
              <w:pStyle w:val="22"/>
              <w:bidi w:val="0"/>
              <w:rPr>
                <w:rFonts w:hint="default"/>
                <w:highlight w:val="none"/>
              </w:rPr>
            </w:pPr>
          </w:p>
        </w:tc>
        <w:tc>
          <w:tcPr>
            <w:tcW w:w="1273" w:type="dxa"/>
            <w:vAlign w:val="center"/>
          </w:tcPr>
          <w:p w14:paraId="638EAAD5">
            <w:pPr>
              <w:pStyle w:val="22"/>
              <w:bidi w:val="0"/>
              <w:rPr>
                <w:rFonts w:hint="default"/>
                <w:highlight w:val="none"/>
                <w:lang w:val="en-US" w:eastAsia="zh-CN"/>
              </w:rPr>
            </w:pPr>
            <w:r>
              <w:rPr>
                <w:rFonts w:hint="default"/>
                <w:highlight w:val="none"/>
              </w:rPr>
              <w:t>空间布局约束-</w:t>
            </w:r>
            <w:r>
              <w:rPr>
                <w:rFonts w:hint="eastAsia"/>
                <w:highlight w:val="none"/>
                <w:lang w:val="en-US" w:eastAsia="zh-CN"/>
              </w:rPr>
              <w:t>不符合空间布局要求活动的退出要求</w:t>
            </w:r>
          </w:p>
        </w:tc>
        <w:tc>
          <w:tcPr>
            <w:tcW w:w="4531" w:type="dxa"/>
            <w:vAlign w:val="center"/>
          </w:tcPr>
          <w:p w14:paraId="176D042B">
            <w:pPr>
              <w:pStyle w:val="22"/>
              <w:bidi w:val="0"/>
              <w:jc w:val="left"/>
              <w:rPr>
                <w:rFonts w:hint="default"/>
                <w:highlight w:val="none"/>
              </w:rPr>
            </w:pPr>
            <w:r>
              <w:rPr>
                <w:rFonts w:hint="default"/>
                <w:highlight w:val="none"/>
              </w:rPr>
              <w:t>生态保护红线经国务院批准后，对需逐步有序退出的矿业权等</w:t>
            </w:r>
            <w:r>
              <w:rPr>
                <w:rFonts w:hint="eastAsia"/>
                <w:highlight w:val="none"/>
                <w:lang w:eastAsia="zh-CN"/>
              </w:rPr>
              <w:t>，</w:t>
            </w:r>
            <w:r>
              <w:rPr>
                <w:rFonts w:hint="default"/>
                <w:highlight w:val="none"/>
              </w:rPr>
              <w:t>由省级人民政府按照尊重历史、实事求是的原则，结合实际制定退出计划</w:t>
            </w:r>
            <w:r>
              <w:rPr>
                <w:rFonts w:hint="eastAsia"/>
                <w:highlight w:val="none"/>
                <w:lang w:eastAsia="zh-CN"/>
              </w:rPr>
              <w:t>，</w:t>
            </w:r>
            <w:r>
              <w:rPr>
                <w:rFonts w:hint="default"/>
                <w:highlight w:val="none"/>
              </w:rPr>
              <w:t>明确时序安排、补偿安置、生态修复等要求</w:t>
            </w:r>
            <w:r>
              <w:rPr>
                <w:rFonts w:hint="eastAsia"/>
                <w:highlight w:val="none"/>
                <w:lang w:eastAsia="zh-CN"/>
              </w:rPr>
              <w:t>，</w:t>
            </w:r>
            <w:r>
              <w:rPr>
                <w:rFonts w:hint="default"/>
                <w:highlight w:val="none"/>
              </w:rPr>
              <w:t>确保生态安全和社会稳定。</w:t>
            </w:r>
          </w:p>
        </w:tc>
        <w:tc>
          <w:tcPr>
            <w:tcW w:w="1276" w:type="dxa"/>
            <w:vAlign w:val="center"/>
          </w:tcPr>
          <w:p w14:paraId="7CAF5463">
            <w:pPr>
              <w:pStyle w:val="22"/>
              <w:bidi w:val="0"/>
              <w:rPr>
                <w:rFonts w:hint="eastAsia"/>
                <w:highlight w:val="none"/>
                <w:lang w:val="en-US" w:eastAsia="zh-CN"/>
              </w:rPr>
            </w:pPr>
            <w:r>
              <w:rPr>
                <w:rFonts w:hint="eastAsia"/>
                <w:highlight w:val="none"/>
                <w:lang w:val="en-US" w:eastAsia="zh-CN"/>
              </w:rPr>
              <w:t>符合</w:t>
            </w:r>
          </w:p>
        </w:tc>
      </w:tr>
    </w:tbl>
    <w:p w14:paraId="21723E1A">
      <w:pPr>
        <w:ind w:left="0" w:leftChars="0" w:firstLine="0" w:firstLineChars="0"/>
        <w:rPr>
          <w:rFonts w:hint="default" w:ascii="Times New Roman" w:hAnsi="Times New Roman" w:cs="Times New Roman"/>
          <w:highlight w:val="none"/>
          <w:lang w:val="en-US" w:eastAsia="zh-CN"/>
        </w:rPr>
      </w:pPr>
    </w:p>
    <w:p w14:paraId="5B54E662">
      <w:pPr>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4744E16A">
      <w:pPr>
        <w:pStyle w:val="2"/>
        <w:bidi w:val="0"/>
        <w:rPr>
          <w:rFonts w:hint="default"/>
          <w:highlight w:val="none"/>
          <w:lang w:val="en-US" w:eastAsia="zh-CN"/>
        </w:rPr>
      </w:pPr>
      <w:bookmarkStart w:id="33" w:name="_Toc18678"/>
      <w:r>
        <w:rPr>
          <w:rFonts w:hint="default"/>
          <w:highlight w:val="none"/>
          <w:lang w:val="en-US" w:eastAsia="zh-CN"/>
        </w:rPr>
        <w:t>现状调查与评价</w:t>
      </w:r>
      <w:bookmarkEnd w:id="33"/>
    </w:p>
    <w:p w14:paraId="2B1224C4">
      <w:pPr>
        <w:pStyle w:val="3"/>
        <w:bidi w:val="0"/>
        <w:rPr>
          <w:rFonts w:hint="default"/>
          <w:highlight w:val="none"/>
          <w:lang w:val="en-US" w:eastAsia="zh-CN"/>
        </w:rPr>
      </w:pPr>
      <w:bookmarkStart w:id="34" w:name="_Toc6417"/>
      <w:r>
        <w:rPr>
          <w:rFonts w:hint="default"/>
          <w:highlight w:val="none"/>
          <w:lang w:val="en-US" w:eastAsia="zh-CN"/>
        </w:rPr>
        <w:t>自然环境概况</w:t>
      </w:r>
      <w:bookmarkEnd w:id="34"/>
    </w:p>
    <w:p w14:paraId="3B5FB8E4">
      <w:pPr>
        <w:pStyle w:val="4"/>
        <w:bidi w:val="0"/>
        <w:rPr>
          <w:rFonts w:hint="default"/>
          <w:highlight w:val="none"/>
          <w:lang w:val="en-US" w:eastAsia="zh-CN"/>
        </w:rPr>
      </w:pPr>
      <w:r>
        <w:rPr>
          <w:rFonts w:hint="default"/>
          <w:highlight w:val="none"/>
          <w:lang w:val="en-US" w:eastAsia="zh-CN"/>
        </w:rPr>
        <w:t>地理位置</w:t>
      </w:r>
    </w:p>
    <w:p w14:paraId="56AFEB2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乡城县位于甘孜州西南部，横断山脉中北段，东邻稻城县，北接理塘县，西与巴塘县、得荣县毗邻，南与云南省香格里拉市接壤。地跨东经99°22′~100°04′，北纬28°34′~29°39′，全县幅员面积5016km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县城在平面上成南北带状分布，南北长120.7km，东西宽68.6km，县城距州府康定488km，距省会成都860km，距云南香格里拉市222km，距昆明930km。乡城县辖4个镇、8个乡、83个行政村。4镇为香巴拉镇、尼斯镇、青德镇、热打镇，8乡分别为沙贡乡、定波乡、青麦乡、正斗乡、洞松乡、然乌乡、水洼乡、白依乡。乡城县属金沙江流域，境内水系发达，水能贮量丰富。有三条较大的河流即玛依河、硕曲河、定曲河，由北向南流经县域。乡城县地跨高山峡谷和盆中低山地貌区，地形复杂、山脉纵贯、河流下切，地势西北高、东南低。地处横断山脉中北段，青藏滇“歹”字型构造体系中部。三大河流两岸成羽毛状排列的冲沟、支沟比比皆是，将全境分割解体，地面极为崎岖破碎，沿各河流两岸均可见两级谷肩和四级以上阶地，并组成局部冰碛</w:t>
      </w:r>
      <w:r>
        <w:rPr>
          <w:rFonts w:hint="eastAsia" w:cs="Times New Roman"/>
          <w:highlight w:val="none"/>
          <w:lang w:val="en-US" w:eastAsia="zh-CN"/>
        </w:rPr>
        <w:t>-</w:t>
      </w:r>
      <w:r>
        <w:rPr>
          <w:rFonts w:hint="default" w:ascii="Times New Roman" w:hAnsi="Times New Roman" w:cs="Times New Roman"/>
          <w:highlight w:val="none"/>
          <w:lang w:val="en-US" w:eastAsia="zh-CN"/>
        </w:rPr>
        <w:t>洪积或台地。定曲、玛依河谷多为一、二级阶地，硕曲河以上三级阶地分布最广，尤以东岸最为发育，是乡城县农业生产中心。由于乡城县是以山地为主的地貌条件，高低相差悬殊，使土壤、气候、植被等自然景观及农业生产具有明显的垂直分布规律。</w:t>
      </w:r>
    </w:p>
    <w:p w14:paraId="0CC5BA6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冷龙沟为硕曲右岸一级支流，定曲河左岸二级支流。硕曲河为发源于巴塘东南，经理塘县邓波乡入境，纵贯沙贡乡、水洼乡、香巴拉镇、青德镇、青麦乡、洞松乡6个乡镇入云南境。境内流长121km，流域面积为1669km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河流深切，水流湍急，河床平均比降为7‰。定曲河发源于省理塘县热柯区沙鲁里山西侧热柯哈拉西北，金沙江上游左岸一级支流，自北向南流经理塘、巴塘、乡城、得荣四县，于得荣县奔都桥左纳玛依河、于古学大桥与其最大支流硕曲河汇合，最终在古学水文站以下汇入金沙江。河道全长226km，流域面积12213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。定曲流经巴塘县波密乡然后流入乡城县经定波乡、正斗乡，再流入德荣县后注入金沙江。乡城境内流长56km，流域面积为1155km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，平均比降8.0‰。玛依河发源于县境北部结略山南麓，经热打镇、白依乡流入得荣县境。县境内流长123km，流域面积1850km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上游河流浅切，河道平均比降5‰。流域已建电站两座，总装机容量165kW。除硕曲、定曲、玛依河外，县境内属三大河流的一级支流有21条，其中集水面积100km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以上的有10条。湖泊（措）是乡城县的天然水库，主要分布在硕曲河以东的火成岩地区，是硕曲河的主要补给水源。乡城县共计大小海子44个，总蓄水量为1390.4万m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，其中最大的高山海子是尼斯乡的次林措，容量129.2万m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。县域东部有33座高原湖泊，靠冰雪补给水量，形成天然水库，总蓄水量为1390.4万m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本工程位于硕曲右岸一级支流冷龙沟上游，冷龙沟发源于发源香巴拉镇北部于格绕垭卡尼色拥，乡南流经尼色拥村流至马安山折向东南，在冷龙村左纳热拥沟，在乡城县城处转向东流，在热卡村附近流入硕曲。全流域面积79.0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，河长18.2km，比降68.704‰。本工程拦河坝位于冷龙沟上游，坝线位于供水厂上游900m处，坝线以上流域面积27.5km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河长7.43km，比降141.431‰。流域内植被覆盖较好，主要分部在流域中下游河谷地带，植物种群多样，海拔4000m以上为高山草甸和高山灌丛草旬，海拔3000～4000m多为针阔叶混交林，海拔2500～3000m为河谷早生灌木丛。流域在河流切割较深地段，地形坡度较陡，取水口以上森林植被较好，人烟稀少，人类活动影响不大，因此该流域水土流失相对较轻，四川省多年平均输沙模数100~200t/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，属低值区。根据调查流域。冷龙沟两岸物理地质作用较强烈，不良物理地质现象有崩塌、坍滑及滑坡，局部有小规模泥石流分布。根据现场访问，冷龙沟近代可访问时间范围内未爆发过泥石流，雨季为洪流。</w:t>
      </w:r>
    </w:p>
    <w:p w14:paraId="084D0608">
      <w:pPr>
        <w:ind w:left="0" w:leftChars="0" w:firstLine="0" w:firstLineChars="0"/>
        <w:rPr>
          <w:rFonts w:hint="default" w:ascii="Times New Roman" w:hAnsi="Times New Roman" w:cs="Times New Roman"/>
          <w:highlight w:val="none"/>
          <w:lang w:val="en-US" w:eastAsia="zh-CN"/>
        </w:rPr>
      </w:pPr>
      <w:r>
        <w:rPr>
          <w:sz w:val="24"/>
          <w:highlight w:val="none"/>
        </w:rPr>
        <mc:AlternateContent>
          <mc:Choice Requires="wps">
            <w:drawing>
              <wp:anchor distT="0" distB="0" distL="114300" distR="114300" simplePos="0" relativeHeight="251661312" behindDoc="0" locked="0" layoutInCell="1" allowOverlap="1">
                <wp:simplePos x="0" y="0"/>
                <wp:positionH relativeFrom="column">
                  <wp:posOffset>2026920</wp:posOffset>
                </wp:positionH>
                <wp:positionV relativeFrom="paragraph">
                  <wp:posOffset>4805680</wp:posOffset>
                </wp:positionV>
                <wp:extent cx="1436370" cy="381000"/>
                <wp:effectExtent l="0" t="0" r="0" b="0"/>
                <wp:wrapNone/>
                <wp:docPr id="22" name="文本框 22"/>
                <wp:cNvGraphicFramePr/>
                <a:graphic xmlns:a="http://schemas.openxmlformats.org/drawingml/2006/main">
                  <a:graphicData uri="http://schemas.microsoft.com/office/word/2010/wordprocessingShape">
                    <wps:wsp>
                      <wps:cNvSpPr txBox="1"/>
                      <wps:spPr>
                        <a:xfrm>
                          <a:off x="3193415" y="5720080"/>
                          <a:ext cx="143637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DEF379">
                            <w:pPr>
                              <w:ind w:left="0" w:leftChars="0" w:firstLine="0" w:firstLineChars="0"/>
                              <w:rPr>
                                <w:rFonts w:hint="eastAsia" w:ascii="黑体" w:hAnsi="黑体" w:eastAsia="黑体" w:cs="黑体"/>
                                <w:b/>
                                <w:bCs/>
                                <w:color w:val="FF11F1"/>
                                <w:sz w:val="24"/>
                                <w:szCs w:val="24"/>
                                <w:lang w:val="en-US" w:eastAsia="zh-CN"/>
                              </w:rPr>
                            </w:pPr>
                            <w:r>
                              <w:rPr>
                                <w:rFonts w:hint="eastAsia" w:ascii="黑体" w:hAnsi="黑体" w:eastAsia="黑体" w:cs="黑体"/>
                                <w:b/>
                                <w:bCs/>
                                <w:color w:val="FF11F1"/>
                                <w:sz w:val="24"/>
                                <w:szCs w:val="24"/>
                                <w:lang w:val="en-US" w:eastAsia="zh-CN"/>
                              </w:rPr>
                              <w:t>冷龙沟流域范围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6pt;margin-top:378.4pt;height:30pt;width:113.1pt;z-index:251661312;mso-width-relative:page;mso-height-relative:page;" filled="f" stroked="f" coordsize="21600,21600" o:gfxdata="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RUZ/rcAAAACwEAAA8AAAAA&#10;AAAAAQAgAAAAIgAAAGRycy9kb3ducmV2LnhtbFBLAQIUABQAAAAIAIdO4kDCs5RHSQIAAHQEAAAO&#10;AAAAAAAAAAEAIAAAACsBAABkcnMvZTJvRG9jLnhtbFBLBQYAAAAABgAGAFkBAADmBQAAAAA=&#10;">
                <v:fill on="f" focussize="0,0"/>
                <v:stroke on="f" weight="0.5pt"/>
                <v:imagedata o:title=""/>
                <o:lock v:ext="edit" aspectratio="f"/>
                <v:textbox>
                  <w:txbxContent>
                    <w:p w14:paraId="21DEF379">
                      <w:pPr>
                        <w:ind w:left="0" w:leftChars="0" w:firstLine="0" w:firstLineChars="0"/>
                        <w:rPr>
                          <w:rFonts w:hint="eastAsia" w:ascii="黑体" w:hAnsi="黑体" w:eastAsia="黑体" w:cs="黑体"/>
                          <w:b/>
                          <w:bCs/>
                          <w:color w:val="FF11F1"/>
                          <w:sz w:val="24"/>
                          <w:szCs w:val="24"/>
                          <w:lang w:val="en-US" w:eastAsia="zh-CN"/>
                        </w:rPr>
                      </w:pPr>
                      <w:r>
                        <w:rPr>
                          <w:rFonts w:hint="eastAsia" w:ascii="黑体" w:hAnsi="黑体" w:eastAsia="黑体" w:cs="黑体"/>
                          <w:b/>
                          <w:bCs/>
                          <w:color w:val="FF11F1"/>
                          <w:sz w:val="24"/>
                          <w:szCs w:val="24"/>
                          <w:lang w:val="en-US" w:eastAsia="zh-CN"/>
                        </w:rPr>
                        <w:t>冷龙沟流域范围</w:t>
                      </w:r>
                    </w:p>
                  </w:txbxContent>
                </v:textbox>
              </v:shape>
            </w:pict>
          </mc:Fallback>
        </mc:AlternateContent>
      </w:r>
      <w:r>
        <w:rPr>
          <w:sz w:val="24"/>
          <w:highlight w:val="none"/>
        </w:rPr>
        <mc:AlternateContent>
          <mc:Choice Requires="wps">
            <w:drawing>
              <wp:anchor distT="0" distB="0" distL="114300" distR="114300" simplePos="0" relativeHeight="251660288" behindDoc="0" locked="0" layoutInCell="1" allowOverlap="1">
                <wp:simplePos x="0" y="0"/>
                <wp:positionH relativeFrom="column">
                  <wp:posOffset>2646045</wp:posOffset>
                </wp:positionH>
                <wp:positionV relativeFrom="paragraph">
                  <wp:posOffset>4607560</wp:posOffset>
                </wp:positionV>
                <wp:extent cx="269875" cy="229870"/>
                <wp:effectExtent l="8255" t="0" r="7620" b="17780"/>
                <wp:wrapNone/>
                <wp:docPr id="21" name="直接箭头连接符 21"/>
                <wp:cNvGraphicFramePr/>
                <a:graphic xmlns:a="http://schemas.openxmlformats.org/drawingml/2006/main">
                  <a:graphicData uri="http://schemas.microsoft.com/office/word/2010/wordprocessingShape">
                    <wps:wsp>
                      <wps:cNvCnPr/>
                      <wps:spPr>
                        <a:xfrm flipV="1">
                          <a:off x="3773170" y="5735955"/>
                          <a:ext cx="269875" cy="229870"/>
                        </a:xfrm>
                        <a:prstGeom prst="straightConnector1">
                          <a:avLst/>
                        </a:prstGeom>
                        <a:ln w="25400">
                          <a:solidFill>
                            <a:srgbClr val="FF11F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8.35pt;margin-top:362.8pt;height:18.1pt;width:21.25pt;z-index:251660288;mso-width-relative:page;mso-height-relative:page;" filled="f" stroked="t" coordsize="21600,21600" o:gfxdata="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GrhYO3AAAAAsBAAAPAAAAAAAAAAEAIAAAACIAAABkcnMvZG93bnJldi54bWxQSwECFAAUAAAA&#10;CACHTuJAt/ue2CMCAAD7AwAADgAAAAAAAAABACAAAAArAQAAZHJzL2Uyb0RvYy54bWxQSwUGAAAA&#10;AAYABgBZAQAAwAUAAAAA&#10;">
                <v:fill on="f" focussize="0,0"/>
                <v:stroke weight="2pt" color="#FF11F1 [3204]" miterlimit="8" joinstyle="miter" endarrow="open"/>
                <v:imagedata o:title=""/>
                <o:lock v:ext="edit" aspectratio="f"/>
              </v:shape>
            </w:pict>
          </mc:Fallback>
        </mc:AlternateContent>
      </w:r>
      <w:r>
        <w:rPr>
          <w:rFonts w:hint="default" w:ascii="Times New Roman" w:hAnsi="Times New Roman" w:cs="Times New Roman"/>
          <w:highlight w:val="none"/>
          <w:lang w:val="en-US" w:eastAsia="zh-CN"/>
        </w:rPr>
        <w:drawing>
          <wp:inline distT="0" distB="0" distL="114300" distR="114300">
            <wp:extent cx="5271135" cy="7456170"/>
            <wp:effectExtent l="0" t="0" r="5715" b="11430"/>
            <wp:docPr id="20" name="图片 20" descr="项目范围及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项目范围及水系图"/>
                    <pic:cNvPicPr>
                      <a:picLocks noChangeAspect="1"/>
                    </pic:cNvPicPr>
                  </pic:nvPicPr>
                  <pic:blipFill>
                    <a:blip r:embed="rId17"/>
                    <a:stretch>
                      <a:fillRect/>
                    </a:stretch>
                  </pic:blipFill>
                  <pic:spPr>
                    <a:xfrm>
                      <a:off x="0" y="0"/>
                      <a:ext cx="5271135" cy="7456170"/>
                    </a:xfrm>
                    <a:prstGeom prst="rect">
                      <a:avLst/>
                    </a:prstGeom>
                    <a:ln w="28575" cmpd="sng">
                      <a:noFill/>
                      <a:prstDash val="solid"/>
                    </a:ln>
                  </pic:spPr>
                </pic:pic>
              </a:graphicData>
            </a:graphic>
          </wp:inline>
        </w:drawing>
      </w:r>
    </w:p>
    <w:p w14:paraId="2F28318D">
      <w:pPr>
        <w:pStyle w:val="11"/>
        <w:ind w:left="0" w:leftChars="0" w:firstLine="0" w:firstLineChars="0"/>
        <w:rPr>
          <w:rFonts w:hint="default" w:ascii="Times New Roman" w:hAnsi="Times New Roman" w:eastAsia="黑体" w:cs="Times New Roman"/>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5</w:t>
      </w:r>
      <w:r>
        <w:rPr>
          <w:highlight w:val="none"/>
        </w:rPr>
        <w:fldChar w:fldCharType="end"/>
      </w:r>
      <w:r>
        <w:rPr>
          <w:rFonts w:hint="eastAsia"/>
          <w:highlight w:val="none"/>
          <w:lang w:val="en-US" w:eastAsia="zh-CN"/>
        </w:rPr>
        <w:t xml:space="preserve"> 乡城县水系图</w:t>
      </w:r>
    </w:p>
    <w:p w14:paraId="70DD6AAE">
      <w:pPr>
        <w:pStyle w:val="4"/>
        <w:bidi w:val="0"/>
        <w:rPr>
          <w:rFonts w:hint="default"/>
          <w:highlight w:val="none"/>
          <w:lang w:val="en-US" w:eastAsia="zh-CN"/>
        </w:rPr>
      </w:pPr>
      <w:r>
        <w:rPr>
          <w:rFonts w:hint="default"/>
          <w:highlight w:val="none"/>
          <w:lang w:val="en-US" w:eastAsia="zh-CN"/>
        </w:rPr>
        <w:t>地形地貌</w:t>
      </w:r>
    </w:p>
    <w:p w14:paraId="1FC7392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地跨高山峡谷和盆中低山地貌区，地形复杂、山脉纵贯、河流下切，地势西北高、东南低。地处横断山脉中北段，青藏滇“歹”字型构造体系中部。三大河流两岸成羽毛状排列的冲沟、支沟比比皆是，将全境分割解体，地面极为崎岖破碎，沿各河流两岸均可见两级谷肩和四级以上阶地，并组成局部冰碛</w:t>
      </w:r>
      <w:r>
        <w:rPr>
          <w:rFonts w:hint="eastAsia" w:cs="Times New Roman"/>
          <w:highlight w:val="none"/>
          <w:lang w:val="en-US" w:eastAsia="zh-CN"/>
        </w:rPr>
        <w:t>-</w:t>
      </w:r>
      <w:r>
        <w:rPr>
          <w:rFonts w:hint="default" w:ascii="Times New Roman" w:hAnsi="Times New Roman" w:cs="Times New Roman"/>
          <w:highlight w:val="none"/>
          <w:lang w:val="en-US" w:eastAsia="zh-CN"/>
        </w:rPr>
        <w:t>洪积或台地。定曲、玛依河谷多为一、二级阶地，硕曲河以上三级阶地分布最广，尤以东岸最为发育，是乡城县农业生产中心。由于乡城县是以山地为主的地貌条件，高低相差悬殊，使土壤、气候、植被等自然景观及农业生产具有明显的垂直分布规律。</w:t>
      </w:r>
    </w:p>
    <w:p w14:paraId="538186A3">
      <w:pPr>
        <w:ind w:left="0" w:leftChars="0" w:firstLine="0" w:firstLineChars="0"/>
        <w:jc w:val="center"/>
        <w:rPr>
          <w:rFonts w:hint="eastAsia" w:ascii="宋体" w:hAnsi="宋体" w:cs="宋体"/>
          <w:sz w:val="28"/>
          <w:highlight w:val="none"/>
        </w:rPr>
      </w:pPr>
      <w:r>
        <w:rPr>
          <w:rFonts w:hint="eastAsia" w:ascii="宋体" w:hAnsi="宋体" w:cs="宋体"/>
          <w:sz w:val="28"/>
          <w:highlight w:val="none"/>
        </w:rPr>
        <w:drawing>
          <wp:inline distT="0" distB="0" distL="114300" distR="114300">
            <wp:extent cx="4554220" cy="5981065"/>
            <wp:effectExtent l="34925" t="34925" r="40005" b="41910"/>
            <wp:docPr id="23" name="图片 1" descr="页面提取自－乡城县全域旅游发展规划（2020-2030）【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页面提取自－乡城县全域旅游发展规划（2020-2030）【0622】"/>
                    <pic:cNvPicPr>
                      <a:picLocks noChangeAspect="1"/>
                    </pic:cNvPicPr>
                  </pic:nvPicPr>
                  <pic:blipFill>
                    <a:blip r:embed="rId18"/>
                    <a:srcRect l="3702" r="455" b="360"/>
                    <a:stretch>
                      <a:fillRect/>
                    </a:stretch>
                  </pic:blipFill>
                  <pic:spPr>
                    <a:xfrm>
                      <a:off x="0" y="0"/>
                      <a:ext cx="4554220" cy="5981065"/>
                    </a:xfrm>
                    <a:prstGeom prst="rect">
                      <a:avLst/>
                    </a:prstGeom>
                    <a:noFill/>
                    <a:ln w="34925" cmpd="thickThin">
                      <a:solidFill>
                        <a:schemeClr val="tx1"/>
                      </a:solidFill>
                      <a:prstDash val="solid"/>
                    </a:ln>
                  </pic:spPr>
                </pic:pic>
              </a:graphicData>
            </a:graphic>
          </wp:inline>
        </w:drawing>
      </w:r>
    </w:p>
    <w:p w14:paraId="5C054CF8">
      <w:pPr>
        <w:pStyle w:val="11"/>
        <w:ind w:left="0" w:leftChars="0" w:firstLine="0" w:firstLineChars="0"/>
        <w:rPr>
          <w:rFonts w:hint="default" w:ascii="宋体" w:hAnsi="宋体" w:eastAsia="黑体" w:cs="宋体"/>
          <w:sz w:val="28"/>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6</w:t>
      </w:r>
      <w:r>
        <w:rPr>
          <w:highlight w:val="none"/>
        </w:rPr>
        <w:fldChar w:fldCharType="end"/>
      </w:r>
      <w:r>
        <w:rPr>
          <w:rFonts w:hint="eastAsia"/>
          <w:highlight w:val="none"/>
          <w:lang w:val="en-US" w:eastAsia="zh-CN"/>
        </w:rPr>
        <w:t xml:space="preserve"> 乡城县地貌类型图</w:t>
      </w:r>
    </w:p>
    <w:p w14:paraId="18C49CD1">
      <w:pPr>
        <w:pStyle w:val="4"/>
        <w:bidi w:val="0"/>
        <w:rPr>
          <w:rFonts w:hint="default"/>
          <w:highlight w:val="none"/>
          <w:lang w:val="en-US" w:eastAsia="zh-CN"/>
        </w:rPr>
      </w:pPr>
      <w:r>
        <w:rPr>
          <w:rFonts w:hint="default"/>
          <w:highlight w:val="none"/>
          <w:lang w:val="en-US" w:eastAsia="zh-CN"/>
        </w:rPr>
        <w:t>气候气象</w:t>
      </w:r>
    </w:p>
    <w:p w14:paraId="12F0875F">
      <w:pPr>
        <w:bidi w:val="0"/>
        <w:rPr>
          <w:rFonts w:hint="default" w:ascii="Times New Roman" w:hAnsi="Times New Roman" w:cs="Times New Roman"/>
          <w:highlight w:val="none"/>
          <w:lang w:val="en-US" w:eastAsia="zh-CN"/>
        </w:rPr>
      </w:pPr>
      <w:r>
        <w:rPr>
          <w:rFonts w:hint="default" w:ascii="Times New Roman" w:hAnsi="Times New Roman" w:cs="Times New Roman"/>
          <w:color w:val="000000" w:themeColor="text1"/>
          <w:sz w:val="24"/>
          <w:highlight w:val="none"/>
          <w14:textFill>
            <w14:solidFill>
              <w14:schemeClr w14:val="tx1"/>
            </w14:solidFill>
          </w14:textFill>
        </w:rPr>
        <w:t>乡城县属于大陆性季风高原型气候。地表结构和大气环流形势在乡城县自然区域分异上起了主导作用。其气候特点：雨量少而集中，干湿季分明，日照充足，长冬无夏，春秋相连，雨热同季，气温年较差小，日差较大。由于地势高耸，地形复杂，海拔悬殊，具有明显的地域性分异，垂直变化尤为突出，海拔每升高100m气温下降0.98℃，降水则增多30～40mm，但在海拔4000m以上的地带降水量反而呈递减。根据乡城县气象站气象资料统计，乡城县多年平均气温10.7℃，最热月是6月、7月份，月平均气温17.7℃，最冷月是12月、1月，月平均气温2.6℃～1.9℃，极端最高气温34.4℃（出现在7月），极端最低气温-14.4℃（出现在1月）；多年平均相对湿度50%，7～9月相对湿度最高，最高月平均相对湿度74%（出现在8月），12月、1～3月相对湿度最低，最低月平均相对湿度33%（出现在1月）；多年平均降水量447.6mm，主要集中在6～9月，占全年降水量的87%，12月、1～3月的降水量仅占全年降水量的1.4%，多年平均最大一日暴雨量31.3mm，其中最大的一日暴雨量仅54.1mm（出现在1996年8月23日）；多年平均风速2.8m/s，瞬时最大风速24m/s，相应风向SSE；多年平均日照数2066h；多年平均蒸发量2323.8mm；多年平均无霜日163d。</w:t>
      </w:r>
    </w:p>
    <w:p w14:paraId="6AFDA8BA">
      <w:pPr>
        <w:pStyle w:val="4"/>
        <w:bidi w:val="0"/>
        <w:rPr>
          <w:rFonts w:hint="default"/>
          <w:highlight w:val="none"/>
          <w:lang w:val="en-US" w:eastAsia="zh-CN"/>
        </w:rPr>
      </w:pPr>
      <w:r>
        <w:rPr>
          <w:rFonts w:hint="default"/>
          <w:highlight w:val="none"/>
          <w:lang w:val="en-US" w:eastAsia="zh-CN"/>
        </w:rPr>
        <w:t>水文地质</w:t>
      </w:r>
    </w:p>
    <w:p w14:paraId="23EB0A7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无相关水文资料。但干流硕曲上原建有乡城站，1969年10月撤消；西侧定曲干流上有奔都、古学水文站；相邻木里河（理塘河）上游有濯桑站，中、下游有呷姑站，均具有较长时间的系列水文观测资料；邻近流域巴楚河上有桃园子水文站。硕曲河流域与木里河（理塘河）均发源于海子山，具有相近似的产流条件，下垫面情况相似。选择移用濯桑水文站分期洪水成果。根据濯桑实测洪水资料分析见，6～9月为主汛期，4、5月为汛前过渡期，10、11月为汛后过渡期，12月～翌年3月为枯水期。为了满足施工洪水设计要求，将全年分为12~翌年3月、4月、5月、6~9月、10月、11月共6个分期。其中主汛期采用年最大设计洪水成果，其余月份按定时段最大值法选样，得到各时段最大流量系列进行频率计算，用P-n型曲线适线，计算求得各时段分期洪水成果。坝址分期设计洪水，根据濯桑水文站分期设计洪水成果，采用按面积比的n次方（枯水期n=1，汛前汛后过渡期n=0.8）移用，主汛期采用设计洪水。</w:t>
      </w:r>
    </w:p>
    <w:p w14:paraId="5D7B7006">
      <w:pPr>
        <w:pStyle w:val="4"/>
        <w:bidi w:val="0"/>
        <w:rPr>
          <w:rFonts w:hint="default"/>
          <w:highlight w:val="none"/>
          <w:lang w:val="en-US" w:eastAsia="zh-CN"/>
        </w:rPr>
      </w:pPr>
      <w:r>
        <w:rPr>
          <w:rFonts w:hint="default"/>
          <w:highlight w:val="none"/>
          <w:lang w:val="en-US" w:eastAsia="zh-CN"/>
        </w:rPr>
        <w:t>土壤</w:t>
      </w:r>
      <w:r>
        <w:rPr>
          <w:rFonts w:hint="eastAsia"/>
          <w:highlight w:val="none"/>
          <w:lang w:val="en-US" w:eastAsia="zh-CN"/>
        </w:rPr>
        <w:t>概况</w:t>
      </w:r>
    </w:p>
    <w:p w14:paraId="0DBBE28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流域所在的香巴拉镇土壤类型主要为褐土，包括夹石褐砂土和乡城褐砂土两种。夹石母质为砂页岩风化的残坡积物，土壤p</w:t>
      </w:r>
      <w:r>
        <w:rPr>
          <w:rFonts w:hint="eastAsia" w:cs="Times New Roman"/>
          <w:highlight w:val="none"/>
          <w:lang w:val="en-US" w:eastAsia="zh-CN"/>
        </w:rPr>
        <w:t>H</w:t>
      </w:r>
      <w:r>
        <w:rPr>
          <w:rFonts w:hint="default" w:ascii="Times New Roman" w:hAnsi="Times New Roman" w:cs="Times New Roman"/>
          <w:highlight w:val="none"/>
          <w:lang w:val="en-US" w:eastAsia="zh-CN"/>
        </w:rPr>
        <w:t>值为7.5~8.5，呈微碱性，该土种多为“挂牌地”，无水利设施，夹砾石量高，耕作不方便，严重缺磷，主要种植小麦、青稞、玉米、马铃薯等作物。乡城褐砂土母质为河流冲洪积物，土壤p</w:t>
      </w:r>
      <w:r>
        <w:rPr>
          <w:rFonts w:hint="eastAsia" w:cs="Times New Roman"/>
          <w:highlight w:val="none"/>
          <w:lang w:val="en-US" w:eastAsia="zh-CN"/>
        </w:rPr>
        <w:t>H</w:t>
      </w:r>
      <w:r>
        <w:rPr>
          <w:rFonts w:hint="default" w:ascii="Times New Roman" w:hAnsi="Times New Roman" w:cs="Times New Roman"/>
          <w:highlight w:val="none"/>
          <w:lang w:val="en-US" w:eastAsia="zh-CN"/>
        </w:rPr>
        <w:t>值为7.5~8.5，呈微碱性，该土种质地轻，土质松散易耕，通透性好，土壤养分含量较高，主要种植小麦、青稞、玉米、豆类作物。</w:t>
      </w:r>
    </w:p>
    <w:p w14:paraId="4483ACDF">
      <w:pPr>
        <w:pStyle w:val="4"/>
        <w:bidi w:val="0"/>
        <w:rPr>
          <w:rFonts w:hint="default"/>
          <w:highlight w:val="none"/>
          <w:lang w:val="en-US" w:eastAsia="zh-CN"/>
        </w:rPr>
      </w:pPr>
      <w:r>
        <w:rPr>
          <w:rFonts w:hint="default"/>
          <w:highlight w:val="none"/>
          <w:lang w:val="en-US" w:eastAsia="zh-CN"/>
        </w:rPr>
        <w:t>水土流失</w:t>
      </w:r>
    </w:p>
    <w:p w14:paraId="62FD4F4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小流域侵蚀类型以水力侵蚀为主，侵蚀方式以面蚀和沟蚀为主，水土流失主要分布在坡耕地、疏林地和荒山荒坡内。调查结果显示小流域共有水土流失面积2184.12hm²，占幅员面积的42.10%。其中：轻度流失17.82hm²，占流失面积的0.82%；中度流失2153.34hm²，占流失面积的98.59%；强烈流失12.96hm²，占流失面积的0.59%。平均土壤侵蚀模数3748t/km²·a，年均土壤侵蚀总量8.19万t。</w:t>
      </w:r>
    </w:p>
    <w:p w14:paraId="1B5BE2A5">
      <w:pPr>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5269230" cy="1981835"/>
            <wp:effectExtent l="0" t="0" r="0" b="0"/>
            <wp:docPr id="24" name="图片 24" descr="5d03223066def414d1f04ee3d1a86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5d03223066def414d1f04ee3d1a865b"/>
                    <pic:cNvPicPr>
                      <a:picLocks noChangeAspect="1"/>
                    </pic:cNvPicPr>
                  </pic:nvPicPr>
                  <pic:blipFill>
                    <a:blip r:embed="rId19"/>
                    <a:srcRect b="51173"/>
                    <a:stretch>
                      <a:fillRect/>
                    </a:stretch>
                  </pic:blipFill>
                  <pic:spPr>
                    <a:xfrm>
                      <a:off x="0" y="0"/>
                      <a:ext cx="5269230" cy="1981835"/>
                    </a:xfrm>
                    <a:prstGeom prst="rect">
                      <a:avLst/>
                    </a:prstGeom>
                  </pic:spPr>
                </pic:pic>
              </a:graphicData>
            </a:graphic>
          </wp:inline>
        </w:drawing>
      </w:r>
    </w:p>
    <w:p w14:paraId="7DEBA045">
      <w:pPr>
        <w:pStyle w:val="11"/>
        <w:bidi w:val="0"/>
        <w:ind w:left="0" w:leftChars="0" w:firstLine="0" w:firstLineChars="0"/>
        <w:jc w:val="center"/>
        <w:rPr>
          <w:rFonts w:hint="default" w:ascii="Times New Roman" w:hAnsi="Times New Roman" w:eastAsia="黑体" w:cs="Times New Roman"/>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7</w:t>
      </w:r>
      <w:r>
        <w:rPr>
          <w:highlight w:val="none"/>
        </w:rPr>
        <w:fldChar w:fldCharType="end"/>
      </w:r>
      <w:r>
        <w:rPr>
          <w:rFonts w:hint="eastAsia"/>
          <w:highlight w:val="none"/>
          <w:lang w:val="en-US" w:eastAsia="zh-CN"/>
        </w:rPr>
        <w:t xml:space="preserve"> 流域内水土流失现状</w:t>
      </w:r>
    </w:p>
    <w:p w14:paraId="2085256A">
      <w:pPr>
        <w:pStyle w:val="4"/>
        <w:bidi w:val="0"/>
        <w:rPr>
          <w:rFonts w:hint="default"/>
          <w:highlight w:val="none"/>
          <w:lang w:val="en-US" w:eastAsia="zh-CN"/>
        </w:rPr>
      </w:pPr>
      <w:r>
        <w:rPr>
          <w:rFonts w:hint="eastAsia"/>
          <w:highlight w:val="none"/>
          <w:lang w:val="en-US" w:eastAsia="zh-CN"/>
        </w:rPr>
        <w:t>动物植物</w:t>
      </w:r>
    </w:p>
    <w:p w14:paraId="669F4AE2">
      <w:pPr>
        <w:rPr>
          <w:rFonts w:hint="default"/>
          <w:highlight w:val="none"/>
          <w:lang w:val="en-US" w:eastAsia="zh-CN"/>
        </w:rPr>
      </w:pPr>
      <w:r>
        <w:rPr>
          <w:rFonts w:hint="default"/>
          <w:highlight w:val="none"/>
          <w:lang w:val="en-US" w:eastAsia="zh-CN"/>
        </w:rPr>
        <w:t>乡城县境内生态资源丰富，县域内共有哺乳动物100多种，鸟类300余种。国家一、二级重点保护动物有金钱豹、云豹、雪豹、白唇鹿、金雕、五带海雕、水獭、猞猁、石貂、林麝、马麝、棕熊、小熊猫等，常见鸟类有红嘴山鸦、大杜鹃、小云雀等。乡城县内共有维管束植物（除苔藓类外的高等植物）600余种（乔木树种50余种），其中：经济价值最高的乔木树种有四川云杉、丽江云杉、长苞冷杉、鳞皮冷杉、大果红杉等，属珍稀、濒危植物的有长苞冷杉、海菜花、延龄草、金铁锁等，属名贵中药材的有虫草、贝母、达新菊、川木香、独一味、大黄、秦艽、黄芪、苋芩、甘松等，富含芳香油的有小叶杜鹃、香柏等，具有极大开发潜力的有沙棘等。经济价值较高的药材有黄芪、雪莲花、雪山一枝蒿、红景天、虫草、贝母等。</w:t>
      </w:r>
    </w:p>
    <w:p w14:paraId="2E367940">
      <w:pPr>
        <w:pStyle w:val="3"/>
        <w:bidi w:val="0"/>
        <w:rPr>
          <w:rFonts w:hint="default"/>
          <w:highlight w:val="none"/>
          <w:lang w:val="en-US" w:eastAsia="zh-CN"/>
        </w:rPr>
      </w:pPr>
      <w:bookmarkStart w:id="35" w:name="_Toc25899"/>
      <w:r>
        <w:rPr>
          <w:rFonts w:hint="eastAsia"/>
          <w:highlight w:val="none"/>
          <w:lang w:val="en-US" w:eastAsia="zh-CN"/>
        </w:rPr>
        <w:t>社会经济概况</w:t>
      </w:r>
      <w:bookmarkEnd w:id="35"/>
    </w:p>
    <w:p w14:paraId="2DD38C27">
      <w:pPr>
        <w:pStyle w:val="4"/>
        <w:bidi w:val="0"/>
        <w:rPr>
          <w:rFonts w:hint="default"/>
          <w:highlight w:val="none"/>
          <w:lang w:val="en-US" w:eastAsia="zh-CN"/>
        </w:rPr>
      </w:pPr>
      <w:r>
        <w:rPr>
          <w:rFonts w:hint="default"/>
          <w:highlight w:val="none"/>
          <w:lang w:val="en-US" w:eastAsia="zh-CN"/>
        </w:rPr>
        <w:t>行政区划</w:t>
      </w:r>
    </w:p>
    <w:p w14:paraId="70286D03">
      <w:pPr>
        <w:ind w:left="0" w:leftChars="0" w:firstLine="480" w:firstLineChars="200"/>
        <w:rPr>
          <w:rFonts w:hint="default"/>
          <w:highlight w:val="none"/>
          <w:lang w:val="en-US" w:eastAsia="zh-CN"/>
        </w:rPr>
      </w:pPr>
      <w:r>
        <w:rPr>
          <w:rFonts w:hint="default"/>
          <w:highlight w:val="none"/>
          <w:lang w:val="en-US" w:eastAsia="zh-CN"/>
        </w:rPr>
        <w:t>全县幅员面积5016km²，辖3镇7乡，分别为香巴拉镇、青德镇、热打镇、沙贡乡、水洼乡、然乌乡、洞松乡、定波乡、正斗乡、白依乡。下辖57个村委会，3个社区居委会。</w:t>
      </w:r>
    </w:p>
    <w:p w14:paraId="5C898350">
      <w:pPr>
        <w:pStyle w:val="4"/>
        <w:bidi w:val="0"/>
        <w:rPr>
          <w:rFonts w:hint="default"/>
          <w:highlight w:val="none"/>
          <w:lang w:val="en-US" w:eastAsia="zh-CN"/>
        </w:rPr>
      </w:pPr>
      <w:r>
        <w:rPr>
          <w:rFonts w:hint="eastAsia"/>
          <w:highlight w:val="none"/>
          <w:lang w:val="en-US" w:eastAsia="zh-CN"/>
        </w:rPr>
        <w:t>人口结构</w:t>
      </w:r>
    </w:p>
    <w:p w14:paraId="2302CA12">
      <w:pPr>
        <w:rPr>
          <w:rFonts w:hint="default"/>
          <w:highlight w:val="none"/>
          <w:lang w:val="en-US" w:eastAsia="zh-CN"/>
        </w:rPr>
      </w:pPr>
      <w:r>
        <w:rPr>
          <w:rFonts w:hint="default"/>
          <w:highlight w:val="none"/>
          <w:lang w:val="en-US" w:eastAsia="zh-CN"/>
        </w:rPr>
        <w:t>乡城县是一个以藏族为主，彝族、羌族、苗族、回族等16个民族聚居的县。截至2023年末，乡城县户籍人口29018人。其中，男性14574人，女性14444人。分城乡看，户籍城镇人口6282人，户籍乡村人口22736人。年末常住人口30500人，比上年末增加100人。其中，城镇常住人口9500人，乡村常住人口21000人。常住人口城镇化率31.15%，比上年末增加1.05个百分点。</w:t>
      </w:r>
    </w:p>
    <w:p w14:paraId="54D21B9B">
      <w:pPr>
        <w:pStyle w:val="4"/>
        <w:bidi w:val="0"/>
        <w:rPr>
          <w:rFonts w:hint="default"/>
          <w:highlight w:val="none"/>
          <w:lang w:val="en-US" w:eastAsia="zh-CN"/>
        </w:rPr>
      </w:pPr>
      <w:r>
        <w:rPr>
          <w:rFonts w:hint="eastAsia"/>
          <w:highlight w:val="none"/>
          <w:lang w:val="en-US" w:eastAsia="zh-CN"/>
        </w:rPr>
        <w:t>社会经济</w:t>
      </w:r>
    </w:p>
    <w:p w14:paraId="4D139796">
      <w:pPr>
        <w:rPr>
          <w:rFonts w:hint="default"/>
          <w:highlight w:val="none"/>
          <w:lang w:val="en-US" w:eastAsia="zh-CN"/>
        </w:rPr>
      </w:pPr>
      <w:r>
        <w:rPr>
          <w:rFonts w:hint="default"/>
          <w:highlight w:val="none"/>
          <w:lang w:val="en-US" w:eastAsia="zh-CN"/>
        </w:rPr>
        <w:t>2023年，乡城县地区生产总值（GDP）达到19.7亿元，增长11.4%。其中，第一产业增加值3.01亿元，增长4.2%；第二产业增加值7.40亿元，增长22.1%；第三产业增加值9.29亿元，增长7%。三次产业占GDP的比重为15.28:37.56:47.16。2023年，乡城县地方财政一般公共预算收入10489万元，同比下降30.8%。其中，税收性收入6574万元，占全部收入的62.68%。财政一般预算支出119586万元，增长2.5%。其中，财政八项支出63300万元，下降9.7%。2023年，乡城县城镇居民人均可支配收入增长3.8%，消费支出5.4%，农村居民人均可支配收入增长8.2%，消费支出9.2%。</w:t>
      </w:r>
    </w:p>
    <w:p w14:paraId="50B75AED">
      <w:pPr>
        <w:pStyle w:val="3"/>
        <w:bidi w:val="0"/>
        <w:rPr>
          <w:rFonts w:hint="default"/>
          <w:highlight w:val="none"/>
          <w:lang w:val="en-US" w:eastAsia="zh-CN"/>
        </w:rPr>
      </w:pPr>
      <w:bookmarkStart w:id="36" w:name="_Toc29623"/>
      <w:r>
        <w:rPr>
          <w:rFonts w:hint="default"/>
          <w:highlight w:val="none"/>
          <w:lang w:val="en-US" w:eastAsia="zh-CN"/>
        </w:rPr>
        <w:t>环境现状与回顾性分析</w:t>
      </w:r>
      <w:bookmarkEnd w:id="36"/>
    </w:p>
    <w:p w14:paraId="727C0102">
      <w:pPr>
        <w:pStyle w:val="4"/>
        <w:bidi w:val="0"/>
        <w:rPr>
          <w:rFonts w:hint="default"/>
          <w:highlight w:val="none"/>
          <w:lang w:val="en-US" w:eastAsia="zh-CN"/>
        </w:rPr>
      </w:pPr>
      <w:r>
        <w:rPr>
          <w:rFonts w:hint="eastAsia"/>
          <w:highlight w:val="none"/>
          <w:lang w:val="en-US" w:eastAsia="zh-CN"/>
        </w:rPr>
        <w:t>流域概况</w:t>
      </w:r>
    </w:p>
    <w:p w14:paraId="035566B6">
      <w:pPr>
        <w:rPr>
          <w:rFonts w:hint="eastAsia" w:eastAsiaTheme="minorEastAsia"/>
          <w:highlight w:val="none"/>
          <w:lang w:val="en-US" w:eastAsia="zh-CN"/>
        </w:rPr>
      </w:pPr>
      <w:r>
        <w:rPr>
          <w:color w:val="000000" w:themeColor="text1"/>
          <w:sz w:val="24"/>
          <w:highlight w:val="none"/>
          <w14:textFill>
            <w14:solidFill>
              <w14:schemeClr w14:val="tx1"/>
            </w14:solidFill>
          </w14:textFill>
        </w:rPr>
        <w:t>冷龙沟发源于发源香巴拉镇北部于格绕垭卡尼色拥，乡南流经尼色拥村流至马安山折向东南，在冷龙村左纳热拥沟，在乡城县 城处转向东流，在热卡村附近流入硕曲。全流域面积79.0km</w:t>
      </w:r>
      <w:r>
        <w:rPr>
          <w:color w:val="000000" w:themeColor="text1"/>
          <w:sz w:val="24"/>
          <w:highlight w:val="none"/>
          <w:vertAlign w:val="superscript"/>
          <w14:textFill>
            <w14:solidFill>
              <w14:schemeClr w14:val="tx1"/>
            </w14:solidFill>
          </w14:textFill>
        </w:rPr>
        <w:t>2</w:t>
      </w:r>
      <w:r>
        <w:rPr>
          <w:color w:val="000000" w:themeColor="text1"/>
          <w:sz w:val="24"/>
          <w:highlight w:val="none"/>
          <w14:textFill>
            <w14:solidFill>
              <w14:schemeClr w14:val="tx1"/>
            </w14:solidFill>
          </w14:textFill>
        </w:rPr>
        <w:t>，河长18.2km，比降68.704‰</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流域多年平均水资源量为</w:t>
      </w:r>
      <w:r>
        <w:rPr>
          <w:rFonts w:hint="eastAsia"/>
          <w:color w:val="000000" w:themeColor="text1"/>
          <w:sz w:val="24"/>
          <w:highlight w:val="none"/>
          <w:lang w:eastAsia="zh-CN"/>
          <w14:textFill>
            <w14:solidFill>
              <w14:schemeClr w14:val="tx1"/>
            </w14:solidFill>
          </w14:textFill>
        </w:rPr>
        <w:t>1280</w:t>
      </w:r>
      <w:r>
        <w:rPr>
          <w:rFonts w:hint="eastAsia"/>
          <w:color w:val="000000" w:themeColor="text1"/>
          <w:sz w:val="24"/>
          <w:highlight w:val="none"/>
          <w:lang w:val="en-US" w:eastAsia="zh-CN"/>
          <w14:textFill>
            <w14:solidFill>
              <w14:schemeClr w14:val="tx1"/>
            </w14:solidFill>
          </w14:textFill>
        </w:rPr>
        <w:t>万</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lang w:eastAsia="zh-CN"/>
          <w14:textFill>
            <w14:solidFill>
              <w14:schemeClr w14:val="tx1"/>
            </w14:solidFill>
          </w14:textFill>
        </w:rPr>
        <w:t>。</w:t>
      </w:r>
    </w:p>
    <w:p w14:paraId="278915E1">
      <w:pPr>
        <w:pStyle w:val="4"/>
        <w:bidi w:val="0"/>
        <w:rPr>
          <w:rFonts w:hint="default"/>
          <w:highlight w:val="none"/>
          <w:lang w:val="en-US" w:eastAsia="zh-CN"/>
        </w:rPr>
      </w:pPr>
      <w:r>
        <w:rPr>
          <w:rFonts w:hint="default"/>
          <w:highlight w:val="none"/>
          <w:lang w:val="en-US" w:eastAsia="zh-CN"/>
        </w:rPr>
        <w:t>水文水资源现状调查与评价</w:t>
      </w:r>
    </w:p>
    <w:p w14:paraId="630C62D4">
      <w:pPr>
        <w:pStyle w:val="5"/>
        <w:bidi w:val="0"/>
        <w:rPr>
          <w:rFonts w:hint="default"/>
          <w:highlight w:val="none"/>
          <w:lang w:val="en-US" w:eastAsia="zh-CN"/>
        </w:rPr>
      </w:pPr>
      <w:r>
        <w:rPr>
          <w:rFonts w:hint="default"/>
          <w:highlight w:val="none"/>
          <w:lang w:val="en-US" w:eastAsia="zh-CN"/>
        </w:rPr>
        <w:t>水资源总量及时空分布</w:t>
      </w:r>
    </w:p>
    <w:p w14:paraId="050EDD3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水资源总量为区域内降水形成的地表和地下的总产水量,地表水和地下水相互联系又相互转化，应扣除二者之间的重复量计算水资源总量。</w:t>
      </w:r>
    </w:p>
    <w:p w14:paraId="7146BC0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冷龙沟径流主要有降雨组成，部分融雪形成，径流的年际变化和年内分配主要受降雨支配。根据濯桑站已具有1959～2020年径流分析计算成果，采用水文比拟法计算，流域下游多年平均流量0.216m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/s，多年平均径流深248mm，多年平均来水量</w:t>
      </w:r>
      <w:r>
        <w:rPr>
          <w:rFonts w:hint="eastAsia" w:cs="Times New Roman"/>
          <w:highlight w:val="none"/>
          <w:lang w:val="en-US" w:eastAsia="zh-CN"/>
        </w:rPr>
        <w:t>1280</w:t>
      </w: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0A3C449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组成单一，均由山丘组成。2022年全州地下资源量为173.13亿立方米。乡城县全县无当地水文地质部门对地下水资源露头实测资料，通过调查，该县地下水储量较大的有七处，年径流量3.05m³/s，这七处地下水均属岩溶裂隙水，分布在硕曲河以西的石灰岩地区，属可利用水资源，平均埋藏深度约300m左右，水质良好。全县地下水年储存量为0.96亿m³。</w:t>
      </w:r>
    </w:p>
    <w:p w14:paraId="7A9DC0E0">
      <w:pPr>
        <w:pStyle w:val="5"/>
        <w:bidi w:val="0"/>
        <w:rPr>
          <w:rFonts w:hint="default"/>
          <w:highlight w:val="none"/>
          <w:lang w:val="en-US" w:eastAsia="zh-CN"/>
        </w:rPr>
      </w:pPr>
      <w:r>
        <w:rPr>
          <w:rFonts w:hint="default"/>
          <w:highlight w:val="none"/>
          <w:lang w:val="en-US" w:eastAsia="zh-CN"/>
        </w:rPr>
        <w:t>开发利用现状</w:t>
      </w:r>
    </w:p>
    <w:p w14:paraId="5EDF9B63">
      <w:pPr>
        <w:pStyle w:val="6"/>
        <w:bidi w:val="0"/>
        <w:rPr>
          <w:rFonts w:hint="default"/>
          <w:highlight w:val="none"/>
          <w:lang w:val="en-US" w:eastAsia="zh-CN"/>
        </w:rPr>
      </w:pPr>
      <w:r>
        <w:rPr>
          <w:rFonts w:hint="default"/>
          <w:highlight w:val="none"/>
          <w:lang w:val="en-US" w:eastAsia="zh-CN"/>
        </w:rPr>
        <w:t>地表水开发利用情况</w:t>
      </w:r>
    </w:p>
    <w:p w14:paraId="1D9E058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1、饮用水水源地</w:t>
      </w:r>
    </w:p>
    <w:p w14:paraId="3674FC9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截至2023年底，冷龙沟流域干流及支流上未建设水电站、未布设灌溉工程等，仅有玛依河引水工程的出口和供水工程1处，供水工程为乡城县冷龙沟冷龙村集中式饮用水水源地。</w:t>
      </w:r>
    </w:p>
    <w:p w14:paraId="3435252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乡城县冷龙沟冷龙村集中式饮用水水源地：</w:t>
      </w:r>
    </w:p>
    <w:p w14:paraId="7AC2961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取水口：乡城县冷龙沟冷龙村，供水水厂上游643米，地理坐标为东经99°45′25.98"，北纬29°01′20.84"。</w:t>
      </w:r>
    </w:p>
    <w:p w14:paraId="20F6CFB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一级保护区水域范围：取水口下游100米上溯至取水口上游干支流1000米，多年平均水位线下的水域。</w:t>
      </w:r>
    </w:p>
    <w:p w14:paraId="2DC99C5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一级保护区陆域范围：对应一级保护区水域边界沿岸纵深50米的陆域。</w:t>
      </w:r>
    </w:p>
    <w:p w14:paraId="4AA6918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一级保护区面积共计0.218km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w:t>
      </w:r>
    </w:p>
    <w:p w14:paraId="794C6B4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二级保护区水域范围：取水口下游300米起上游整个干支流河道，多年平均水位线下的水域（一级保护区水域范围除外）。</w:t>
      </w:r>
    </w:p>
    <w:p w14:paraId="2720F5B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二级保护区陆域范围：取水口下游300米起的上游整个汇水区域内除一级保护区以外的陆域。</w:t>
      </w:r>
    </w:p>
    <w:p w14:paraId="340BAEA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二级保护区面积共计37.991km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w:t>
      </w:r>
    </w:p>
    <w:p w14:paraId="0E57CA73">
      <w:pPr>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340860" cy="5175885"/>
            <wp:effectExtent l="9525" t="9525" r="12065" b="1524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3"/>
                    <a:srcRect t="2866"/>
                    <a:stretch>
                      <a:fillRect/>
                    </a:stretch>
                  </pic:blipFill>
                  <pic:spPr>
                    <a:xfrm>
                      <a:off x="0" y="0"/>
                      <a:ext cx="4340860" cy="517588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1A5F7E90">
      <w:pPr>
        <w:pStyle w:val="11"/>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图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图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8</w:t>
      </w:r>
      <w:r>
        <w:rPr>
          <w:rFonts w:hint="default" w:ascii="Times New Roman" w:hAnsi="Times New Roman" w:cs="Times New Roman"/>
          <w:highlight w:val="none"/>
        </w:rPr>
        <w:fldChar w:fldCharType="end"/>
      </w:r>
      <w:r>
        <w:rPr>
          <w:rFonts w:hint="default" w:ascii="Times New Roman" w:hAnsi="Times New Roman" w:cs="Times New Roman"/>
          <w:highlight w:val="none"/>
          <w:lang w:eastAsia="zh-CN"/>
        </w:rPr>
        <w:t>乡城县冷龙沟冷龙村集中式饮用水水源保护区</w:t>
      </w:r>
      <w:r>
        <w:rPr>
          <w:rFonts w:hint="default" w:ascii="Times New Roman" w:hAnsi="Times New Roman" w:cs="Times New Roman"/>
          <w:highlight w:val="none"/>
        </w:rPr>
        <w:t>划分</w:t>
      </w:r>
      <w:r>
        <w:rPr>
          <w:rFonts w:hint="default" w:ascii="Times New Roman" w:hAnsi="Times New Roman" w:cs="Times New Roman"/>
          <w:highlight w:val="none"/>
          <w:lang w:eastAsia="zh-CN"/>
        </w:rPr>
        <w:t>总图</w:t>
      </w:r>
    </w:p>
    <w:p w14:paraId="3D694C6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冷龙沟流域未布设灌溉工程相关岸线设施；河段无航运、养殖等项目，也无采砂场。</w:t>
      </w:r>
    </w:p>
    <w:p w14:paraId="6B2A890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冷龙沟地表水资源总量为</w:t>
      </w:r>
      <w:r>
        <w:rPr>
          <w:rFonts w:hint="eastAsia" w:cs="Times New Roman"/>
          <w:highlight w:val="none"/>
          <w:lang w:val="en-US" w:eastAsia="zh-CN"/>
        </w:rPr>
        <w:t>1280</w:t>
      </w:r>
      <w:r>
        <w:rPr>
          <w:rFonts w:hint="default" w:ascii="Times New Roman" w:hAnsi="Times New Roman" w:cs="Times New Roman"/>
          <w:highlight w:val="none"/>
          <w:lang w:val="en-US" w:eastAsia="zh-CN"/>
        </w:rPr>
        <w:t>万m³。经初步估算，冷龙沟流域内现状水利设施实际供水量为62.05万m³，水资源开发利用率为</w:t>
      </w:r>
      <w:r>
        <w:rPr>
          <w:rFonts w:hint="eastAsia" w:cs="Times New Roman"/>
          <w:highlight w:val="none"/>
          <w:lang w:val="en-US" w:eastAsia="zh-CN"/>
        </w:rPr>
        <w:t>4.85</w:t>
      </w:r>
      <w:r>
        <w:rPr>
          <w:rFonts w:hint="default" w:ascii="Times New Roman" w:hAnsi="Times New Roman" w:cs="Times New Roman"/>
          <w:highlight w:val="none"/>
          <w:lang w:val="en-US" w:eastAsia="zh-CN"/>
        </w:rPr>
        <w:t>%，开发利用程度较低。</w:t>
      </w:r>
    </w:p>
    <w:p w14:paraId="4EFF313C">
      <w:pPr>
        <w:pStyle w:val="6"/>
        <w:bidi w:val="0"/>
        <w:rPr>
          <w:rFonts w:hint="default"/>
          <w:highlight w:val="none"/>
          <w:lang w:val="en-US" w:eastAsia="zh-CN"/>
        </w:rPr>
      </w:pPr>
      <w:r>
        <w:rPr>
          <w:rFonts w:hint="default"/>
          <w:highlight w:val="none"/>
          <w:lang w:val="en-US" w:eastAsia="zh-CN"/>
        </w:rPr>
        <w:t>地下水开发利用情况</w:t>
      </w:r>
    </w:p>
    <w:p w14:paraId="0BEDC60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经调查及历史资料收集整理发现，冷龙沟流域全县无当地水文地质部门对地下水资源露头实测资料,通过调查，该县地下水储量较大的有七处，全县地下水年储存量为0.96亿m³，尚未开发利用地下水水资源。</w:t>
      </w:r>
    </w:p>
    <w:p w14:paraId="755EBFE4">
      <w:pPr>
        <w:pStyle w:val="6"/>
        <w:bidi w:val="0"/>
        <w:rPr>
          <w:rFonts w:hint="default"/>
          <w:highlight w:val="none"/>
          <w:lang w:val="en-US" w:eastAsia="zh-CN"/>
        </w:rPr>
      </w:pPr>
      <w:r>
        <w:rPr>
          <w:rFonts w:hint="default"/>
          <w:highlight w:val="none"/>
          <w:lang w:val="en-US" w:eastAsia="zh-CN"/>
        </w:rPr>
        <w:t>水资源开发存在主要问题</w:t>
      </w:r>
    </w:p>
    <w:p w14:paraId="02582254">
      <w:pPr>
        <w:rPr>
          <w:rFonts w:hint="default"/>
          <w:highlight w:val="none"/>
          <w:lang w:val="en-US" w:eastAsia="zh-CN"/>
        </w:rPr>
      </w:pPr>
      <w:r>
        <w:rPr>
          <w:rFonts w:hint="default"/>
          <w:highlight w:val="none"/>
          <w:lang w:val="en-US" w:eastAsia="zh-CN"/>
        </w:rPr>
        <w:t>（1）由于流域内</w:t>
      </w:r>
      <w:r>
        <w:rPr>
          <w:rFonts w:hint="eastAsia"/>
          <w:highlight w:val="none"/>
          <w:lang w:val="en-US" w:eastAsia="zh-CN"/>
        </w:rPr>
        <w:t>无</w:t>
      </w:r>
      <w:r>
        <w:rPr>
          <w:rFonts w:hint="default"/>
          <w:highlight w:val="none"/>
          <w:lang w:val="en-US" w:eastAsia="zh-CN"/>
        </w:rPr>
        <w:t>水库等蓄水工程，开发利用程度低，</w:t>
      </w:r>
      <w:r>
        <w:rPr>
          <w:rFonts w:hint="eastAsia"/>
          <w:highlight w:val="none"/>
          <w:lang w:val="en-US" w:eastAsia="zh-CN"/>
        </w:rPr>
        <w:t>且地表水年际变化量大，</w:t>
      </w:r>
      <w:r>
        <w:rPr>
          <w:rFonts w:hint="default"/>
          <w:highlight w:val="none"/>
          <w:lang w:val="en-US" w:eastAsia="zh-CN"/>
        </w:rPr>
        <w:t>供水保证率低；</w:t>
      </w:r>
    </w:p>
    <w:p w14:paraId="10F18A2D">
      <w:pPr>
        <w:bidi w:val="0"/>
        <w:rPr>
          <w:rFonts w:hint="default"/>
          <w:highlight w:val="none"/>
          <w:lang w:val="en-US" w:eastAsia="zh-CN"/>
        </w:rPr>
      </w:pPr>
      <w:r>
        <w:rPr>
          <w:rFonts w:hint="default"/>
          <w:highlight w:val="none"/>
          <w:lang w:val="en-US" w:eastAsia="zh-CN"/>
        </w:rPr>
        <w:t>（2）供水工程相对滞后，供水受益面小，受益人口少；</w:t>
      </w:r>
    </w:p>
    <w:p w14:paraId="11641B36">
      <w:pPr>
        <w:rPr>
          <w:rFonts w:hint="default"/>
          <w:highlight w:val="none"/>
          <w:lang w:val="en-US" w:eastAsia="zh-CN"/>
        </w:rPr>
      </w:pPr>
      <w:r>
        <w:rPr>
          <w:rFonts w:hint="default"/>
          <w:highlight w:val="none"/>
          <w:lang w:val="en-US" w:eastAsia="zh-CN"/>
        </w:rPr>
        <w:t>（3）</w:t>
      </w:r>
      <w:r>
        <w:rPr>
          <w:rFonts w:hint="eastAsia"/>
          <w:color w:val="000000" w:themeColor="text1"/>
          <w:sz w:val="24"/>
          <w:highlight w:val="none"/>
          <w14:textFill>
            <w14:solidFill>
              <w14:schemeClr w14:val="tx1"/>
            </w14:solidFill>
          </w14:textFill>
        </w:rPr>
        <w:t>洪水调蓄作用较小，</w:t>
      </w:r>
      <w:r>
        <w:rPr>
          <w:rFonts w:hint="default"/>
          <w:highlight w:val="none"/>
          <w:lang w:val="en-US" w:eastAsia="zh-CN"/>
        </w:rPr>
        <w:t>节水灌溉程度低，农业灌溉节水有待提高；</w:t>
      </w:r>
    </w:p>
    <w:p w14:paraId="3908165D">
      <w:pPr>
        <w:bidi w:val="0"/>
        <w:rPr>
          <w:rFonts w:hint="default"/>
          <w:highlight w:val="none"/>
          <w:lang w:val="en-US" w:eastAsia="zh-CN"/>
        </w:rPr>
      </w:pPr>
      <w:r>
        <w:rPr>
          <w:rFonts w:hint="default"/>
          <w:highlight w:val="none"/>
          <w:lang w:val="en-US" w:eastAsia="zh-CN"/>
        </w:rPr>
        <w:t>（4）</w:t>
      </w:r>
      <w:r>
        <w:rPr>
          <w:rFonts w:hint="eastAsia"/>
          <w:highlight w:val="none"/>
          <w:lang w:val="en-US" w:eastAsia="zh-CN"/>
        </w:rPr>
        <w:t>冷龙沟</w:t>
      </w:r>
      <w:r>
        <w:rPr>
          <w:rFonts w:hint="default"/>
          <w:highlight w:val="none"/>
          <w:lang w:val="en-US" w:eastAsia="zh-CN"/>
        </w:rPr>
        <w:t>虽水量较丰富，但流域水资源开发利用率低。</w:t>
      </w:r>
    </w:p>
    <w:p w14:paraId="28AE9CC5">
      <w:pPr>
        <w:pStyle w:val="4"/>
        <w:bidi w:val="0"/>
        <w:rPr>
          <w:rFonts w:hint="default"/>
          <w:highlight w:val="none"/>
          <w:lang w:val="en-US" w:eastAsia="zh-CN"/>
        </w:rPr>
      </w:pPr>
      <w:bookmarkStart w:id="37" w:name="_Ref18743"/>
      <w:r>
        <w:rPr>
          <w:rFonts w:hint="default"/>
          <w:highlight w:val="none"/>
          <w:lang w:val="en-US" w:eastAsia="zh-CN"/>
        </w:rPr>
        <w:t>水环境现状调查与评价</w:t>
      </w:r>
      <w:bookmarkEnd w:id="37"/>
    </w:p>
    <w:p w14:paraId="5622BE6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本次规划环评中水环境现状资料主要采用《乡城县冷龙沟冷龙村集中式饮用水水源保护区调整划分技术报告》、水源地</w:t>
      </w:r>
      <w:r>
        <w:rPr>
          <w:rFonts w:hint="eastAsia" w:cs="Times New Roman"/>
          <w:highlight w:val="none"/>
          <w:lang w:val="en-US" w:eastAsia="zh-CN"/>
        </w:rPr>
        <w:t>补充</w:t>
      </w:r>
      <w:r>
        <w:rPr>
          <w:rFonts w:hint="default" w:ascii="Times New Roman" w:hAnsi="Times New Roman" w:cs="Times New Roman"/>
          <w:highlight w:val="none"/>
          <w:lang w:val="en-US" w:eastAsia="zh-CN"/>
        </w:rPr>
        <w:t>监测相关成果。</w:t>
      </w:r>
    </w:p>
    <w:p w14:paraId="48309033">
      <w:pPr>
        <w:pStyle w:val="5"/>
        <w:bidi w:val="0"/>
        <w:rPr>
          <w:rFonts w:hint="default"/>
          <w:highlight w:val="none"/>
          <w:lang w:val="en-US" w:eastAsia="zh-CN"/>
        </w:rPr>
      </w:pPr>
      <w:r>
        <w:rPr>
          <w:rFonts w:hint="default"/>
          <w:highlight w:val="none"/>
          <w:lang w:val="en-US" w:eastAsia="zh-CN"/>
        </w:rPr>
        <w:t>地表水</w:t>
      </w:r>
    </w:p>
    <w:p w14:paraId="343E5922">
      <w:pPr>
        <w:pStyle w:val="6"/>
        <w:bidi w:val="0"/>
        <w:rPr>
          <w:rFonts w:hint="default"/>
          <w:highlight w:val="none"/>
          <w:lang w:val="en-US" w:eastAsia="zh-CN"/>
        </w:rPr>
      </w:pPr>
      <w:r>
        <w:rPr>
          <w:rFonts w:hint="default"/>
          <w:highlight w:val="none"/>
          <w:lang w:val="en-US" w:eastAsia="zh-CN"/>
        </w:rPr>
        <w:t>水功能区划及水质目标</w:t>
      </w:r>
    </w:p>
    <w:p w14:paraId="4A785F0C">
      <w:pPr>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根据</w:t>
      </w:r>
      <w:r>
        <w:rPr>
          <w:rFonts w:hint="default" w:ascii="Times New Roman" w:hAnsi="Times New Roman" w:cs="Times New Roman"/>
          <w:b w:val="0"/>
          <w:bCs w:val="0"/>
          <w:color w:val="auto"/>
          <w:sz w:val="24"/>
          <w:szCs w:val="24"/>
          <w:highlight w:val="none"/>
        </w:rPr>
        <w:t>《全国重要江河湖泊水功能区划</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2011</w:t>
      </w:r>
      <w:r>
        <w:rPr>
          <w:rFonts w:hint="eastAsia"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2030年</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w:t>
      </w:r>
      <w:r>
        <w:rPr>
          <w:rFonts w:hint="default" w:ascii="Times New Roman" w:hAnsi="Times New Roman" w:cs="Times New Roman"/>
          <w:color w:val="auto"/>
          <w:sz w:val="24"/>
          <w:highlight w:val="none"/>
          <w:lang w:val="en-US" w:eastAsia="zh-CN"/>
        </w:rPr>
        <w:t>和</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四川省</w:t>
      </w:r>
      <w:r>
        <w:rPr>
          <w:rFonts w:hint="default" w:ascii="Times New Roman" w:hAnsi="Times New Roman" w:cs="Times New Roman"/>
          <w:color w:val="auto"/>
          <w:sz w:val="24"/>
          <w:highlight w:val="none"/>
        </w:rPr>
        <w:t>水功能区划报告》（2020年10月），</w:t>
      </w:r>
      <w:r>
        <w:rPr>
          <w:rFonts w:hint="default" w:ascii="Times New Roman" w:hAnsi="Times New Roman" w:cs="Times New Roman"/>
          <w:color w:val="auto"/>
          <w:sz w:val="24"/>
          <w:highlight w:val="none"/>
          <w:lang w:val="en-US" w:eastAsia="zh-CN"/>
        </w:rPr>
        <w:t>本项目所在冷龙沟尚未划分水功能区，冷龙沟为硕曲右岸一级支流，根据《四川省水功能区划》，硕曲共划分四个一级水功能区，冷龙沟河口位于硕曲河理塘乡城保留区，硕曲河水功能区划详见</w:t>
      </w:r>
      <w:r>
        <w:rPr>
          <w:rFonts w:hint="default" w:ascii="Times New Roman" w:hAnsi="Times New Roman" w:cs="Times New Roman"/>
          <w:color w:val="0000FF"/>
          <w:sz w:val="24"/>
          <w:highlight w:val="none"/>
          <w:lang w:val="en-US" w:eastAsia="zh-CN"/>
        </w:rPr>
        <w:fldChar w:fldCharType="begin"/>
      </w:r>
      <w:r>
        <w:rPr>
          <w:rFonts w:hint="default" w:ascii="Times New Roman" w:hAnsi="Times New Roman" w:cs="Times New Roman"/>
          <w:color w:val="0000FF"/>
          <w:sz w:val="24"/>
          <w:highlight w:val="none"/>
          <w:lang w:val="en-US" w:eastAsia="zh-CN"/>
        </w:rPr>
        <w:instrText xml:space="preserve"> REF _Ref25507 \h </w:instrText>
      </w:r>
      <w:r>
        <w:rPr>
          <w:rFonts w:hint="default" w:ascii="Times New Roman" w:hAnsi="Times New Roman" w:cs="Times New Roman"/>
          <w:color w:val="0000FF"/>
          <w:sz w:val="24"/>
          <w:highlight w:val="none"/>
          <w:lang w:val="en-US" w:eastAsia="zh-CN"/>
        </w:rPr>
        <w:fldChar w:fldCharType="separate"/>
      </w:r>
      <w:r>
        <w:rPr>
          <w:rFonts w:hint="default" w:ascii="Times New Roman" w:hAnsi="Times New Roman" w:cs="Times New Roman"/>
          <w:highlight w:val="none"/>
        </w:rPr>
        <w:t>表13</w:t>
      </w:r>
      <w:r>
        <w:rPr>
          <w:rFonts w:hint="default" w:ascii="Times New Roman" w:hAnsi="Times New Roman" w:cs="Times New Roman"/>
          <w:color w:val="0000FF"/>
          <w:sz w:val="24"/>
          <w:highlight w:val="none"/>
          <w:lang w:val="en-US" w:eastAsia="zh-CN"/>
        </w:rPr>
        <w:fldChar w:fldCharType="end"/>
      </w:r>
      <w:r>
        <w:rPr>
          <w:rFonts w:hint="default" w:ascii="Times New Roman" w:hAnsi="Times New Roman" w:cs="Times New Roman"/>
          <w:color w:val="auto"/>
          <w:sz w:val="24"/>
          <w:highlight w:val="none"/>
          <w:lang w:val="en-US" w:eastAsia="zh-CN"/>
        </w:rPr>
        <w:t>。</w:t>
      </w:r>
    </w:p>
    <w:p w14:paraId="37811E5C">
      <w:pPr>
        <w:pStyle w:val="11"/>
        <w:bidi w:val="0"/>
        <w:ind w:left="0" w:leftChars="0" w:firstLine="0" w:firstLineChars="0"/>
        <w:jc w:val="center"/>
        <w:rPr>
          <w:rFonts w:hint="default" w:ascii="Times New Roman" w:hAnsi="Times New Roman" w:cs="Times New Roman"/>
          <w:highlight w:val="none"/>
          <w:lang w:val="en-US" w:eastAsia="zh-CN"/>
        </w:rPr>
      </w:pPr>
      <w:bookmarkStart w:id="38" w:name="_Ref25507"/>
      <w:bookmarkStart w:id="39" w:name="_Ref25494"/>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13</w:t>
      </w:r>
      <w:r>
        <w:rPr>
          <w:rFonts w:hint="default" w:ascii="Times New Roman" w:hAnsi="Times New Roman" w:cs="Times New Roman"/>
          <w:highlight w:val="none"/>
        </w:rPr>
        <w:fldChar w:fldCharType="end"/>
      </w:r>
      <w:bookmarkEnd w:id="38"/>
      <w:r>
        <w:rPr>
          <w:rFonts w:hint="default" w:ascii="Times New Roman" w:hAnsi="Times New Roman" w:cs="Times New Roman"/>
          <w:highlight w:val="none"/>
          <w:lang w:val="en-US" w:eastAsia="zh-CN"/>
        </w:rPr>
        <w:t xml:space="preserve"> 硕曲河水功能区划情况表</w:t>
      </w:r>
      <w:bookmarkEnd w:id="39"/>
    </w:p>
    <w:tbl>
      <w:tblPr>
        <w:tblStyle w:val="1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85"/>
        <w:gridCol w:w="1478"/>
        <w:gridCol w:w="1500"/>
        <w:gridCol w:w="911"/>
        <w:gridCol w:w="825"/>
        <w:gridCol w:w="868"/>
        <w:gridCol w:w="782"/>
        <w:gridCol w:w="873"/>
      </w:tblGrid>
      <w:tr w14:paraId="05970B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14CC3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水功能一级区名称</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50FD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起始范围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6843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终止范围</w:t>
            </w:r>
          </w:p>
        </w:tc>
        <w:tc>
          <w:tcPr>
            <w:tcW w:w="9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A2BF7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水质代表断面</w:t>
            </w:r>
          </w:p>
        </w:tc>
        <w:tc>
          <w:tcPr>
            <w:tcW w:w="8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B0987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长</w:t>
            </w:r>
            <w:r>
              <w:rPr>
                <w:rFonts w:hint="eastAsia" w:cs="Times New Roman"/>
                <w:highlight w:val="none"/>
                <w:lang w:val="en-US" w:eastAsia="zh-CN"/>
              </w:rPr>
              <w:t>度</w:t>
            </w:r>
            <w:r>
              <w:rPr>
                <w:rFonts w:hint="default" w:ascii="Times New Roman" w:hAnsi="Times New Roman" w:cs="Times New Roman"/>
                <w:highlight w:val="none"/>
                <w:lang w:val="en-US" w:eastAsia="zh-CN"/>
              </w:rPr>
              <w:t>（km）</w:t>
            </w:r>
          </w:p>
        </w:tc>
        <w:tc>
          <w:tcPr>
            <w:tcW w:w="86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75C2B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水质</w:t>
            </w:r>
          </w:p>
          <w:p w14:paraId="3688815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现状</w:t>
            </w:r>
          </w:p>
        </w:tc>
        <w:tc>
          <w:tcPr>
            <w:tcW w:w="78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35CDE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水质目标</w:t>
            </w:r>
          </w:p>
        </w:tc>
        <w:tc>
          <w:tcPr>
            <w:tcW w:w="87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2B166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区划</w:t>
            </w:r>
          </w:p>
          <w:p w14:paraId="6ACF881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依据</w:t>
            </w:r>
          </w:p>
        </w:tc>
      </w:tr>
      <w:tr w14:paraId="779A4B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B2A97B">
            <w:pPr>
              <w:pStyle w:val="22"/>
              <w:bidi w:val="0"/>
              <w:rPr>
                <w:rFonts w:hint="default" w:ascii="Times New Roman" w:hAnsi="Times New Roman" w:cs="Times New Roman"/>
                <w:highlight w:val="none"/>
              </w:rPr>
            </w:pP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B56F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起始范围名称</w:t>
            </w:r>
          </w:p>
          <w:p w14:paraId="759F42F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（东经，北纬）</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E7D7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终止范围名称</w:t>
            </w:r>
          </w:p>
          <w:p w14:paraId="22DEBBA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（东经，北纬）</w:t>
            </w:r>
          </w:p>
        </w:tc>
        <w:tc>
          <w:tcPr>
            <w:tcW w:w="9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9A8953">
            <w:pPr>
              <w:pStyle w:val="22"/>
              <w:bidi w:val="0"/>
              <w:rPr>
                <w:rFonts w:hint="default" w:ascii="Times New Roman" w:hAnsi="Times New Roman" w:cs="Times New Roman"/>
                <w:highlight w:val="none"/>
              </w:rPr>
            </w:pPr>
          </w:p>
        </w:tc>
        <w:tc>
          <w:tcPr>
            <w:tcW w:w="8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BDA2AD">
            <w:pPr>
              <w:pStyle w:val="22"/>
              <w:bidi w:val="0"/>
              <w:rPr>
                <w:rFonts w:hint="default" w:ascii="Times New Roman" w:hAnsi="Times New Roman" w:cs="Times New Roman"/>
                <w:highlight w:val="none"/>
              </w:rPr>
            </w:pPr>
          </w:p>
        </w:tc>
        <w:tc>
          <w:tcPr>
            <w:tcW w:w="86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4EEE3D">
            <w:pPr>
              <w:pStyle w:val="22"/>
              <w:bidi w:val="0"/>
              <w:rPr>
                <w:rFonts w:hint="default" w:ascii="Times New Roman" w:hAnsi="Times New Roman" w:cs="Times New Roman"/>
                <w:highlight w:val="none"/>
              </w:rPr>
            </w:pPr>
          </w:p>
        </w:tc>
        <w:tc>
          <w:tcPr>
            <w:tcW w:w="78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2D339">
            <w:pPr>
              <w:pStyle w:val="22"/>
              <w:bidi w:val="0"/>
              <w:rPr>
                <w:rFonts w:hint="default" w:ascii="Times New Roman" w:hAnsi="Times New Roman" w:cs="Times New Roman"/>
                <w:highlight w:val="none"/>
              </w:rPr>
            </w:pPr>
          </w:p>
        </w:tc>
        <w:tc>
          <w:tcPr>
            <w:tcW w:w="87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519C31">
            <w:pPr>
              <w:pStyle w:val="22"/>
              <w:bidi w:val="0"/>
              <w:rPr>
                <w:rFonts w:hint="default" w:ascii="Times New Roman" w:hAnsi="Times New Roman" w:cs="Times New Roman"/>
                <w:highlight w:val="none"/>
              </w:rPr>
            </w:pPr>
          </w:p>
        </w:tc>
      </w:tr>
      <w:tr w14:paraId="01CBE9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FFB9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硕曲河源头水保护区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1FD4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河源</w:t>
            </w:r>
          </w:p>
          <w:p w14:paraId="3B9A120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99°58ˊ24″</w:t>
            </w:r>
          </w:p>
          <w:p w14:paraId="1396985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29°46ˊ38″</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4BD1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喇嘛亚</w:t>
            </w:r>
          </w:p>
          <w:p w14:paraId="76F488E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99°49ˊ52″</w:t>
            </w:r>
          </w:p>
          <w:p w14:paraId="20C99A6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29°50ˊ19″</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12E3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喇嘛亚</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9FB2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81</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0CF7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F3FF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9846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源头水</w:t>
            </w:r>
          </w:p>
        </w:tc>
      </w:tr>
      <w:tr w14:paraId="0D22D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2709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硕曲河理塘乡城保留区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D9E6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喇嘛亚</w:t>
            </w:r>
          </w:p>
          <w:p w14:paraId="04AFF21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99°49ˊ52″</w:t>
            </w:r>
          </w:p>
          <w:p w14:paraId="0325A0A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29°50ˊ19″</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CF04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洞松</w:t>
            </w:r>
          </w:p>
          <w:p w14:paraId="5756F5C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99°48ˊ26″</w:t>
            </w:r>
          </w:p>
          <w:p w14:paraId="3942925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28°45ˊ41″</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0AF4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洞松</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F54A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167</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F8D2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8699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F08C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开发利用程度不高</w:t>
            </w:r>
          </w:p>
        </w:tc>
      </w:tr>
      <w:tr w14:paraId="6E7E4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879D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硕曲河川滇缓冲区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3C03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洞松</w:t>
            </w:r>
          </w:p>
          <w:p w14:paraId="2C59459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99°48ˊ26″</w:t>
            </w:r>
          </w:p>
          <w:p w14:paraId="3FC3572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28°45ˊ41″</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E18F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毛屋</w:t>
            </w:r>
          </w:p>
          <w:p w14:paraId="2CB6F52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99°21ˊ41″</w:t>
            </w:r>
          </w:p>
          <w:p w14:paraId="093A774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28°26ˊ45″</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A4CC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毛屋</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7B21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17</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A38C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470E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949B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省界</w:t>
            </w:r>
          </w:p>
        </w:tc>
      </w:tr>
      <w:tr w14:paraId="7E28CB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2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62DC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硕曲河得荣保留区</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AC2D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毛屋</w:t>
            </w:r>
          </w:p>
          <w:p w14:paraId="2FBB596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99°21ˊ41″</w:t>
            </w:r>
          </w:p>
          <w:p w14:paraId="21A0F86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28°26ˊ45″</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5A0C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河口</w:t>
            </w:r>
          </w:p>
          <w:p w14:paraId="0453617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99°15ˊ22″</w:t>
            </w:r>
          </w:p>
          <w:p w14:paraId="1446608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28°25ˊ40″</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A0DE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日瓦</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3152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25</w:t>
            </w:r>
          </w:p>
        </w:tc>
        <w:tc>
          <w:tcPr>
            <w:tcW w:w="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2BAA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7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B698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w:t>
            </w:r>
          </w:p>
        </w:tc>
        <w:tc>
          <w:tcPr>
            <w:tcW w:w="8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D217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开发利用程度不高</w:t>
            </w:r>
          </w:p>
        </w:tc>
      </w:tr>
    </w:tbl>
    <w:p w14:paraId="31575490">
      <w:pPr>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根据《乡城县冷龙沟冷龙村集中式饮用水水源保护区调整划分技术报告》，冷龙沟</w:t>
      </w:r>
      <w:r>
        <w:rPr>
          <w:rFonts w:hint="default" w:ascii="Times New Roman" w:hAnsi="Times New Roman" w:eastAsia="宋体" w:cs="Times New Roman"/>
          <w:color w:val="auto"/>
          <w:sz w:val="24"/>
          <w:szCs w:val="24"/>
          <w:highlight w:val="none"/>
        </w:rPr>
        <w:t>开发利用</w:t>
      </w:r>
      <w:r>
        <w:rPr>
          <w:rFonts w:hint="default" w:ascii="Times New Roman" w:hAnsi="Times New Roman" w:eastAsia="宋体" w:cs="Times New Roman"/>
          <w:color w:val="auto"/>
          <w:sz w:val="24"/>
          <w:szCs w:val="24"/>
          <w:highlight w:val="none"/>
          <w:lang w:val="en-US" w:eastAsia="zh-CN"/>
        </w:rPr>
        <w:t>主要为乡城县城水源地</w:t>
      </w:r>
      <w:r>
        <w:rPr>
          <w:rFonts w:hint="default" w:ascii="Times New Roman" w:hAnsi="Times New Roman" w:eastAsia="宋体" w:cs="Times New Roman"/>
          <w:color w:val="auto"/>
          <w:sz w:val="24"/>
          <w:szCs w:val="24"/>
          <w:highlight w:val="none"/>
        </w:rPr>
        <w:t>，该区内</w:t>
      </w:r>
      <w:r>
        <w:rPr>
          <w:rFonts w:hint="default" w:ascii="Times New Roman" w:hAnsi="Times New Roman" w:eastAsia="宋体" w:cs="Times New Roman"/>
          <w:color w:val="auto"/>
          <w:sz w:val="24"/>
          <w:szCs w:val="24"/>
          <w:highlight w:val="none"/>
          <w:lang w:val="en-US" w:eastAsia="zh-CN"/>
        </w:rPr>
        <w:t>应控制相关项目的建设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水质类别控制标准</w:t>
      </w:r>
      <w:r>
        <w:rPr>
          <w:rFonts w:hint="default" w:ascii="Times New Roman" w:hAnsi="Times New Roman" w:eastAsia="宋体" w:cs="Times New Roman"/>
          <w:color w:val="auto"/>
          <w:sz w:val="24"/>
          <w:szCs w:val="24"/>
          <w:highlight w:val="none"/>
          <w:lang w:val="en-US" w:eastAsia="zh-CN"/>
        </w:rPr>
        <w:t>应</w:t>
      </w:r>
      <w:r>
        <w:rPr>
          <w:rFonts w:hint="default" w:ascii="Times New Roman" w:hAnsi="Times New Roman" w:eastAsia="宋体" w:cs="Times New Roman"/>
          <w:color w:val="auto"/>
          <w:sz w:val="24"/>
          <w:szCs w:val="24"/>
          <w:highlight w:val="none"/>
        </w:rPr>
        <w:t>不低于</w:t>
      </w:r>
      <w:r>
        <w:rPr>
          <w:rFonts w:hint="default" w:ascii="Times New Roman" w:hAnsi="Times New Roman" w:eastAsia="宋体" w:cs="Times New Roman"/>
          <w:color w:val="auto"/>
          <w:sz w:val="24"/>
          <w:szCs w:val="24"/>
          <w:highlight w:val="none"/>
          <w:lang w:val="en-US" w:eastAsia="zh-CN"/>
        </w:rPr>
        <w:t>水源地</w:t>
      </w:r>
      <w:r>
        <w:rPr>
          <w:rFonts w:hint="default" w:ascii="Times New Roman" w:hAnsi="Times New Roman" w:eastAsia="宋体" w:cs="Times New Roman"/>
          <w:color w:val="auto"/>
          <w:sz w:val="24"/>
          <w:szCs w:val="24"/>
          <w:highlight w:val="none"/>
        </w:rPr>
        <w:t>水质</w:t>
      </w:r>
      <w:r>
        <w:rPr>
          <w:rFonts w:hint="default" w:ascii="Times New Roman" w:hAnsi="Times New Roman" w:eastAsia="宋体" w:cs="Times New Roman"/>
          <w:color w:val="auto"/>
          <w:sz w:val="24"/>
          <w:szCs w:val="24"/>
          <w:highlight w:val="none"/>
          <w:lang w:val="en-US" w:eastAsia="zh-CN"/>
        </w:rPr>
        <w:t>要求</w:t>
      </w:r>
      <w:r>
        <w:rPr>
          <w:rFonts w:hint="default" w:ascii="Times New Roman" w:hAnsi="Times New Roman" w:eastAsia="宋体" w:cs="Times New Roman"/>
          <w:color w:val="auto"/>
          <w:sz w:val="24"/>
          <w:szCs w:val="24"/>
          <w:highlight w:val="none"/>
        </w:rPr>
        <w:t>类别</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冷龙沟水源地水源类型为地表水，即</w:t>
      </w:r>
      <w:r>
        <w:rPr>
          <w:rFonts w:hint="default" w:ascii="Times New Roman" w:hAnsi="Times New Roman" w:eastAsia="宋体" w:cs="Times New Roman"/>
          <w:color w:val="auto"/>
          <w:sz w:val="24"/>
          <w:szCs w:val="24"/>
          <w:highlight w:val="none"/>
          <w:lang w:eastAsia="zh-CN"/>
        </w:rPr>
        <w:t>地表水饮用水水源一级保护区内的水质，不得低于国家《地表水环境质量标准》（GB3838-2002）Ⅱ类标准；二级保护区内的水质，不得低于国家《地表水环境质量标准》（GB3838-2002）Ⅲ类标准</w:t>
      </w:r>
      <w:r>
        <w:rPr>
          <w:rFonts w:hint="default" w:ascii="Times New Roman" w:hAnsi="Times New Roman" w:cs="Times New Roman"/>
          <w:color w:val="auto"/>
          <w:sz w:val="24"/>
          <w:szCs w:val="24"/>
          <w:highlight w:val="none"/>
          <w:lang w:eastAsia="zh-CN"/>
        </w:rPr>
        <w:t>。</w:t>
      </w:r>
    </w:p>
    <w:p w14:paraId="576416DF">
      <w:pPr>
        <w:pStyle w:val="6"/>
        <w:bidi w:val="0"/>
        <w:rPr>
          <w:rFonts w:hint="default"/>
          <w:highlight w:val="none"/>
          <w:lang w:val="en-US" w:eastAsia="zh-CN"/>
        </w:rPr>
      </w:pPr>
      <w:bookmarkStart w:id="40" w:name="_Ref18590"/>
      <w:r>
        <w:rPr>
          <w:rFonts w:hint="default"/>
          <w:highlight w:val="none"/>
          <w:lang w:val="en-US" w:eastAsia="zh-CN"/>
        </w:rPr>
        <w:t>污染源</w:t>
      </w:r>
      <w:bookmarkEnd w:id="40"/>
    </w:p>
    <w:p w14:paraId="1DAD24A2">
      <w:pPr>
        <w:numPr>
          <w:ilvl w:val="0"/>
          <w:numId w:val="17"/>
        </w:numPr>
        <w:rPr>
          <w:rFonts w:hint="default" w:ascii="Times New Roman" w:hAnsi="Times New Roman" w:cs="Times New Roman"/>
          <w:highlight w:val="none"/>
          <w:lang w:val="en-US" w:eastAsia="zh-CN"/>
        </w:rPr>
      </w:pPr>
      <w:r>
        <w:rPr>
          <w:rFonts w:hint="eastAsia" w:cs="Times New Roman"/>
          <w:highlight w:val="none"/>
          <w:lang w:val="en-US" w:eastAsia="zh-CN"/>
        </w:rPr>
        <w:t>入河排污口</w:t>
      </w:r>
    </w:p>
    <w:p w14:paraId="37D765F5">
      <w:pPr>
        <w:bidi w:val="0"/>
        <w:rPr>
          <w:rFonts w:hint="default"/>
          <w:highlight w:val="none"/>
          <w:lang w:val="en-US" w:eastAsia="zh-CN"/>
        </w:rPr>
      </w:pPr>
      <w:r>
        <w:rPr>
          <w:rFonts w:hint="default"/>
          <w:highlight w:val="none"/>
          <w:lang w:val="en-US" w:eastAsia="zh-CN"/>
        </w:rPr>
        <w:t>根据现场调查以及《</w:t>
      </w:r>
      <w:r>
        <w:rPr>
          <w:rFonts w:hint="eastAsia"/>
          <w:highlight w:val="none"/>
          <w:lang w:val="en-US" w:eastAsia="zh-CN"/>
        </w:rPr>
        <w:t>乡城县</w:t>
      </w:r>
      <w:r>
        <w:rPr>
          <w:rFonts w:hint="default"/>
          <w:highlight w:val="none"/>
          <w:lang w:val="en-US" w:eastAsia="zh-CN"/>
        </w:rPr>
        <w:t>入河排污口</w:t>
      </w:r>
      <w:r>
        <w:rPr>
          <w:rFonts w:hint="eastAsia"/>
          <w:highlight w:val="none"/>
          <w:lang w:val="en-US" w:eastAsia="zh-CN"/>
        </w:rPr>
        <w:t>排查报告</w:t>
      </w:r>
      <w:r>
        <w:rPr>
          <w:rFonts w:hint="default"/>
          <w:highlight w:val="none"/>
          <w:lang w:val="en-US" w:eastAsia="zh-CN"/>
        </w:rPr>
        <w:t>》相关内容，</w:t>
      </w:r>
      <w:r>
        <w:rPr>
          <w:rFonts w:hint="eastAsia"/>
          <w:highlight w:val="none"/>
          <w:lang w:val="en-US" w:eastAsia="zh-CN"/>
        </w:rPr>
        <w:t>冷龙沟</w:t>
      </w:r>
      <w:r>
        <w:rPr>
          <w:rFonts w:hint="default"/>
          <w:highlight w:val="none"/>
          <w:lang w:val="en-US" w:eastAsia="zh-CN"/>
        </w:rPr>
        <w:t>流域内除</w:t>
      </w:r>
      <w:r>
        <w:rPr>
          <w:rFonts w:hint="eastAsia"/>
          <w:highlight w:val="none"/>
          <w:lang w:val="en-US" w:eastAsia="zh-CN"/>
        </w:rPr>
        <w:t>无工业企业等</w:t>
      </w:r>
      <w:r>
        <w:rPr>
          <w:rFonts w:hint="default"/>
          <w:highlight w:val="none"/>
          <w:lang w:val="en-US" w:eastAsia="zh-CN"/>
        </w:rPr>
        <w:t>其他排污口。</w:t>
      </w:r>
    </w:p>
    <w:p w14:paraId="6C80C478">
      <w:pPr>
        <w:numPr>
          <w:ilvl w:val="0"/>
          <w:numId w:val="17"/>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工业企业污染源现状</w:t>
      </w:r>
    </w:p>
    <w:p w14:paraId="35F8E6B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w:t>
      </w:r>
    </w:p>
    <w:p w14:paraId="4BFF26D1">
      <w:pPr>
        <w:numPr>
          <w:ilvl w:val="0"/>
          <w:numId w:val="17"/>
        </w:numPr>
        <w:bidi w:val="0"/>
        <w:rPr>
          <w:rFonts w:hint="default" w:ascii="Times New Roman" w:hAnsi="Times New Roman" w:cs="Times New Roman"/>
          <w:highlight w:val="none"/>
          <w:lang w:val="en-US" w:eastAsia="zh-CN"/>
        </w:rPr>
      </w:pPr>
      <w:r>
        <w:rPr>
          <w:rFonts w:hint="eastAsia" w:cs="Times New Roman"/>
          <w:highlight w:val="none"/>
          <w:lang w:val="en-US" w:eastAsia="zh-CN"/>
        </w:rPr>
        <w:t>生活污染源</w:t>
      </w:r>
    </w:p>
    <w:p w14:paraId="58158E25">
      <w:pPr>
        <w:bidi w:val="0"/>
        <w:rPr>
          <w:rFonts w:hint="default"/>
          <w:highlight w:val="none"/>
          <w:lang w:val="en-US" w:eastAsia="zh-CN"/>
        </w:rPr>
      </w:pPr>
      <w:r>
        <w:rPr>
          <w:rFonts w:hint="eastAsia"/>
          <w:highlight w:val="none"/>
          <w:lang w:val="en-US" w:eastAsia="zh-CN"/>
        </w:rPr>
        <w:t>根据统计，冷龙沟流域现状年共有人口270人。</w:t>
      </w:r>
    </w:p>
    <w:p w14:paraId="26081BBA">
      <w:pPr>
        <w:numPr>
          <w:ilvl w:val="0"/>
          <w:numId w:val="18"/>
        </w:numPr>
        <w:bidi w:val="0"/>
        <w:rPr>
          <w:rFonts w:hint="eastAsia"/>
          <w:highlight w:val="none"/>
          <w:lang w:val="en-US" w:eastAsia="zh-CN"/>
        </w:rPr>
      </w:pPr>
      <w:r>
        <w:rPr>
          <w:rFonts w:hint="eastAsia"/>
          <w:highlight w:val="none"/>
          <w:lang w:val="en-US" w:eastAsia="zh-CN"/>
        </w:rPr>
        <w:t>生活垃圾</w:t>
      </w:r>
    </w:p>
    <w:p w14:paraId="5221A85F">
      <w:pPr>
        <w:bidi w:val="0"/>
        <w:rPr>
          <w:rFonts w:hint="default"/>
          <w:highlight w:val="none"/>
          <w:lang w:val="en-US" w:eastAsia="zh-CN"/>
        </w:rPr>
      </w:pPr>
      <w:r>
        <w:rPr>
          <w:rFonts w:hint="default"/>
          <w:highlight w:val="none"/>
          <w:lang w:val="en-US" w:eastAsia="zh-CN"/>
        </w:rPr>
        <w:t>农村生活垃圾量按0.25～1.25kg/（人·d）计算，出于保守估计，</w:t>
      </w:r>
      <w:r>
        <w:rPr>
          <w:rFonts w:hint="eastAsia"/>
          <w:highlight w:val="none"/>
          <w:lang w:val="en-US" w:eastAsia="zh-CN"/>
        </w:rPr>
        <w:t>冷龙沟</w:t>
      </w:r>
      <w:r>
        <w:rPr>
          <w:rFonts w:hint="default"/>
          <w:highlight w:val="none"/>
          <w:lang w:val="en-US" w:eastAsia="zh-CN"/>
        </w:rPr>
        <w:t>流域生活垃圾产生量核算时人均生活垃圾产生量取1.2</w:t>
      </w:r>
      <w:r>
        <w:rPr>
          <w:rFonts w:hint="eastAsia"/>
          <w:highlight w:val="none"/>
          <w:lang w:val="en-US" w:eastAsia="zh-CN"/>
        </w:rPr>
        <w:t>5</w:t>
      </w:r>
      <w:r>
        <w:rPr>
          <w:rFonts w:hint="default"/>
          <w:highlight w:val="none"/>
          <w:lang w:val="en-US" w:eastAsia="zh-CN"/>
        </w:rPr>
        <w:t>kg/人·d。根据以上计算方法，</w:t>
      </w:r>
      <w:r>
        <w:rPr>
          <w:rFonts w:hint="eastAsia"/>
          <w:highlight w:val="none"/>
          <w:lang w:val="en-US" w:eastAsia="zh-CN"/>
        </w:rPr>
        <w:t>冷龙沟</w:t>
      </w:r>
      <w:r>
        <w:rPr>
          <w:rFonts w:hint="default"/>
          <w:highlight w:val="none"/>
          <w:lang w:val="en-US" w:eastAsia="zh-CN"/>
        </w:rPr>
        <w:t>流域垃圾产生量分别约</w:t>
      </w:r>
      <w:r>
        <w:rPr>
          <w:rFonts w:hint="eastAsia"/>
          <w:highlight w:val="none"/>
          <w:lang w:val="en-US" w:eastAsia="zh-CN"/>
        </w:rPr>
        <w:t>0.3375</w:t>
      </w:r>
      <w:r>
        <w:rPr>
          <w:rFonts w:hint="default"/>
          <w:highlight w:val="none"/>
          <w:lang w:val="en-US" w:eastAsia="zh-CN"/>
        </w:rPr>
        <w:t>t/d。</w:t>
      </w:r>
    </w:p>
    <w:p w14:paraId="1D1B20D4">
      <w:pPr>
        <w:bidi w:val="0"/>
        <w:rPr>
          <w:rFonts w:hint="default"/>
          <w:highlight w:val="none"/>
          <w:lang w:val="en-US" w:eastAsia="zh-CN"/>
        </w:rPr>
      </w:pPr>
      <w:r>
        <w:rPr>
          <w:rFonts w:hint="default"/>
          <w:highlight w:val="none"/>
          <w:lang w:val="en-US" w:eastAsia="zh-CN"/>
        </w:rPr>
        <w:t>近年来，随着农村人居环境整治工作的开展，</w:t>
      </w:r>
      <w:r>
        <w:rPr>
          <w:rFonts w:hint="eastAsia"/>
          <w:highlight w:val="none"/>
          <w:lang w:val="en-US" w:eastAsia="zh-CN"/>
        </w:rPr>
        <w:t>乡城县</w:t>
      </w:r>
      <w:r>
        <w:rPr>
          <w:rFonts w:hint="default"/>
          <w:highlight w:val="none"/>
          <w:lang w:val="en-US" w:eastAsia="zh-CN"/>
        </w:rPr>
        <w:t>基本建立了“户分类、村收集、镇转运、县处理”城乡一体化垃圾处理体系，生活垃圾统一收集处理。流域范围内无垃圾卫生填埋厂。</w:t>
      </w:r>
    </w:p>
    <w:p w14:paraId="5781ABE2">
      <w:pPr>
        <w:bidi w:val="0"/>
        <w:rPr>
          <w:rFonts w:hint="default"/>
          <w:highlight w:val="none"/>
          <w:lang w:val="en-US" w:eastAsia="zh-CN"/>
        </w:rPr>
      </w:pPr>
      <w:r>
        <w:rPr>
          <w:rFonts w:hint="eastAsia"/>
          <w:highlight w:val="none"/>
          <w:lang w:val="en-US" w:eastAsia="zh-CN"/>
        </w:rPr>
        <w:t>（2）生活污水</w:t>
      </w:r>
    </w:p>
    <w:p w14:paraId="4DB05B0C">
      <w:pPr>
        <w:bidi w:val="0"/>
        <w:rPr>
          <w:rFonts w:hint="eastAsia" w:cs="Times New Roman"/>
          <w:highlight w:val="none"/>
          <w:lang w:val="en-US" w:eastAsia="zh-CN"/>
        </w:rPr>
      </w:pPr>
      <w:r>
        <w:rPr>
          <w:rFonts w:hint="default" w:ascii="Times New Roman" w:hAnsi="Times New Roman" w:cs="Times New Roman"/>
          <w:highlight w:val="none"/>
          <w:lang w:val="en-US" w:eastAsia="zh-CN"/>
        </w:rPr>
        <w:t>冷龙沟流域上游尼色拥村已完成整体搬迁，无集中式污水排放。下游仅有零散农村散户排放</w:t>
      </w:r>
      <w:r>
        <w:rPr>
          <w:rFonts w:hint="eastAsia" w:cs="Times New Roman"/>
          <w:highlight w:val="none"/>
          <w:lang w:val="en-US" w:eastAsia="zh-CN"/>
        </w:rPr>
        <w:t>，</w:t>
      </w:r>
      <w:r>
        <w:rPr>
          <w:rFonts w:hint="default" w:ascii="Times New Roman" w:hAnsi="Times New Roman" w:cs="Times New Roman"/>
          <w:highlight w:val="none"/>
          <w:lang w:val="en-US" w:eastAsia="zh-CN"/>
        </w:rPr>
        <w:t>无集中式污水排放</w:t>
      </w:r>
      <w:r>
        <w:rPr>
          <w:rFonts w:hint="eastAsia" w:cs="Times New Roman"/>
          <w:highlight w:val="none"/>
          <w:lang w:val="en-US" w:eastAsia="zh-CN"/>
        </w:rPr>
        <w:t>。各农村污水处理设施为村民自建简易化粪池，未建设污水收集管道和集中式污水处理站，流域内的农村生活污水经化粪池处理后用于农田灌溉、施肥。</w:t>
      </w:r>
    </w:p>
    <w:p w14:paraId="4080C16A">
      <w:pPr>
        <w:bidi w:val="0"/>
        <w:rPr>
          <w:rFonts w:hint="default" w:cs="Times New Roman"/>
          <w:highlight w:val="none"/>
          <w:lang w:val="en-US" w:eastAsia="zh-CN"/>
        </w:rPr>
      </w:pPr>
      <w:r>
        <w:rPr>
          <w:rFonts w:hint="default" w:cs="Times New Roman"/>
          <w:highlight w:val="none"/>
          <w:lang w:val="en-US" w:eastAsia="zh-CN"/>
        </w:rPr>
        <w:t>根据《农村生活污水处理工程技术标准》（GB/T51347-2019）设计水量介绍，结合《四川省用水定额》川府函〔2021〕</w:t>
      </w:r>
      <w:r>
        <w:rPr>
          <w:rFonts w:hint="eastAsia" w:cs="Times New Roman"/>
          <w:highlight w:val="none"/>
          <w:lang w:val="en-US" w:eastAsia="zh-CN"/>
        </w:rPr>
        <w:t>，综合排放后的具体水质情况参考《西南地区农村生活污水处理技术指南（试行）》中的推荐值。推荐值如下表所示：</w:t>
      </w:r>
    </w:p>
    <w:p w14:paraId="68F00FCF">
      <w:pPr>
        <w:bidi w:val="0"/>
        <w:rPr>
          <w:rFonts w:hint="default" w:cs="Times New Roman"/>
          <w:highlight w:val="none"/>
          <w:lang w:val="en-US" w:eastAsia="zh-CN"/>
        </w:rPr>
      </w:pPr>
      <w:r>
        <w:rPr>
          <w:rFonts w:hint="default" w:cs="Times New Roman"/>
          <w:highlight w:val="none"/>
          <w:lang w:val="en-US" w:eastAsia="zh-CN"/>
        </w:rPr>
        <w:t>农村生活污水污染物排放量核算公式：</w:t>
      </w:r>
    </w:p>
    <w:p w14:paraId="02DAD6C6">
      <w:pPr>
        <w:bidi w:val="0"/>
        <w:rPr>
          <w:highlight w:val="none"/>
        </w:rPr>
      </w:pPr>
      <w:r>
        <w:rPr>
          <w:rFonts w:hint="default" w:cs="Times New Roman"/>
          <w:highlight w:val="none"/>
          <w:lang w:val="en-US" w:eastAsia="zh-CN"/>
        </w:rPr>
        <w:t>污染物排放量（吨）＝农村常住人口（万人）×污染物产污强度（克/人·天）×365（天）/100×（1-具备污水处理设施的行政村比例×污染物综合去除率）。人均综合生活用水量取70升/人·天；折污系数</w:t>
      </w:r>
      <w:r>
        <w:rPr>
          <w:rFonts w:hint="eastAsia" w:cs="Times New Roman"/>
          <w:highlight w:val="none"/>
          <w:lang w:val="en-US" w:eastAsia="zh-CN"/>
        </w:rPr>
        <w:t>取0.85。</w:t>
      </w:r>
    </w:p>
    <w:p w14:paraId="049254BD">
      <w:pPr>
        <w:pStyle w:val="11"/>
        <w:bidi w:val="0"/>
        <w:ind w:left="0" w:leftChars="0" w:firstLine="0" w:firstLineChars="0"/>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14</w:t>
      </w:r>
      <w:r>
        <w:rPr>
          <w:highlight w:val="none"/>
        </w:rPr>
        <w:fldChar w:fldCharType="end"/>
      </w:r>
      <w:r>
        <w:rPr>
          <w:rFonts w:hint="eastAsia"/>
          <w:highlight w:val="none"/>
          <w:lang w:val="en-US" w:eastAsia="zh-CN"/>
        </w:rPr>
        <w:t xml:space="preserve"> 农村生活污水污染物综合去除率</w:t>
      </w:r>
    </w:p>
    <w:tbl>
      <w:tblPr>
        <w:tblStyle w:val="20"/>
        <w:tblW w:w="84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1878"/>
        <w:gridCol w:w="2259"/>
        <w:gridCol w:w="1650"/>
        <w:gridCol w:w="1364"/>
      </w:tblGrid>
      <w:tr w14:paraId="09AFD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307" w:type="dxa"/>
            <w:vAlign w:val="center"/>
          </w:tcPr>
          <w:p w14:paraId="37B48105">
            <w:pPr>
              <w:pStyle w:val="22"/>
              <w:bidi w:val="0"/>
              <w:jc w:val="center"/>
              <w:rPr>
                <w:rFonts w:hint="default"/>
                <w:highlight w:val="none"/>
                <w:lang w:val="en-US" w:eastAsia="zh-CN"/>
              </w:rPr>
            </w:pPr>
            <w:r>
              <w:rPr>
                <w:rFonts w:hint="eastAsia"/>
                <w:highlight w:val="none"/>
                <w:lang w:val="en-US" w:eastAsia="zh-CN"/>
              </w:rPr>
              <w:t>名称</w:t>
            </w:r>
          </w:p>
        </w:tc>
        <w:tc>
          <w:tcPr>
            <w:tcW w:w="1878" w:type="dxa"/>
            <w:shd w:val="clear" w:color="auto" w:fill="auto"/>
            <w:vAlign w:val="center"/>
          </w:tcPr>
          <w:p w14:paraId="0371F7BF">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cstheme="minorBidi"/>
                <w:iCs/>
                <w:kern w:val="2"/>
                <w:sz w:val="21"/>
                <w:szCs w:val="21"/>
                <w:highlight w:val="none"/>
                <w:lang w:val="en-US" w:eastAsia="zh-CN" w:bidi="ar-SA"/>
              </w:rPr>
              <w:t>产污量单位</w:t>
            </w:r>
          </w:p>
        </w:tc>
        <w:tc>
          <w:tcPr>
            <w:tcW w:w="2259" w:type="dxa"/>
            <w:shd w:val="clear" w:color="auto" w:fill="auto"/>
            <w:vAlign w:val="center"/>
          </w:tcPr>
          <w:p w14:paraId="305825A8">
            <w:pPr>
              <w:pStyle w:val="22"/>
              <w:bidi w:val="0"/>
              <w:ind w:firstLine="0" w:firstLineChars="0"/>
              <w:jc w:val="center"/>
              <w:rPr>
                <w:rFonts w:hint="eastAsia" w:ascii="Times New Roman" w:hAnsi="Times New Roman" w:eastAsiaTheme="minorEastAsia" w:cstheme="minorBidi"/>
                <w:iCs/>
                <w:kern w:val="2"/>
                <w:sz w:val="21"/>
                <w:szCs w:val="21"/>
                <w:highlight w:val="none"/>
                <w:lang w:val="en-US" w:eastAsia="zh-CN" w:bidi="ar-SA"/>
              </w:rPr>
            </w:pPr>
            <w:r>
              <w:rPr>
                <w:rFonts w:hint="eastAsia" w:ascii="Times New Roman" w:hAnsi="Times New Roman" w:eastAsiaTheme="minorEastAsia" w:cstheme="minorBidi"/>
                <w:iCs/>
                <w:kern w:val="2"/>
                <w:sz w:val="21"/>
                <w:szCs w:val="21"/>
                <w:highlight w:val="none"/>
                <w:lang w:val="en-US" w:eastAsia="zh-CN" w:bidi="ar-SA"/>
              </w:rPr>
              <w:t>取值</w:t>
            </w:r>
          </w:p>
        </w:tc>
        <w:tc>
          <w:tcPr>
            <w:tcW w:w="1650" w:type="dxa"/>
            <w:vAlign w:val="center"/>
          </w:tcPr>
          <w:p w14:paraId="67B12BAA">
            <w:pPr>
              <w:pStyle w:val="22"/>
              <w:bidi w:val="0"/>
              <w:jc w:val="center"/>
              <w:rPr>
                <w:rFonts w:hint="eastAsia"/>
                <w:highlight w:val="none"/>
                <w:lang w:val="en-US" w:eastAsia="zh-CN"/>
              </w:rPr>
            </w:pPr>
            <w:r>
              <w:rPr>
                <w:rFonts w:hint="eastAsia"/>
                <w:highlight w:val="none"/>
                <w:lang w:val="en-US" w:eastAsia="zh-CN"/>
              </w:rPr>
              <w:t>去除率单位</w:t>
            </w:r>
          </w:p>
        </w:tc>
        <w:tc>
          <w:tcPr>
            <w:tcW w:w="1364" w:type="dxa"/>
            <w:vAlign w:val="center"/>
          </w:tcPr>
          <w:p w14:paraId="7CF431B7">
            <w:pPr>
              <w:pStyle w:val="22"/>
              <w:bidi w:val="0"/>
              <w:jc w:val="center"/>
              <w:rPr>
                <w:rFonts w:hint="default"/>
                <w:highlight w:val="none"/>
                <w:lang w:val="en-US" w:eastAsia="zh-CN"/>
              </w:rPr>
            </w:pPr>
            <w:r>
              <w:rPr>
                <w:rFonts w:hint="eastAsia"/>
                <w:highlight w:val="none"/>
                <w:lang w:val="en-US" w:eastAsia="zh-CN"/>
              </w:rPr>
              <w:t>去除率取值</w:t>
            </w:r>
          </w:p>
        </w:tc>
      </w:tr>
      <w:tr w14:paraId="0ED5E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307" w:type="dxa"/>
            <w:vAlign w:val="center"/>
          </w:tcPr>
          <w:p w14:paraId="356467A1">
            <w:pPr>
              <w:pStyle w:val="22"/>
              <w:bidi w:val="0"/>
              <w:jc w:val="center"/>
              <w:rPr>
                <w:rFonts w:hint="eastAsia"/>
                <w:highlight w:val="none"/>
                <w:lang w:val="en-US" w:eastAsia="zh-CN"/>
              </w:rPr>
            </w:pPr>
            <w:r>
              <w:rPr>
                <w:rFonts w:hint="eastAsia"/>
                <w:highlight w:val="none"/>
                <w:lang w:val="en-US" w:eastAsia="zh-CN"/>
              </w:rPr>
              <w:t>化学需氧量</w:t>
            </w:r>
          </w:p>
        </w:tc>
        <w:tc>
          <w:tcPr>
            <w:tcW w:w="1878" w:type="dxa"/>
            <w:shd w:val="clear" w:color="auto" w:fill="auto"/>
            <w:vAlign w:val="center"/>
          </w:tcPr>
          <w:p w14:paraId="4C7BF77A">
            <w:pPr>
              <w:pStyle w:val="22"/>
              <w:bidi w:val="0"/>
              <w:ind w:firstLine="0" w:firstLineChars="0"/>
              <w:jc w:val="center"/>
              <w:rPr>
                <w:rFonts w:hint="eastAsia" w:ascii="Times New Roman" w:hAnsi="Times New Roman" w:eastAsiaTheme="minorEastAsia" w:cstheme="minorBidi"/>
                <w:iCs/>
                <w:kern w:val="2"/>
                <w:sz w:val="21"/>
                <w:szCs w:val="21"/>
                <w:highlight w:val="none"/>
                <w:lang w:val="en-US" w:eastAsia="zh-CN" w:bidi="ar-SA"/>
              </w:rPr>
            </w:pPr>
            <w:r>
              <w:rPr>
                <w:rFonts w:hint="eastAsia" w:ascii="Times New Roman" w:hAnsi="Times New Roman" w:eastAsiaTheme="minorEastAsia" w:cstheme="minorBidi"/>
                <w:iCs/>
                <w:kern w:val="2"/>
                <w:sz w:val="21"/>
                <w:szCs w:val="21"/>
                <w:highlight w:val="none"/>
                <w:lang w:val="en-US" w:eastAsia="zh-CN" w:bidi="ar-SA"/>
              </w:rPr>
              <w:t>mg/L</w:t>
            </w:r>
          </w:p>
        </w:tc>
        <w:tc>
          <w:tcPr>
            <w:tcW w:w="2259" w:type="dxa"/>
            <w:shd w:val="clear" w:color="auto" w:fill="auto"/>
            <w:vAlign w:val="center"/>
          </w:tcPr>
          <w:p w14:paraId="02241196">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ascii="Times New Roman" w:hAnsi="Times New Roman" w:cstheme="minorBidi"/>
                <w:iCs/>
                <w:kern w:val="2"/>
                <w:sz w:val="21"/>
                <w:szCs w:val="21"/>
                <w:highlight w:val="none"/>
                <w:lang w:val="en-US" w:eastAsia="zh-CN" w:bidi="ar-SA"/>
              </w:rPr>
              <w:t>340</w:t>
            </w:r>
          </w:p>
        </w:tc>
        <w:tc>
          <w:tcPr>
            <w:tcW w:w="1650" w:type="dxa"/>
            <w:vAlign w:val="center"/>
          </w:tcPr>
          <w:p w14:paraId="6EB25C50">
            <w:pPr>
              <w:pStyle w:val="22"/>
              <w:bidi w:val="0"/>
              <w:jc w:val="center"/>
              <w:rPr>
                <w:rFonts w:hint="eastAsia"/>
                <w:highlight w:val="none"/>
                <w:lang w:val="en-US" w:eastAsia="zh-CN"/>
              </w:rPr>
            </w:pPr>
            <w:r>
              <w:rPr>
                <w:rFonts w:hint="eastAsia"/>
                <w:highlight w:val="none"/>
                <w:lang w:val="en-US" w:eastAsia="zh-CN"/>
              </w:rPr>
              <w:t>%</w:t>
            </w:r>
          </w:p>
        </w:tc>
        <w:tc>
          <w:tcPr>
            <w:tcW w:w="1364" w:type="dxa"/>
            <w:vAlign w:val="center"/>
          </w:tcPr>
          <w:p w14:paraId="1D802884">
            <w:pPr>
              <w:pStyle w:val="22"/>
              <w:bidi w:val="0"/>
              <w:jc w:val="center"/>
              <w:rPr>
                <w:rFonts w:hint="default"/>
                <w:highlight w:val="none"/>
                <w:lang w:val="en-US" w:eastAsia="zh-CN"/>
              </w:rPr>
            </w:pPr>
            <w:r>
              <w:rPr>
                <w:rFonts w:hint="eastAsia"/>
                <w:highlight w:val="none"/>
                <w:lang w:val="en-US" w:eastAsia="zh-CN"/>
              </w:rPr>
              <w:t>25</w:t>
            </w:r>
          </w:p>
        </w:tc>
      </w:tr>
      <w:tr w14:paraId="20D4D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307" w:type="dxa"/>
            <w:vAlign w:val="center"/>
          </w:tcPr>
          <w:p w14:paraId="7BCFFAD0">
            <w:pPr>
              <w:pStyle w:val="22"/>
              <w:bidi w:val="0"/>
              <w:jc w:val="center"/>
              <w:rPr>
                <w:rFonts w:hint="eastAsia"/>
                <w:highlight w:val="none"/>
                <w:lang w:val="en-US" w:eastAsia="zh-CN"/>
              </w:rPr>
            </w:pPr>
            <w:r>
              <w:rPr>
                <w:rFonts w:hint="eastAsia"/>
                <w:highlight w:val="none"/>
                <w:lang w:val="en-US" w:eastAsia="zh-CN"/>
              </w:rPr>
              <w:t>氨氮</w:t>
            </w:r>
          </w:p>
        </w:tc>
        <w:tc>
          <w:tcPr>
            <w:tcW w:w="1878" w:type="dxa"/>
            <w:shd w:val="clear" w:color="auto" w:fill="auto"/>
            <w:vAlign w:val="center"/>
          </w:tcPr>
          <w:p w14:paraId="1510393B">
            <w:pPr>
              <w:pStyle w:val="22"/>
              <w:bidi w:val="0"/>
              <w:ind w:firstLine="0" w:firstLineChars="0"/>
              <w:jc w:val="center"/>
              <w:rPr>
                <w:rFonts w:hint="eastAsia" w:ascii="Times New Roman" w:hAnsi="Times New Roman" w:eastAsiaTheme="minorEastAsia" w:cstheme="minorBidi"/>
                <w:iCs/>
                <w:kern w:val="2"/>
                <w:sz w:val="21"/>
                <w:szCs w:val="21"/>
                <w:highlight w:val="none"/>
                <w:lang w:val="en-US" w:eastAsia="zh-CN" w:bidi="ar-SA"/>
              </w:rPr>
            </w:pPr>
            <w:r>
              <w:rPr>
                <w:rFonts w:hint="eastAsia" w:ascii="Times New Roman" w:hAnsi="Times New Roman" w:eastAsiaTheme="minorEastAsia" w:cstheme="minorBidi"/>
                <w:iCs/>
                <w:kern w:val="2"/>
                <w:sz w:val="21"/>
                <w:szCs w:val="21"/>
                <w:highlight w:val="none"/>
                <w:lang w:val="en-US" w:eastAsia="zh-CN" w:bidi="ar-SA"/>
              </w:rPr>
              <w:t>mg/L</w:t>
            </w:r>
          </w:p>
        </w:tc>
        <w:tc>
          <w:tcPr>
            <w:tcW w:w="2259" w:type="dxa"/>
            <w:shd w:val="clear" w:color="auto" w:fill="auto"/>
            <w:vAlign w:val="center"/>
          </w:tcPr>
          <w:p w14:paraId="43B564CB">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ascii="Times New Roman" w:hAnsi="Times New Roman" w:cstheme="minorBidi"/>
                <w:iCs/>
                <w:kern w:val="2"/>
                <w:sz w:val="21"/>
                <w:szCs w:val="21"/>
                <w:highlight w:val="none"/>
                <w:lang w:val="en-US" w:eastAsia="zh-CN" w:bidi="ar-SA"/>
              </w:rPr>
              <w:t>32.6</w:t>
            </w:r>
          </w:p>
        </w:tc>
        <w:tc>
          <w:tcPr>
            <w:tcW w:w="1650" w:type="dxa"/>
            <w:vAlign w:val="center"/>
          </w:tcPr>
          <w:p w14:paraId="36DE97CA">
            <w:pPr>
              <w:pStyle w:val="22"/>
              <w:bidi w:val="0"/>
              <w:jc w:val="center"/>
              <w:rPr>
                <w:rFonts w:hint="eastAsia"/>
                <w:highlight w:val="none"/>
                <w:lang w:val="en-US" w:eastAsia="zh-CN"/>
              </w:rPr>
            </w:pPr>
            <w:r>
              <w:rPr>
                <w:rFonts w:hint="eastAsia"/>
                <w:highlight w:val="none"/>
                <w:lang w:val="en-US" w:eastAsia="zh-CN"/>
              </w:rPr>
              <w:t>%</w:t>
            </w:r>
          </w:p>
        </w:tc>
        <w:tc>
          <w:tcPr>
            <w:tcW w:w="1364" w:type="dxa"/>
            <w:vAlign w:val="center"/>
          </w:tcPr>
          <w:p w14:paraId="0DB11386">
            <w:pPr>
              <w:pStyle w:val="22"/>
              <w:bidi w:val="0"/>
              <w:jc w:val="center"/>
              <w:rPr>
                <w:rFonts w:hint="default"/>
                <w:highlight w:val="none"/>
                <w:lang w:val="en-US" w:eastAsia="zh-CN"/>
              </w:rPr>
            </w:pPr>
            <w:r>
              <w:rPr>
                <w:rFonts w:hint="eastAsia"/>
                <w:highlight w:val="none"/>
                <w:lang w:val="en-US" w:eastAsia="zh-CN"/>
              </w:rPr>
              <w:t>50</w:t>
            </w:r>
          </w:p>
        </w:tc>
      </w:tr>
      <w:tr w14:paraId="57224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307" w:type="dxa"/>
            <w:vAlign w:val="center"/>
          </w:tcPr>
          <w:p w14:paraId="58AD913F">
            <w:pPr>
              <w:pStyle w:val="22"/>
              <w:bidi w:val="0"/>
              <w:jc w:val="center"/>
              <w:rPr>
                <w:rFonts w:hint="default"/>
                <w:highlight w:val="none"/>
                <w:lang w:val="en-US" w:eastAsia="zh-CN"/>
              </w:rPr>
            </w:pPr>
            <w:r>
              <w:rPr>
                <w:rFonts w:hint="eastAsia"/>
                <w:highlight w:val="none"/>
                <w:lang w:val="en-US" w:eastAsia="zh-CN"/>
              </w:rPr>
              <w:t>总氮</w:t>
            </w:r>
          </w:p>
        </w:tc>
        <w:tc>
          <w:tcPr>
            <w:tcW w:w="1878" w:type="dxa"/>
            <w:shd w:val="clear" w:color="auto" w:fill="auto"/>
            <w:vAlign w:val="center"/>
          </w:tcPr>
          <w:p w14:paraId="27724C8B">
            <w:pPr>
              <w:pStyle w:val="22"/>
              <w:bidi w:val="0"/>
              <w:ind w:firstLine="0" w:firstLineChars="0"/>
              <w:jc w:val="center"/>
              <w:rPr>
                <w:rFonts w:hint="eastAsia" w:ascii="Times New Roman" w:hAnsi="Times New Roman" w:eastAsiaTheme="minorEastAsia" w:cstheme="minorBidi"/>
                <w:iCs/>
                <w:kern w:val="2"/>
                <w:sz w:val="21"/>
                <w:szCs w:val="21"/>
                <w:highlight w:val="none"/>
                <w:lang w:val="en-US" w:eastAsia="zh-CN" w:bidi="ar-SA"/>
              </w:rPr>
            </w:pPr>
            <w:r>
              <w:rPr>
                <w:rFonts w:hint="eastAsia" w:ascii="Times New Roman" w:hAnsi="Times New Roman" w:eastAsiaTheme="minorEastAsia" w:cstheme="minorBidi"/>
                <w:iCs/>
                <w:kern w:val="2"/>
                <w:sz w:val="21"/>
                <w:szCs w:val="21"/>
                <w:highlight w:val="none"/>
                <w:lang w:val="en-US" w:eastAsia="zh-CN" w:bidi="ar-SA"/>
              </w:rPr>
              <w:t>mg/L</w:t>
            </w:r>
          </w:p>
        </w:tc>
        <w:tc>
          <w:tcPr>
            <w:tcW w:w="2259" w:type="dxa"/>
            <w:shd w:val="clear" w:color="auto" w:fill="auto"/>
            <w:vAlign w:val="center"/>
          </w:tcPr>
          <w:p w14:paraId="3FCAE9DD">
            <w:pPr>
              <w:pStyle w:val="22"/>
              <w:bidi w:val="0"/>
              <w:ind w:firstLine="0" w:firstLineChars="0"/>
              <w:jc w:val="center"/>
              <w:rPr>
                <w:rFonts w:hint="eastAsia" w:ascii="Times New Roman" w:hAnsi="Times New Roman" w:eastAsiaTheme="minorEastAsia" w:cstheme="minorBidi"/>
                <w:iCs/>
                <w:kern w:val="2"/>
                <w:sz w:val="21"/>
                <w:szCs w:val="21"/>
                <w:highlight w:val="none"/>
                <w:lang w:val="en-US" w:eastAsia="zh-CN" w:bidi="ar-SA"/>
              </w:rPr>
            </w:pPr>
            <w:r>
              <w:rPr>
                <w:rFonts w:hint="eastAsia" w:ascii="Times New Roman" w:hAnsi="Times New Roman" w:cstheme="minorBidi"/>
                <w:iCs/>
                <w:kern w:val="2"/>
                <w:sz w:val="21"/>
                <w:szCs w:val="21"/>
                <w:highlight w:val="none"/>
                <w:lang w:val="en-US" w:eastAsia="zh-CN" w:bidi="ar-SA"/>
              </w:rPr>
              <w:t>44.8</w:t>
            </w:r>
          </w:p>
        </w:tc>
        <w:tc>
          <w:tcPr>
            <w:tcW w:w="1650" w:type="dxa"/>
            <w:vAlign w:val="center"/>
          </w:tcPr>
          <w:p w14:paraId="21D557CD">
            <w:pPr>
              <w:pStyle w:val="22"/>
              <w:bidi w:val="0"/>
              <w:jc w:val="center"/>
              <w:rPr>
                <w:rFonts w:hint="eastAsia"/>
                <w:highlight w:val="none"/>
                <w:lang w:val="en-US" w:eastAsia="zh-CN"/>
              </w:rPr>
            </w:pPr>
            <w:r>
              <w:rPr>
                <w:rFonts w:hint="eastAsia"/>
                <w:highlight w:val="none"/>
                <w:lang w:val="en-US" w:eastAsia="zh-CN"/>
              </w:rPr>
              <w:t>%</w:t>
            </w:r>
          </w:p>
        </w:tc>
        <w:tc>
          <w:tcPr>
            <w:tcW w:w="1364" w:type="dxa"/>
            <w:vAlign w:val="center"/>
          </w:tcPr>
          <w:p w14:paraId="482843DF">
            <w:pPr>
              <w:pStyle w:val="22"/>
              <w:bidi w:val="0"/>
              <w:jc w:val="center"/>
              <w:rPr>
                <w:rFonts w:hint="eastAsia"/>
                <w:highlight w:val="none"/>
                <w:lang w:val="en-US" w:eastAsia="zh-CN"/>
              </w:rPr>
            </w:pPr>
            <w:r>
              <w:rPr>
                <w:rFonts w:hint="eastAsia"/>
                <w:highlight w:val="none"/>
                <w:lang w:val="en-US" w:eastAsia="zh-CN"/>
              </w:rPr>
              <w:t>17</w:t>
            </w:r>
          </w:p>
        </w:tc>
      </w:tr>
      <w:tr w14:paraId="18F9B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307" w:type="dxa"/>
            <w:vAlign w:val="center"/>
          </w:tcPr>
          <w:p w14:paraId="56D926E5">
            <w:pPr>
              <w:pStyle w:val="22"/>
              <w:bidi w:val="0"/>
              <w:jc w:val="center"/>
              <w:rPr>
                <w:rFonts w:hint="default"/>
                <w:highlight w:val="none"/>
                <w:lang w:val="en-US" w:eastAsia="zh-CN"/>
              </w:rPr>
            </w:pPr>
            <w:r>
              <w:rPr>
                <w:rFonts w:hint="eastAsia"/>
                <w:highlight w:val="none"/>
                <w:lang w:val="en-US" w:eastAsia="zh-CN"/>
              </w:rPr>
              <w:t>总磷</w:t>
            </w:r>
          </w:p>
        </w:tc>
        <w:tc>
          <w:tcPr>
            <w:tcW w:w="1878" w:type="dxa"/>
            <w:shd w:val="clear" w:color="auto" w:fill="auto"/>
            <w:vAlign w:val="center"/>
          </w:tcPr>
          <w:p w14:paraId="07931CBB">
            <w:pPr>
              <w:pStyle w:val="22"/>
              <w:bidi w:val="0"/>
              <w:ind w:firstLine="0" w:firstLineChars="0"/>
              <w:jc w:val="center"/>
              <w:rPr>
                <w:rFonts w:hint="eastAsia" w:ascii="Times New Roman" w:hAnsi="Times New Roman" w:eastAsiaTheme="minorEastAsia" w:cstheme="minorBidi"/>
                <w:iCs/>
                <w:kern w:val="2"/>
                <w:sz w:val="21"/>
                <w:szCs w:val="21"/>
                <w:highlight w:val="none"/>
                <w:lang w:val="en-US" w:eastAsia="zh-CN" w:bidi="ar-SA"/>
              </w:rPr>
            </w:pPr>
            <w:r>
              <w:rPr>
                <w:rFonts w:hint="eastAsia" w:ascii="Times New Roman" w:hAnsi="Times New Roman" w:eastAsiaTheme="minorEastAsia" w:cstheme="minorBidi"/>
                <w:iCs/>
                <w:kern w:val="2"/>
                <w:sz w:val="21"/>
                <w:szCs w:val="21"/>
                <w:highlight w:val="none"/>
                <w:lang w:val="en-US" w:eastAsia="zh-CN" w:bidi="ar-SA"/>
              </w:rPr>
              <w:t>mg/L</w:t>
            </w:r>
          </w:p>
        </w:tc>
        <w:tc>
          <w:tcPr>
            <w:tcW w:w="2259" w:type="dxa"/>
            <w:shd w:val="clear" w:color="auto" w:fill="auto"/>
            <w:vAlign w:val="center"/>
          </w:tcPr>
          <w:p w14:paraId="7E1F589B">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ascii="Times New Roman" w:hAnsi="Times New Roman" w:cstheme="minorBidi"/>
                <w:iCs/>
                <w:kern w:val="2"/>
                <w:sz w:val="21"/>
                <w:szCs w:val="21"/>
                <w:highlight w:val="none"/>
                <w:lang w:val="en-US" w:eastAsia="zh-CN" w:bidi="ar-SA"/>
              </w:rPr>
              <w:t>4.27</w:t>
            </w:r>
          </w:p>
        </w:tc>
        <w:tc>
          <w:tcPr>
            <w:tcW w:w="1650" w:type="dxa"/>
            <w:vAlign w:val="center"/>
          </w:tcPr>
          <w:p w14:paraId="1FBC3B33">
            <w:pPr>
              <w:pStyle w:val="22"/>
              <w:bidi w:val="0"/>
              <w:jc w:val="center"/>
              <w:rPr>
                <w:rFonts w:hint="eastAsia"/>
                <w:highlight w:val="none"/>
                <w:lang w:val="en-US" w:eastAsia="zh-CN"/>
              </w:rPr>
            </w:pPr>
            <w:r>
              <w:rPr>
                <w:rFonts w:hint="eastAsia"/>
                <w:highlight w:val="none"/>
                <w:lang w:val="en-US" w:eastAsia="zh-CN"/>
              </w:rPr>
              <w:t>%</w:t>
            </w:r>
          </w:p>
        </w:tc>
        <w:tc>
          <w:tcPr>
            <w:tcW w:w="1364" w:type="dxa"/>
            <w:vAlign w:val="center"/>
          </w:tcPr>
          <w:p w14:paraId="67248714">
            <w:pPr>
              <w:pStyle w:val="22"/>
              <w:bidi w:val="0"/>
              <w:jc w:val="center"/>
              <w:rPr>
                <w:rFonts w:hint="default"/>
                <w:highlight w:val="none"/>
                <w:lang w:val="en-US" w:eastAsia="zh-CN"/>
              </w:rPr>
            </w:pPr>
            <w:r>
              <w:rPr>
                <w:rFonts w:hint="eastAsia"/>
                <w:highlight w:val="none"/>
                <w:lang w:val="en-US" w:eastAsia="zh-CN"/>
              </w:rPr>
              <w:t>33</w:t>
            </w:r>
          </w:p>
        </w:tc>
      </w:tr>
    </w:tbl>
    <w:p w14:paraId="03231D94">
      <w:pPr>
        <w:ind w:left="0" w:leftChars="0" w:firstLine="480" w:firstLineChars="200"/>
        <w:rPr>
          <w:rFonts w:hint="default"/>
          <w:highlight w:val="none"/>
          <w:lang w:val="en-US" w:eastAsia="zh-CN"/>
        </w:rPr>
      </w:pPr>
      <w:r>
        <w:rPr>
          <w:rFonts w:hint="eastAsia"/>
          <w:highlight w:val="none"/>
          <w:lang w:val="en-US" w:eastAsia="zh-CN"/>
        </w:rPr>
        <w:t>根据以上计算方法，测算出流域内生活污染源排放情况见下表。</w:t>
      </w:r>
    </w:p>
    <w:p w14:paraId="6B2D12CB">
      <w:pPr>
        <w:pStyle w:val="11"/>
        <w:bidi w:val="0"/>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15</w:t>
      </w:r>
      <w:r>
        <w:rPr>
          <w:highlight w:val="none"/>
        </w:rPr>
        <w:fldChar w:fldCharType="end"/>
      </w:r>
      <w:r>
        <w:rPr>
          <w:rFonts w:hint="eastAsia"/>
          <w:highlight w:val="none"/>
          <w:lang w:val="en-US" w:eastAsia="zh-CN"/>
        </w:rPr>
        <w:t xml:space="preserve"> 冷龙沟流域生活面源计算结果（单位：t/a）</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68577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14:paraId="207F799C">
            <w:pPr>
              <w:pStyle w:val="22"/>
              <w:bidi w:val="0"/>
              <w:jc w:val="center"/>
              <w:rPr>
                <w:rFonts w:hint="default"/>
                <w:highlight w:val="none"/>
                <w:lang w:val="en-US" w:eastAsia="zh-CN"/>
              </w:rPr>
            </w:pPr>
            <w:r>
              <w:rPr>
                <w:rFonts w:hint="eastAsia"/>
                <w:highlight w:val="none"/>
                <w:lang w:val="en-US" w:eastAsia="zh-CN"/>
              </w:rPr>
              <w:t>流域</w:t>
            </w:r>
          </w:p>
        </w:tc>
        <w:tc>
          <w:tcPr>
            <w:tcW w:w="1420" w:type="dxa"/>
            <w:vMerge w:val="restart"/>
            <w:vAlign w:val="center"/>
          </w:tcPr>
          <w:p w14:paraId="767639AC">
            <w:pPr>
              <w:pStyle w:val="22"/>
              <w:bidi w:val="0"/>
              <w:jc w:val="center"/>
              <w:rPr>
                <w:rFonts w:hint="default"/>
                <w:highlight w:val="none"/>
                <w:lang w:val="en-US" w:eastAsia="zh-CN"/>
              </w:rPr>
            </w:pPr>
            <w:r>
              <w:rPr>
                <w:rFonts w:hint="default"/>
                <w:highlight w:val="none"/>
                <w:lang w:val="en-US" w:eastAsia="zh-CN"/>
              </w:rPr>
              <w:t>类别</w:t>
            </w:r>
          </w:p>
        </w:tc>
        <w:tc>
          <w:tcPr>
            <w:tcW w:w="5682" w:type="dxa"/>
            <w:gridSpan w:val="4"/>
            <w:vAlign w:val="center"/>
          </w:tcPr>
          <w:p w14:paraId="489AAA0B">
            <w:pPr>
              <w:pStyle w:val="22"/>
              <w:bidi w:val="0"/>
              <w:jc w:val="center"/>
              <w:rPr>
                <w:rFonts w:hint="default"/>
                <w:highlight w:val="none"/>
                <w:lang w:val="en-US" w:eastAsia="zh-CN"/>
              </w:rPr>
            </w:pPr>
            <w:r>
              <w:rPr>
                <w:rFonts w:hint="default"/>
                <w:highlight w:val="none"/>
                <w:lang w:val="en-US" w:eastAsia="zh-CN"/>
              </w:rPr>
              <w:t>污染物</w:t>
            </w:r>
          </w:p>
        </w:tc>
      </w:tr>
      <w:tr w14:paraId="04FC8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14:paraId="1D980795">
            <w:pPr>
              <w:pStyle w:val="22"/>
              <w:bidi w:val="0"/>
              <w:jc w:val="center"/>
              <w:rPr>
                <w:rFonts w:hint="default"/>
                <w:highlight w:val="none"/>
                <w:lang w:val="en-US" w:eastAsia="zh-CN"/>
              </w:rPr>
            </w:pPr>
          </w:p>
        </w:tc>
        <w:tc>
          <w:tcPr>
            <w:tcW w:w="1420" w:type="dxa"/>
            <w:vMerge w:val="continue"/>
            <w:vAlign w:val="center"/>
          </w:tcPr>
          <w:p w14:paraId="6928B5A4">
            <w:pPr>
              <w:pStyle w:val="22"/>
              <w:bidi w:val="0"/>
              <w:jc w:val="center"/>
              <w:rPr>
                <w:rFonts w:hint="default"/>
                <w:highlight w:val="none"/>
                <w:lang w:val="en-US" w:eastAsia="zh-CN"/>
              </w:rPr>
            </w:pPr>
          </w:p>
        </w:tc>
        <w:tc>
          <w:tcPr>
            <w:tcW w:w="1420" w:type="dxa"/>
            <w:vAlign w:val="center"/>
          </w:tcPr>
          <w:p w14:paraId="14223DA1">
            <w:pPr>
              <w:pStyle w:val="22"/>
              <w:bidi w:val="0"/>
              <w:jc w:val="center"/>
              <w:rPr>
                <w:rFonts w:hint="default"/>
                <w:highlight w:val="none"/>
                <w:lang w:val="en-US" w:eastAsia="zh-CN"/>
              </w:rPr>
            </w:pPr>
            <w:r>
              <w:rPr>
                <w:rFonts w:hint="default"/>
                <w:highlight w:val="none"/>
                <w:lang w:val="en-US" w:eastAsia="zh-CN"/>
              </w:rPr>
              <w:t>COD</w:t>
            </w:r>
          </w:p>
        </w:tc>
        <w:tc>
          <w:tcPr>
            <w:tcW w:w="1420" w:type="dxa"/>
            <w:vAlign w:val="center"/>
          </w:tcPr>
          <w:p w14:paraId="4024C925">
            <w:pPr>
              <w:pStyle w:val="22"/>
              <w:bidi w:val="0"/>
              <w:jc w:val="center"/>
              <w:rPr>
                <w:rFonts w:hint="default"/>
                <w:highlight w:val="none"/>
                <w:lang w:val="en-US" w:eastAsia="zh-CN"/>
              </w:rPr>
            </w:pPr>
            <w:r>
              <w:rPr>
                <w:rFonts w:hint="eastAsia"/>
                <w:highlight w:val="none"/>
                <w:lang w:val="en-US" w:eastAsia="zh-CN"/>
              </w:rPr>
              <w:t>氨氮</w:t>
            </w:r>
          </w:p>
        </w:tc>
        <w:tc>
          <w:tcPr>
            <w:tcW w:w="1421" w:type="dxa"/>
            <w:vAlign w:val="center"/>
          </w:tcPr>
          <w:p w14:paraId="28419FE2">
            <w:pPr>
              <w:pStyle w:val="22"/>
              <w:bidi w:val="0"/>
              <w:jc w:val="center"/>
              <w:rPr>
                <w:rFonts w:hint="default"/>
                <w:highlight w:val="none"/>
                <w:lang w:val="en-US" w:eastAsia="zh-CN"/>
              </w:rPr>
            </w:pPr>
            <w:r>
              <w:rPr>
                <w:rFonts w:hint="eastAsia"/>
                <w:highlight w:val="none"/>
                <w:lang w:val="en-US" w:eastAsia="zh-CN"/>
              </w:rPr>
              <w:t>总氮</w:t>
            </w:r>
          </w:p>
        </w:tc>
        <w:tc>
          <w:tcPr>
            <w:tcW w:w="1421" w:type="dxa"/>
            <w:vAlign w:val="center"/>
          </w:tcPr>
          <w:p w14:paraId="498A3ED3">
            <w:pPr>
              <w:pStyle w:val="22"/>
              <w:bidi w:val="0"/>
              <w:jc w:val="center"/>
              <w:rPr>
                <w:rFonts w:hint="default"/>
                <w:highlight w:val="none"/>
                <w:lang w:val="en-US" w:eastAsia="zh-CN"/>
              </w:rPr>
            </w:pPr>
            <w:r>
              <w:rPr>
                <w:rFonts w:hint="eastAsia"/>
                <w:highlight w:val="none"/>
                <w:lang w:val="en-US" w:eastAsia="zh-CN"/>
              </w:rPr>
              <w:t>总磷</w:t>
            </w:r>
          </w:p>
        </w:tc>
      </w:tr>
      <w:tr w14:paraId="49D45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14:paraId="093D9ABF">
            <w:pPr>
              <w:pStyle w:val="22"/>
              <w:bidi w:val="0"/>
              <w:jc w:val="center"/>
              <w:rPr>
                <w:rFonts w:hint="default"/>
                <w:highlight w:val="none"/>
                <w:lang w:val="en-US" w:eastAsia="zh-CN"/>
              </w:rPr>
            </w:pPr>
            <w:r>
              <w:rPr>
                <w:rFonts w:hint="eastAsia"/>
                <w:highlight w:val="none"/>
                <w:lang w:val="en-US" w:eastAsia="zh-CN"/>
              </w:rPr>
              <w:t>冷龙沟</w:t>
            </w:r>
          </w:p>
        </w:tc>
        <w:tc>
          <w:tcPr>
            <w:tcW w:w="1420" w:type="dxa"/>
            <w:vAlign w:val="center"/>
          </w:tcPr>
          <w:p w14:paraId="49CFE23E">
            <w:pPr>
              <w:pStyle w:val="22"/>
              <w:bidi w:val="0"/>
              <w:jc w:val="center"/>
              <w:rPr>
                <w:rFonts w:hint="default"/>
                <w:highlight w:val="none"/>
                <w:lang w:val="en-US" w:eastAsia="zh-CN"/>
              </w:rPr>
            </w:pPr>
            <w:r>
              <w:rPr>
                <w:rFonts w:hint="eastAsia"/>
                <w:highlight w:val="none"/>
                <w:lang w:val="en-US" w:eastAsia="zh-CN"/>
              </w:rPr>
              <w:t>排放量</w:t>
            </w:r>
          </w:p>
        </w:tc>
        <w:tc>
          <w:tcPr>
            <w:tcW w:w="1420" w:type="dxa"/>
            <w:vAlign w:val="center"/>
          </w:tcPr>
          <w:p w14:paraId="1329E900">
            <w:pPr>
              <w:pStyle w:val="22"/>
              <w:bidi w:val="0"/>
              <w:jc w:val="center"/>
              <w:rPr>
                <w:rFonts w:hint="default"/>
                <w:highlight w:val="none"/>
                <w:lang w:val="en-US" w:eastAsia="zh-CN"/>
              </w:rPr>
            </w:pPr>
            <w:r>
              <w:rPr>
                <w:rFonts w:hint="eastAsia"/>
                <w:highlight w:val="none"/>
                <w:lang w:val="en-US" w:eastAsia="zh-CN"/>
              </w:rPr>
              <w:t>0.004097</w:t>
            </w:r>
          </w:p>
        </w:tc>
        <w:tc>
          <w:tcPr>
            <w:tcW w:w="1420" w:type="dxa"/>
            <w:vAlign w:val="center"/>
          </w:tcPr>
          <w:p w14:paraId="0D775D83">
            <w:pPr>
              <w:pStyle w:val="22"/>
              <w:bidi w:val="0"/>
              <w:jc w:val="center"/>
              <w:rPr>
                <w:rFonts w:hint="default"/>
                <w:highlight w:val="none"/>
                <w:lang w:val="en-US" w:eastAsia="zh-CN"/>
              </w:rPr>
            </w:pPr>
            <w:r>
              <w:rPr>
                <w:rFonts w:hint="eastAsia"/>
                <w:highlight w:val="none"/>
                <w:lang w:val="en-US" w:eastAsia="zh-CN"/>
              </w:rPr>
              <w:t>0.000262</w:t>
            </w:r>
          </w:p>
        </w:tc>
        <w:tc>
          <w:tcPr>
            <w:tcW w:w="1421" w:type="dxa"/>
            <w:vAlign w:val="center"/>
          </w:tcPr>
          <w:p w14:paraId="06E776C1">
            <w:pPr>
              <w:pStyle w:val="22"/>
              <w:bidi w:val="0"/>
              <w:jc w:val="center"/>
              <w:rPr>
                <w:rFonts w:hint="default"/>
                <w:highlight w:val="none"/>
                <w:lang w:val="en-US" w:eastAsia="zh-CN"/>
              </w:rPr>
            </w:pPr>
            <w:r>
              <w:rPr>
                <w:rFonts w:hint="eastAsia"/>
                <w:highlight w:val="none"/>
                <w:lang w:val="en-US" w:eastAsia="zh-CN"/>
              </w:rPr>
              <w:t>0.000597</w:t>
            </w:r>
          </w:p>
        </w:tc>
        <w:tc>
          <w:tcPr>
            <w:tcW w:w="1421" w:type="dxa"/>
            <w:vAlign w:val="center"/>
          </w:tcPr>
          <w:p w14:paraId="334BBFE8">
            <w:pPr>
              <w:pStyle w:val="22"/>
              <w:bidi w:val="0"/>
              <w:jc w:val="center"/>
              <w:rPr>
                <w:rFonts w:hint="default"/>
                <w:highlight w:val="none"/>
                <w:lang w:val="en-US" w:eastAsia="zh-CN"/>
              </w:rPr>
            </w:pPr>
            <w:r>
              <w:rPr>
                <w:rFonts w:hint="eastAsia"/>
                <w:highlight w:val="none"/>
                <w:lang w:val="en-US" w:eastAsia="zh-CN"/>
              </w:rPr>
              <w:t>0.000046</w:t>
            </w:r>
          </w:p>
        </w:tc>
      </w:tr>
      <w:tr w14:paraId="293A3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14:paraId="445EFEA5">
            <w:pPr>
              <w:pStyle w:val="22"/>
              <w:bidi w:val="0"/>
              <w:jc w:val="center"/>
              <w:rPr>
                <w:rFonts w:hint="default"/>
                <w:highlight w:val="none"/>
                <w:lang w:val="en-US" w:eastAsia="zh-CN"/>
              </w:rPr>
            </w:pPr>
          </w:p>
        </w:tc>
        <w:tc>
          <w:tcPr>
            <w:tcW w:w="1420" w:type="dxa"/>
            <w:vAlign w:val="center"/>
          </w:tcPr>
          <w:p w14:paraId="1124B58C">
            <w:pPr>
              <w:pStyle w:val="22"/>
              <w:bidi w:val="0"/>
              <w:jc w:val="center"/>
              <w:rPr>
                <w:rFonts w:hint="default"/>
                <w:highlight w:val="none"/>
                <w:lang w:val="en-US" w:eastAsia="zh-CN"/>
              </w:rPr>
            </w:pPr>
            <w:r>
              <w:rPr>
                <w:rFonts w:hint="eastAsia"/>
                <w:highlight w:val="none"/>
                <w:lang w:val="en-US" w:eastAsia="zh-CN"/>
              </w:rPr>
              <w:t>入河量</w:t>
            </w:r>
          </w:p>
        </w:tc>
        <w:tc>
          <w:tcPr>
            <w:tcW w:w="1420" w:type="dxa"/>
            <w:vAlign w:val="center"/>
          </w:tcPr>
          <w:p w14:paraId="4B3AA0C7">
            <w:pPr>
              <w:pStyle w:val="22"/>
              <w:bidi w:val="0"/>
              <w:jc w:val="center"/>
              <w:rPr>
                <w:rFonts w:hint="default"/>
                <w:highlight w:val="none"/>
                <w:lang w:val="en-US" w:eastAsia="zh-CN"/>
              </w:rPr>
            </w:pPr>
            <w:r>
              <w:rPr>
                <w:rFonts w:hint="eastAsia"/>
                <w:highlight w:val="none"/>
                <w:lang w:val="en-US" w:eastAsia="zh-CN"/>
              </w:rPr>
              <w:t>0.000409</w:t>
            </w:r>
          </w:p>
        </w:tc>
        <w:tc>
          <w:tcPr>
            <w:tcW w:w="1420" w:type="dxa"/>
            <w:vAlign w:val="center"/>
          </w:tcPr>
          <w:p w14:paraId="5BEB9575">
            <w:pPr>
              <w:pStyle w:val="22"/>
              <w:bidi w:val="0"/>
              <w:jc w:val="center"/>
              <w:rPr>
                <w:rFonts w:hint="default"/>
                <w:highlight w:val="none"/>
                <w:lang w:val="en-US" w:eastAsia="zh-CN"/>
              </w:rPr>
            </w:pPr>
            <w:r>
              <w:rPr>
                <w:rFonts w:hint="eastAsia"/>
                <w:highlight w:val="none"/>
                <w:lang w:val="en-US" w:eastAsia="zh-CN"/>
              </w:rPr>
              <w:t>0.000026</w:t>
            </w:r>
          </w:p>
        </w:tc>
        <w:tc>
          <w:tcPr>
            <w:tcW w:w="1421" w:type="dxa"/>
            <w:vAlign w:val="center"/>
          </w:tcPr>
          <w:p w14:paraId="0540968A">
            <w:pPr>
              <w:pStyle w:val="22"/>
              <w:bidi w:val="0"/>
              <w:jc w:val="center"/>
              <w:rPr>
                <w:rFonts w:hint="default"/>
                <w:highlight w:val="none"/>
                <w:lang w:val="en-US" w:eastAsia="zh-CN"/>
              </w:rPr>
            </w:pPr>
            <w:r>
              <w:rPr>
                <w:rFonts w:hint="eastAsia"/>
                <w:highlight w:val="none"/>
                <w:lang w:val="en-US" w:eastAsia="zh-CN"/>
              </w:rPr>
              <w:t>0.000059</w:t>
            </w:r>
          </w:p>
        </w:tc>
        <w:tc>
          <w:tcPr>
            <w:tcW w:w="1421" w:type="dxa"/>
            <w:vAlign w:val="center"/>
          </w:tcPr>
          <w:p w14:paraId="7DA853D5">
            <w:pPr>
              <w:pStyle w:val="22"/>
              <w:bidi w:val="0"/>
              <w:jc w:val="center"/>
              <w:rPr>
                <w:rFonts w:hint="default"/>
                <w:highlight w:val="none"/>
                <w:lang w:val="en-US" w:eastAsia="zh-CN"/>
              </w:rPr>
            </w:pPr>
            <w:r>
              <w:rPr>
                <w:rFonts w:hint="eastAsia"/>
                <w:highlight w:val="none"/>
                <w:lang w:val="en-US" w:eastAsia="zh-CN"/>
              </w:rPr>
              <w:t>0.000004</w:t>
            </w:r>
          </w:p>
        </w:tc>
      </w:tr>
      <w:tr w14:paraId="2ABF0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6"/>
            <w:vAlign w:val="center"/>
          </w:tcPr>
          <w:p w14:paraId="27F11026">
            <w:pPr>
              <w:pStyle w:val="22"/>
              <w:bidi w:val="0"/>
              <w:jc w:val="left"/>
              <w:rPr>
                <w:rFonts w:hint="default"/>
                <w:highlight w:val="none"/>
                <w:lang w:val="en-US" w:eastAsia="zh-CN"/>
              </w:rPr>
            </w:pPr>
            <w:r>
              <w:rPr>
                <w:rFonts w:hint="eastAsia"/>
                <w:highlight w:val="none"/>
                <w:lang w:val="en-US" w:eastAsia="zh-CN"/>
              </w:rPr>
              <w:t>注：农村生活污染物入河系数取0.1-0.2，本评价取0.1。</w:t>
            </w:r>
          </w:p>
        </w:tc>
      </w:tr>
    </w:tbl>
    <w:p w14:paraId="6CF7B111">
      <w:pPr>
        <w:ind w:left="0" w:leftChars="0" w:firstLine="0" w:firstLineChars="0"/>
        <w:rPr>
          <w:rFonts w:hint="default"/>
          <w:highlight w:val="none"/>
          <w:lang w:val="en-US" w:eastAsia="zh-CN"/>
        </w:rPr>
      </w:pPr>
    </w:p>
    <w:p w14:paraId="0B146986">
      <w:pPr>
        <w:numPr>
          <w:ilvl w:val="0"/>
          <w:numId w:val="17"/>
        </w:numPr>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农业面源</w:t>
      </w:r>
    </w:p>
    <w:p w14:paraId="0A22B3AD">
      <w:pPr>
        <w:bidi w:val="0"/>
        <w:rPr>
          <w:rFonts w:hint="default" w:ascii="Times New Roman" w:hAnsi="Times New Roman" w:eastAsia="微软雅黑" w:cs="Times New Roman"/>
          <w:szCs w:val="24"/>
          <w:highlight w:val="none"/>
        </w:rPr>
      </w:pPr>
      <w:r>
        <w:rPr>
          <w:rFonts w:hint="default" w:ascii="Times New Roman" w:hAnsi="Times New Roman" w:cs="Times New Roman"/>
          <w:highlight w:val="none"/>
          <w:lang w:val="en-US" w:eastAsia="zh-CN"/>
        </w:rPr>
        <w:t>冷龙沟小流域土地总面积5188.46hm²，其中耕地面积193.22hm²，园地面积12.18hm²，林地面积4860.76hm²，荒山荒坡面积13.39hm²，水域及水利设施用地面积21.25hm²，非生产用地面积87.66hm²。耕地</w:t>
      </w:r>
      <w:r>
        <w:rPr>
          <w:rFonts w:hint="default" w:ascii="Times New Roman" w:hAnsi="Times New Roman" w:cs="Times New Roman"/>
          <w:highlight w:val="none"/>
        </w:rPr>
        <w:t>化肥使用主要以氮肥为主，其次为磷肥、复合肥与钾肥。根据《全国水环境容量核定技术指南》，计算农田径流污染源强系数取值为：坡长修正为1.0、农作物类型修正为1.0、土壤类型修正为0.9、化肥施用量为1.2、降水量修正为1.2，计算源强总系数为1.3。四川地区COD、氨氮和总磷标准农田源强系数分别为10公斤/亩·年、2公斤/亩·年和1.6公斤/亩·年。采用系数法估算农田径流污染，农业非点源计算公式为：农田流失负荷=农田面积×农田综合修正系数×标准农田源强系数。计算得出</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农业种植污染中COD排放</w:t>
      </w:r>
      <w:r>
        <w:rPr>
          <w:rFonts w:hint="default" w:ascii="Times New Roman" w:hAnsi="Times New Roman" w:cs="Times New Roman"/>
          <w:highlight w:val="none"/>
          <w:lang w:val="en-US" w:eastAsia="zh-CN"/>
        </w:rPr>
        <w:t>37.68</w:t>
      </w:r>
      <w:r>
        <w:rPr>
          <w:rFonts w:hint="default" w:ascii="Times New Roman" w:hAnsi="Times New Roman" w:cs="Times New Roman"/>
          <w:highlight w:val="none"/>
        </w:rPr>
        <w:t>吨/年，氨氮排放量</w:t>
      </w:r>
      <w:r>
        <w:rPr>
          <w:rFonts w:hint="default" w:ascii="Times New Roman" w:hAnsi="Times New Roman" w:cs="Times New Roman"/>
          <w:highlight w:val="none"/>
          <w:lang w:val="en-US" w:eastAsia="zh-CN"/>
        </w:rPr>
        <w:t>7.54</w:t>
      </w:r>
      <w:r>
        <w:rPr>
          <w:rFonts w:hint="default" w:ascii="Times New Roman" w:hAnsi="Times New Roman" w:cs="Times New Roman"/>
          <w:highlight w:val="none"/>
        </w:rPr>
        <w:t>吨/年，总磷排放量</w:t>
      </w:r>
      <w:r>
        <w:rPr>
          <w:rFonts w:hint="default" w:ascii="Times New Roman" w:hAnsi="Times New Roman" w:cs="Times New Roman"/>
          <w:highlight w:val="none"/>
          <w:lang w:val="en-US" w:eastAsia="zh-CN"/>
        </w:rPr>
        <w:t>6.03</w:t>
      </w:r>
      <w:r>
        <w:rPr>
          <w:rFonts w:hint="default" w:ascii="Times New Roman" w:hAnsi="Times New Roman" w:cs="Times New Roman"/>
          <w:highlight w:val="none"/>
        </w:rPr>
        <w:t>吨/年。</w:t>
      </w:r>
    </w:p>
    <w:p w14:paraId="4F65535F">
      <w:pPr>
        <w:pStyle w:val="11"/>
        <w:bidi w:val="0"/>
        <w:rPr>
          <w:rFonts w:hint="default" w:ascii="Times New Roman" w:hAnsi="Times New Roman" w:cs="Times New Roman"/>
          <w:szCs w:val="24"/>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农业种植污染量计算表</w:t>
      </w:r>
    </w:p>
    <w:tbl>
      <w:tblPr>
        <w:tblStyle w:val="24"/>
        <w:tblW w:w="869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64"/>
        <w:gridCol w:w="687"/>
        <w:gridCol w:w="962"/>
        <w:gridCol w:w="686"/>
        <w:gridCol w:w="1098"/>
        <w:gridCol w:w="1100"/>
        <w:gridCol w:w="1070"/>
        <w:gridCol w:w="844"/>
        <w:gridCol w:w="796"/>
        <w:gridCol w:w="889"/>
      </w:tblGrid>
      <w:tr w14:paraId="0F4E22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6" w:hRule="atLeast"/>
        </w:trPr>
        <w:tc>
          <w:tcPr>
            <w:tcW w:w="564" w:type="dxa"/>
            <w:tcBorders>
              <w:top w:val="single" w:color="auto" w:sz="4" w:space="0"/>
              <w:left w:val="single" w:color="auto" w:sz="4" w:space="0"/>
              <w:bottom w:val="single" w:color="auto" w:sz="4" w:space="0"/>
              <w:right w:val="single" w:color="auto" w:sz="4" w:space="0"/>
            </w:tcBorders>
            <w:vAlign w:val="center"/>
          </w:tcPr>
          <w:p w14:paraId="150EF23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687" w:type="dxa"/>
            <w:tcBorders>
              <w:top w:val="single" w:color="auto" w:sz="4" w:space="0"/>
              <w:left w:val="single" w:color="auto" w:sz="4" w:space="0"/>
              <w:bottom w:val="single" w:color="auto" w:sz="4" w:space="0"/>
              <w:right w:val="single" w:color="auto" w:sz="4" w:space="0"/>
            </w:tcBorders>
            <w:vAlign w:val="center"/>
          </w:tcPr>
          <w:p w14:paraId="7B8A88B8">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流域</w:t>
            </w:r>
          </w:p>
        </w:tc>
        <w:tc>
          <w:tcPr>
            <w:tcW w:w="962" w:type="dxa"/>
            <w:tcBorders>
              <w:top w:val="single" w:color="auto" w:sz="4" w:space="0"/>
              <w:left w:val="single" w:color="auto" w:sz="4" w:space="0"/>
              <w:bottom w:val="single" w:color="auto" w:sz="4" w:space="0"/>
              <w:right w:val="single" w:color="auto" w:sz="4" w:space="0"/>
            </w:tcBorders>
            <w:vAlign w:val="center"/>
          </w:tcPr>
          <w:p w14:paraId="792D34B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年末耕地面 积（亩）</w:t>
            </w:r>
          </w:p>
        </w:tc>
        <w:tc>
          <w:tcPr>
            <w:tcW w:w="686" w:type="dxa"/>
            <w:tcBorders>
              <w:top w:val="single" w:color="auto" w:sz="4" w:space="0"/>
              <w:left w:val="single" w:color="auto" w:sz="4" w:space="0"/>
              <w:bottom w:val="single" w:color="auto" w:sz="4" w:space="0"/>
              <w:right w:val="single" w:color="auto" w:sz="4" w:space="0"/>
            </w:tcBorders>
            <w:vAlign w:val="center"/>
          </w:tcPr>
          <w:p w14:paraId="005CF6A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农田源 强系数</w:t>
            </w:r>
          </w:p>
        </w:tc>
        <w:tc>
          <w:tcPr>
            <w:tcW w:w="1098" w:type="dxa"/>
            <w:tcBorders>
              <w:top w:val="single" w:color="auto" w:sz="4" w:space="0"/>
              <w:left w:val="single" w:color="auto" w:sz="4" w:space="0"/>
              <w:bottom w:val="single" w:color="auto" w:sz="4" w:space="0"/>
              <w:right w:val="single" w:color="auto" w:sz="4" w:space="0"/>
            </w:tcBorders>
            <w:vAlign w:val="center"/>
          </w:tcPr>
          <w:p w14:paraId="50CD5D8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COD源强系数（公斤/亩.年）</w:t>
            </w:r>
          </w:p>
        </w:tc>
        <w:tc>
          <w:tcPr>
            <w:tcW w:w="1100" w:type="dxa"/>
            <w:tcBorders>
              <w:top w:val="single" w:color="auto" w:sz="4" w:space="0"/>
              <w:left w:val="single" w:color="auto" w:sz="4" w:space="0"/>
              <w:bottom w:val="single" w:color="auto" w:sz="4" w:space="0"/>
              <w:right w:val="single" w:color="auto" w:sz="4" w:space="0"/>
            </w:tcBorders>
            <w:vAlign w:val="center"/>
          </w:tcPr>
          <w:p w14:paraId="0091654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氨氮源强系数（公斤/亩.</w:t>
            </w:r>
          </w:p>
          <w:p w14:paraId="0070B21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年）</w:t>
            </w:r>
          </w:p>
        </w:tc>
        <w:tc>
          <w:tcPr>
            <w:tcW w:w="1070" w:type="dxa"/>
            <w:tcBorders>
              <w:top w:val="single" w:color="auto" w:sz="4" w:space="0"/>
              <w:left w:val="single" w:color="auto" w:sz="4" w:space="0"/>
              <w:bottom w:val="single" w:color="auto" w:sz="4" w:space="0"/>
              <w:right w:val="single" w:color="auto" w:sz="4" w:space="0"/>
            </w:tcBorders>
            <w:vAlign w:val="center"/>
          </w:tcPr>
          <w:p w14:paraId="6C33BEC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总磷源强系数（公斤/亩.年）</w:t>
            </w:r>
          </w:p>
        </w:tc>
        <w:tc>
          <w:tcPr>
            <w:tcW w:w="844" w:type="dxa"/>
            <w:tcBorders>
              <w:top w:val="single" w:color="auto" w:sz="4" w:space="0"/>
              <w:left w:val="single" w:color="auto" w:sz="4" w:space="0"/>
              <w:bottom w:val="single" w:color="auto" w:sz="4" w:space="0"/>
              <w:right w:val="single" w:color="auto" w:sz="4" w:space="0"/>
            </w:tcBorders>
            <w:vAlign w:val="center"/>
          </w:tcPr>
          <w:p w14:paraId="3E3163E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COD 排放量（吨/ 年）</w:t>
            </w:r>
          </w:p>
        </w:tc>
        <w:tc>
          <w:tcPr>
            <w:tcW w:w="796" w:type="dxa"/>
            <w:tcBorders>
              <w:top w:val="single" w:color="auto" w:sz="4" w:space="0"/>
              <w:left w:val="single" w:color="auto" w:sz="4" w:space="0"/>
              <w:bottom w:val="single" w:color="auto" w:sz="4" w:space="0"/>
              <w:right w:val="single" w:color="auto" w:sz="4" w:space="0"/>
            </w:tcBorders>
            <w:vAlign w:val="center"/>
          </w:tcPr>
          <w:p w14:paraId="77ED751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氨氮排放量（吨/ 年）</w:t>
            </w:r>
          </w:p>
        </w:tc>
        <w:tc>
          <w:tcPr>
            <w:tcW w:w="889" w:type="dxa"/>
            <w:tcBorders>
              <w:top w:val="single" w:color="auto" w:sz="4" w:space="0"/>
              <w:left w:val="single" w:color="auto" w:sz="4" w:space="0"/>
              <w:bottom w:val="single" w:color="auto" w:sz="4" w:space="0"/>
              <w:right w:val="single" w:color="auto" w:sz="4" w:space="0"/>
            </w:tcBorders>
            <w:vAlign w:val="center"/>
          </w:tcPr>
          <w:p w14:paraId="3B3AC88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总磷排放</w:t>
            </w:r>
          </w:p>
          <w:p w14:paraId="0F65D95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量（吨/ 年）</w:t>
            </w:r>
          </w:p>
        </w:tc>
      </w:tr>
      <w:tr w14:paraId="5E1262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4" w:hRule="atLeast"/>
        </w:trPr>
        <w:tc>
          <w:tcPr>
            <w:tcW w:w="564" w:type="dxa"/>
            <w:tcBorders>
              <w:top w:val="single" w:color="auto" w:sz="4" w:space="0"/>
              <w:left w:val="single" w:color="auto" w:sz="4" w:space="0"/>
              <w:bottom w:val="single" w:color="auto" w:sz="4" w:space="0"/>
              <w:right w:val="single" w:color="auto" w:sz="4" w:space="0"/>
            </w:tcBorders>
            <w:vAlign w:val="center"/>
          </w:tcPr>
          <w:p w14:paraId="5A902F9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687" w:type="dxa"/>
            <w:tcBorders>
              <w:top w:val="single" w:color="auto" w:sz="4" w:space="0"/>
              <w:left w:val="single" w:color="auto" w:sz="4" w:space="0"/>
              <w:bottom w:val="single" w:color="auto" w:sz="4" w:space="0"/>
              <w:right w:val="single" w:color="auto" w:sz="4" w:space="0"/>
            </w:tcBorders>
            <w:vAlign w:val="center"/>
          </w:tcPr>
          <w:p w14:paraId="3C1B7FF0">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冷龙沟</w:t>
            </w:r>
          </w:p>
        </w:tc>
        <w:tc>
          <w:tcPr>
            <w:tcW w:w="962" w:type="dxa"/>
            <w:tcBorders>
              <w:top w:val="single" w:color="auto" w:sz="4" w:space="0"/>
              <w:left w:val="single" w:color="auto" w:sz="4" w:space="0"/>
              <w:bottom w:val="single" w:color="auto" w:sz="4" w:space="0"/>
              <w:right w:val="single" w:color="auto" w:sz="4" w:space="0"/>
            </w:tcBorders>
            <w:vAlign w:val="center"/>
          </w:tcPr>
          <w:p w14:paraId="75B25BF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2898.3</w:t>
            </w:r>
          </w:p>
        </w:tc>
        <w:tc>
          <w:tcPr>
            <w:tcW w:w="686" w:type="dxa"/>
            <w:tcBorders>
              <w:top w:val="single" w:color="auto" w:sz="4" w:space="0"/>
              <w:left w:val="single" w:color="auto" w:sz="4" w:space="0"/>
              <w:bottom w:val="single" w:color="auto" w:sz="4" w:space="0"/>
              <w:right w:val="single" w:color="auto" w:sz="4" w:space="0"/>
            </w:tcBorders>
            <w:vAlign w:val="center"/>
          </w:tcPr>
          <w:p w14:paraId="6517B9D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1.3</w:t>
            </w:r>
          </w:p>
        </w:tc>
        <w:tc>
          <w:tcPr>
            <w:tcW w:w="1098" w:type="dxa"/>
            <w:tcBorders>
              <w:top w:val="single" w:color="auto" w:sz="4" w:space="0"/>
              <w:left w:val="single" w:color="auto" w:sz="4" w:space="0"/>
              <w:bottom w:val="single" w:color="auto" w:sz="4" w:space="0"/>
              <w:right w:val="single" w:color="auto" w:sz="4" w:space="0"/>
            </w:tcBorders>
            <w:vAlign w:val="center"/>
          </w:tcPr>
          <w:p w14:paraId="135FD06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1100" w:type="dxa"/>
            <w:tcBorders>
              <w:top w:val="single" w:color="auto" w:sz="4" w:space="0"/>
              <w:left w:val="single" w:color="auto" w:sz="4" w:space="0"/>
              <w:bottom w:val="single" w:color="auto" w:sz="4" w:space="0"/>
              <w:right w:val="single" w:color="auto" w:sz="4" w:space="0"/>
            </w:tcBorders>
            <w:vAlign w:val="center"/>
          </w:tcPr>
          <w:p w14:paraId="2DFD997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1070" w:type="dxa"/>
            <w:tcBorders>
              <w:top w:val="single" w:color="auto" w:sz="4" w:space="0"/>
              <w:left w:val="single" w:color="auto" w:sz="4" w:space="0"/>
              <w:bottom w:val="single" w:color="auto" w:sz="4" w:space="0"/>
              <w:right w:val="single" w:color="auto" w:sz="4" w:space="0"/>
            </w:tcBorders>
            <w:vAlign w:val="center"/>
          </w:tcPr>
          <w:p w14:paraId="780A8A4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1.6</w:t>
            </w:r>
          </w:p>
        </w:tc>
        <w:tc>
          <w:tcPr>
            <w:tcW w:w="844" w:type="dxa"/>
            <w:tcBorders>
              <w:top w:val="single" w:color="auto" w:sz="4" w:space="0"/>
              <w:left w:val="single" w:color="auto" w:sz="4" w:space="0"/>
              <w:bottom w:val="single" w:color="auto" w:sz="4" w:space="0"/>
              <w:right w:val="single" w:color="auto" w:sz="4" w:space="0"/>
            </w:tcBorders>
            <w:vAlign w:val="center"/>
          </w:tcPr>
          <w:p w14:paraId="6CDB4AB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37.68</w:t>
            </w:r>
          </w:p>
        </w:tc>
        <w:tc>
          <w:tcPr>
            <w:tcW w:w="796" w:type="dxa"/>
            <w:tcBorders>
              <w:top w:val="single" w:color="auto" w:sz="4" w:space="0"/>
              <w:left w:val="single" w:color="auto" w:sz="4" w:space="0"/>
              <w:bottom w:val="single" w:color="auto" w:sz="4" w:space="0"/>
              <w:right w:val="single" w:color="auto" w:sz="4" w:space="0"/>
            </w:tcBorders>
            <w:vAlign w:val="center"/>
          </w:tcPr>
          <w:p w14:paraId="718D19F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7.54</w:t>
            </w:r>
          </w:p>
        </w:tc>
        <w:tc>
          <w:tcPr>
            <w:tcW w:w="889" w:type="dxa"/>
            <w:tcBorders>
              <w:top w:val="single" w:color="auto" w:sz="4" w:space="0"/>
              <w:left w:val="single" w:color="auto" w:sz="4" w:space="0"/>
              <w:bottom w:val="single" w:color="auto" w:sz="4" w:space="0"/>
              <w:right w:val="single" w:color="auto" w:sz="4" w:space="0"/>
            </w:tcBorders>
            <w:vAlign w:val="center"/>
          </w:tcPr>
          <w:p w14:paraId="00B7ECB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6.03</w:t>
            </w:r>
          </w:p>
        </w:tc>
      </w:tr>
      <w:tr w14:paraId="295203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8" w:hRule="atLeast"/>
        </w:trPr>
        <w:tc>
          <w:tcPr>
            <w:tcW w:w="1251" w:type="dxa"/>
            <w:gridSpan w:val="2"/>
            <w:tcBorders>
              <w:top w:val="single" w:color="auto" w:sz="4" w:space="0"/>
              <w:left w:val="single" w:color="auto" w:sz="4" w:space="0"/>
              <w:bottom w:val="single" w:color="auto" w:sz="4" w:space="0"/>
              <w:right w:val="single" w:color="auto" w:sz="4" w:space="0"/>
            </w:tcBorders>
            <w:vAlign w:val="center"/>
          </w:tcPr>
          <w:p w14:paraId="39D77BB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合计</w:t>
            </w:r>
          </w:p>
        </w:tc>
        <w:tc>
          <w:tcPr>
            <w:tcW w:w="962" w:type="dxa"/>
            <w:tcBorders>
              <w:top w:val="single" w:color="auto" w:sz="4" w:space="0"/>
              <w:left w:val="single" w:color="auto" w:sz="4" w:space="0"/>
              <w:bottom w:val="single" w:color="auto" w:sz="4" w:space="0"/>
              <w:right w:val="single" w:color="auto" w:sz="4" w:space="0"/>
            </w:tcBorders>
            <w:vAlign w:val="center"/>
          </w:tcPr>
          <w:p w14:paraId="0535871E">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686" w:type="dxa"/>
            <w:tcBorders>
              <w:top w:val="single" w:color="auto" w:sz="4" w:space="0"/>
              <w:left w:val="single" w:color="auto" w:sz="4" w:space="0"/>
              <w:bottom w:val="single" w:color="auto" w:sz="4" w:space="0"/>
              <w:right w:val="single" w:color="auto" w:sz="4" w:space="0"/>
            </w:tcBorders>
            <w:vAlign w:val="center"/>
          </w:tcPr>
          <w:p w14:paraId="7F4874B0">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1098" w:type="dxa"/>
            <w:tcBorders>
              <w:top w:val="single" w:color="auto" w:sz="4" w:space="0"/>
              <w:left w:val="single" w:color="auto" w:sz="4" w:space="0"/>
              <w:bottom w:val="single" w:color="auto" w:sz="4" w:space="0"/>
              <w:right w:val="single" w:color="auto" w:sz="4" w:space="0"/>
            </w:tcBorders>
            <w:vAlign w:val="center"/>
          </w:tcPr>
          <w:p w14:paraId="5769F27B">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1100" w:type="dxa"/>
            <w:tcBorders>
              <w:top w:val="single" w:color="auto" w:sz="4" w:space="0"/>
              <w:left w:val="single" w:color="auto" w:sz="4" w:space="0"/>
              <w:bottom w:val="single" w:color="auto" w:sz="4" w:space="0"/>
              <w:right w:val="single" w:color="auto" w:sz="4" w:space="0"/>
            </w:tcBorders>
            <w:vAlign w:val="center"/>
          </w:tcPr>
          <w:p w14:paraId="2135E46F">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1070" w:type="dxa"/>
            <w:tcBorders>
              <w:top w:val="single" w:color="auto" w:sz="4" w:space="0"/>
              <w:left w:val="single" w:color="auto" w:sz="4" w:space="0"/>
              <w:bottom w:val="single" w:color="auto" w:sz="4" w:space="0"/>
              <w:right w:val="single" w:color="auto" w:sz="4" w:space="0"/>
            </w:tcBorders>
            <w:vAlign w:val="center"/>
          </w:tcPr>
          <w:p w14:paraId="5AC6CBBB">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844" w:type="dxa"/>
            <w:tcBorders>
              <w:top w:val="single" w:color="auto" w:sz="4" w:space="0"/>
              <w:left w:val="single" w:color="auto" w:sz="4" w:space="0"/>
              <w:bottom w:val="single" w:color="auto" w:sz="4" w:space="0"/>
              <w:right w:val="single" w:color="auto" w:sz="4" w:space="0"/>
            </w:tcBorders>
            <w:vAlign w:val="center"/>
          </w:tcPr>
          <w:p w14:paraId="67E6854A">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37.68</w:t>
            </w:r>
          </w:p>
        </w:tc>
        <w:tc>
          <w:tcPr>
            <w:tcW w:w="796" w:type="dxa"/>
            <w:tcBorders>
              <w:top w:val="single" w:color="auto" w:sz="4" w:space="0"/>
              <w:left w:val="single" w:color="auto" w:sz="4" w:space="0"/>
              <w:bottom w:val="single" w:color="auto" w:sz="4" w:space="0"/>
              <w:right w:val="single" w:color="auto" w:sz="4" w:space="0"/>
            </w:tcBorders>
            <w:vAlign w:val="center"/>
          </w:tcPr>
          <w:p w14:paraId="7A6E8F63">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7.54</w:t>
            </w:r>
          </w:p>
        </w:tc>
        <w:tc>
          <w:tcPr>
            <w:tcW w:w="889" w:type="dxa"/>
            <w:tcBorders>
              <w:top w:val="single" w:color="auto" w:sz="4" w:space="0"/>
              <w:left w:val="single" w:color="auto" w:sz="4" w:space="0"/>
              <w:bottom w:val="single" w:color="auto" w:sz="4" w:space="0"/>
              <w:right w:val="single" w:color="auto" w:sz="4" w:space="0"/>
            </w:tcBorders>
            <w:vAlign w:val="center"/>
          </w:tcPr>
          <w:p w14:paraId="2D5F5AF7">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6.03</w:t>
            </w:r>
          </w:p>
        </w:tc>
      </w:tr>
    </w:tbl>
    <w:p w14:paraId="494E1DDB">
      <w:pPr>
        <w:numPr>
          <w:ilvl w:val="0"/>
          <w:numId w:val="0"/>
        </w:numPr>
        <w:bidi w:val="0"/>
        <w:ind w:leftChars="200"/>
        <w:rPr>
          <w:rFonts w:hint="eastAsia" w:cs="Times New Roman"/>
          <w:highlight w:val="none"/>
          <w:lang w:val="en-US" w:eastAsia="zh-CN"/>
        </w:rPr>
      </w:pPr>
      <w:r>
        <w:rPr>
          <w:rFonts w:hint="default" w:ascii="Times New Roman" w:hAnsi="Times New Roman" w:cs="Times New Roman"/>
          <w:highlight w:val="none"/>
          <w:lang w:val="en-US" w:eastAsia="zh-CN"/>
        </w:rPr>
        <w:t>流域内种植业面源污染入河系数取0.15，污染负荷详见表</w:t>
      </w:r>
      <w:r>
        <w:rPr>
          <w:rFonts w:hint="eastAsia" w:cs="Times New Roman"/>
          <w:highlight w:val="none"/>
          <w:lang w:val="en-US" w:eastAsia="zh-CN"/>
        </w:rPr>
        <w:t>。</w:t>
      </w:r>
    </w:p>
    <w:p w14:paraId="5CDE0DCE">
      <w:pPr>
        <w:pStyle w:val="11"/>
        <w:numPr>
          <w:ilvl w:val="0"/>
          <w:numId w:val="0"/>
        </w:numPr>
        <w:bidi w:val="0"/>
        <w:rPr>
          <w:highlight w:val="none"/>
        </w:rPr>
      </w:pPr>
    </w:p>
    <w:p w14:paraId="23C87EA1">
      <w:pPr>
        <w:pStyle w:val="11"/>
        <w:numPr>
          <w:ilvl w:val="0"/>
          <w:numId w:val="0"/>
        </w:numPr>
        <w:bidi w:val="0"/>
        <w:rPr>
          <w:rFonts w:hint="eastAsia" w:eastAsia="黑体" w:cs="Times New Roman"/>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17</w:t>
      </w:r>
      <w:r>
        <w:rPr>
          <w:highlight w:val="none"/>
        </w:rPr>
        <w:fldChar w:fldCharType="end"/>
      </w:r>
      <w:r>
        <w:rPr>
          <w:rFonts w:hint="eastAsia"/>
          <w:highlight w:val="none"/>
          <w:lang w:val="en-US" w:eastAsia="zh-CN"/>
        </w:rPr>
        <w:t xml:space="preserve"> 流域种植业污染负荷产生量及入河量（单位：t/a）</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04F50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14:paraId="6EB5C918">
            <w:pPr>
              <w:pStyle w:val="22"/>
              <w:bidi w:val="0"/>
              <w:rPr>
                <w:rFonts w:hint="default"/>
                <w:highlight w:val="none"/>
                <w:lang w:val="en-US" w:eastAsia="zh-CN"/>
              </w:rPr>
            </w:pPr>
            <w:r>
              <w:rPr>
                <w:rFonts w:hint="eastAsia"/>
                <w:highlight w:val="none"/>
                <w:lang w:val="en-US" w:eastAsia="zh-CN"/>
              </w:rPr>
              <w:t>流域</w:t>
            </w:r>
          </w:p>
        </w:tc>
        <w:tc>
          <w:tcPr>
            <w:tcW w:w="1420" w:type="dxa"/>
            <w:vMerge w:val="restart"/>
            <w:vAlign w:val="center"/>
          </w:tcPr>
          <w:p w14:paraId="48F6C586">
            <w:pPr>
              <w:pStyle w:val="22"/>
              <w:bidi w:val="0"/>
              <w:rPr>
                <w:rFonts w:hint="default"/>
                <w:highlight w:val="none"/>
                <w:lang w:val="en-US" w:eastAsia="zh-CN"/>
              </w:rPr>
            </w:pPr>
            <w:r>
              <w:rPr>
                <w:rFonts w:hint="eastAsia"/>
                <w:highlight w:val="none"/>
                <w:lang w:val="en-US" w:eastAsia="zh-CN"/>
              </w:rPr>
              <w:t>类别</w:t>
            </w:r>
          </w:p>
        </w:tc>
        <w:tc>
          <w:tcPr>
            <w:tcW w:w="5682" w:type="dxa"/>
            <w:gridSpan w:val="4"/>
            <w:vAlign w:val="center"/>
          </w:tcPr>
          <w:p w14:paraId="38B19BE2">
            <w:pPr>
              <w:pStyle w:val="22"/>
              <w:bidi w:val="0"/>
              <w:rPr>
                <w:rFonts w:hint="default"/>
                <w:highlight w:val="none"/>
                <w:lang w:val="en-US" w:eastAsia="zh-CN"/>
              </w:rPr>
            </w:pPr>
            <w:r>
              <w:rPr>
                <w:rFonts w:hint="default"/>
                <w:highlight w:val="none"/>
                <w:lang w:val="en-US" w:eastAsia="zh-CN"/>
              </w:rPr>
              <w:t>污染物</w:t>
            </w:r>
          </w:p>
        </w:tc>
      </w:tr>
      <w:tr w14:paraId="5752E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14:paraId="6D115F86">
            <w:pPr>
              <w:pStyle w:val="22"/>
              <w:bidi w:val="0"/>
              <w:rPr>
                <w:rFonts w:hint="default"/>
                <w:highlight w:val="none"/>
                <w:lang w:val="en-US" w:eastAsia="zh-CN"/>
              </w:rPr>
            </w:pPr>
          </w:p>
        </w:tc>
        <w:tc>
          <w:tcPr>
            <w:tcW w:w="1420" w:type="dxa"/>
            <w:vMerge w:val="continue"/>
            <w:vAlign w:val="center"/>
          </w:tcPr>
          <w:p w14:paraId="51DD7A99">
            <w:pPr>
              <w:pStyle w:val="22"/>
              <w:bidi w:val="0"/>
              <w:rPr>
                <w:rFonts w:hint="default"/>
                <w:highlight w:val="none"/>
                <w:lang w:val="en-US" w:eastAsia="zh-CN"/>
              </w:rPr>
            </w:pPr>
          </w:p>
        </w:tc>
        <w:tc>
          <w:tcPr>
            <w:tcW w:w="1420" w:type="dxa"/>
            <w:vAlign w:val="center"/>
          </w:tcPr>
          <w:p w14:paraId="638695E3">
            <w:pPr>
              <w:pStyle w:val="22"/>
              <w:bidi w:val="0"/>
              <w:rPr>
                <w:rFonts w:hint="default"/>
                <w:highlight w:val="none"/>
                <w:lang w:val="en-US" w:eastAsia="zh-CN"/>
              </w:rPr>
            </w:pPr>
            <w:r>
              <w:rPr>
                <w:rFonts w:hint="eastAsia"/>
                <w:highlight w:val="none"/>
                <w:lang w:val="en-US" w:eastAsia="zh-CN"/>
              </w:rPr>
              <w:t>COD</w:t>
            </w:r>
          </w:p>
        </w:tc>
        <w:tc>
          <w:tcPr>
            <w:tcW w:w="1420" w:type="dxa"/>
            <w:vAlign w:val="center"/>
          </w:tcPr>
          <w:p w14:paraId="65D5DE42">
            <w:pPr>
              <w:pStyle w:val="22"/>
              <w:bidi w:val="0"/>
              <w:rPr>
                <w:rFonts w:hint="default"/>
                <w:highlight w:val="none"/>
                <w:lang w:val="en-US" w:eastAsia="zh-CN"/>
              </w:rPr>
            </w:pPr>
            <w:r>
              <w:rPr>
                <w:rFonts w:hint="eastAsia"/>
                <w:highlight w:val="none"/>
                <w:lang w:val="en-US" w:eastAsia="zh-CN"/>
              </w:rPr>
              <w:t>总氮</w:t>
            </w:r>
          </w:p>
        </w:tc>
        <w:tc>
          <w:tcPr>
            <w:tcW w:w="1421" w:type="dxa"/>
            <w:vAlign w:val="center"/>
          </w:tcPr>
          <w:p w14:paraId="758FDC81">
            <w:pPr>
              <w:pStyle w:val="22"/>
              <w:bidi w:val="0"/>
              <w:rPr>
                <w:rFonts w:hint="default"/>
                <w:highlight w:val="none"/>
                <w:lang w:val="en-US" w:eastAsia="zh-CN"/>
              </w:rPr>
            </w:pPr>
            <w:r>
              <w:rPr>
                <w:rFonts w:hint="default"/>
                <w:highlight w:val="none"/>
                <w:lang w:val="en-US" w:eastAsia="zh-CN"/>
              </w:rPr>
              <w:t>氨氮</w:t>
            </w:r>
          </w:p>
        </w:tc>
        <w:tc>
          <w:tcPr>
            <w:tcW w:w="1421" w:type="dxa"/>
            <w:vAlign w:val="center"/>
          </w:tcPr>
          <w:p w14:paraId="3429BE8B">
            <w:pPr>
              <w:pStyle w:val="22"/>
              <w:bidi w:val="0"/>
              <w:rPr>
                <w:rFonts w:hint="default"/>
                <w:highlight w:val="none"/>
                <w:lang w:val="en-US" w:eastAsia="zh-CN"/>
              </w:rPr>
            </w:pPr>
            <w:r>
              <w:rPr>
                <w:rFonts w:hint="default"/>
                <w:highlight w:val="none"/>
                <w:lang w:val="en-US" w:eastAsia="zh-CN"/>
              </w:rPr>
              <w:t>总磷</w:t>
            </w:r>
          </w:p>
        </w:tc>
      </w:tr>
      <w:tr w14:paraId="218FB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14:paraId="216C395D">
            <w:pPr>
              <w:pStyle w:val="22"/>
              <w:bidi w:val="0"/>
              <w:rPr>
                <w:rFonts w:hint="default"/>
                <w:highlight w:val="none"/>
                <w:lang w:val="en-US" w:eastAsia="zh-CN"/>
              </w:rPr>
            </w:pPr>
            <w:r>
              <w:rPr>
                <w:rFonts w:hint="eastAsia"/>
                <w:highlight w:val="none"/>
                <w:lang w:val="en-US" w:eastAsia="zh-CN"/>
              </w:rPr>
              <w:t>冷龙沟流域</w:t>
            </w:r>
          </w:p>
        </w:tc>
        <w:tc>
          <w:tcPr>
            <w:tcW w:w="1420" w:type="dxa"/>
            <w:vAlign w:val="center"/>
          </w:tcPr>
          <w:p w14:paraId="22E99FE1">
            <w:pPr>
              <w:pStyle w:val="22"/>
              <w:bidi w:val="0"/>
              <w:rPr>
                <w:rFonts w:hint="default"/>
                <w:highlight w:val="none"/>
                <w:lang w:val="en-US" w:eastAsia="zh-CN"/>
              </w:rPr>
            </w:pPr>
            <w:r>
              <w:rPr>
                <w:rFonts w:hint="default"/>
                <w:highlight w:val="none"/>
                <w:lang w:val="en-US" w:eastAsia="zh-CN"/>
              </w:rPr>
              <w:t>排放量</w:t>
            </w:r>
          </w:p>
        </w:tc>
        <w:tc>
          <w:tcPr>
            <w:tcW w:w="1420" w:type="dxa"/>
            <w:vAlign w:val="center"/>
          </w:tcPr>
          <w:p w14:paraId="65918ABA">
            <w:pPr>
              <w:pStyle w:val="22"/>
              <w:bidi w:val="0"/>
              <w:ind w:firstLine="0" w:firstLineChars="0"/>
              <w:rPr>
                <w:rFonts w:hint="default"/>
                <w:highlight w:val="none"/>
                <w:lang w:val="en-US" w:eastAsia="zh-CN"/>
              </w:rPr>
            </w:pPr>
            <w:r>
              <w:rPr>
                <w:rFonts w:hint="default" w:ascii="Times New Roman" w:hAnsi="Times New Roman" w:cs="Times New Roman"/>
                <w:highlight w:val="none"/>
                <w:lang w:val="en-US" w:eastAsia="zh-CN"/>
              </w:rPr>
              <w:t>37.68</w:t>
            </w:r>
          </w:p>
        </w:tc>
        <w:tc>
          <w:tcPr>
            <w:tcW w:w="1420" w:type="dxa"/>
            <w:vAlign w:val="center"/>
          </w:tcPr>
          <w:p w14:paraId="28DFEFE2">
            <w:pPr>
              <w:pStyle w:val="22"/>
              <w:bidi w:val="0"/>
              <w:ind w:firstLine="0" w:firstLineChars="0"/>
              <w:rPr>
                <w:rFonts w:hint="default"/>
                <w:highlight w:val="none"/>
                <w:lang w:val="en-US" w:eastAsia="zh-CN"/>
              </w:rPr>
            </w:pPr>
            <w:r>
              <w:rPr>
                <w:rFonts w:hint="eastAsia"/>
                <w:highlight w:val="none"/>
                <w:lang w:val="en-US" w:eastAsia="zh-CN"/>
              </w:rPr>
              <w:t>/</w:t>
            </w:r>
          </w:p>
        </w:tc>
        <w:tc>
          <w:tcPr>
            <w:tcW w:w="1421" w:type="dxa"/>
            <w:shd w:val="clear" w:color="auto" w:fill="auto"/>
            <w:vAlign w:val="center"/>
          </w:tcPr>
          <w:p w14:paraId="1CDB0CE3">
            <w:pPr>
              <w:pStyle w:val="22"/>
              <w:bidi w:val="0"/>
              <w:ind w:firstLine="0" w:firstLineChars="0"/>
              <w:rPr>
                <w:rFonts w:hint="default" w:ascii="Times New Roman" w:hAnsi="Times New Roman" w:eastAsiaTheme="minorEastAsia" w:cstheme="minorBidi"/>
                <w:iCs/>
                <w:kern w:val="2"/>
                <w:sz w:val="21"/>
                <w:szCs w:val="21"/>
                <w:highlight w:val="none"/>
                <w:lang w:val="en-US" w:eastAsia="zh-CN" w:bidi="ar-SA"/>
              </w:rPr>
            </w:pPr>
            <w:r>
              <w:rPr>
                <w:rFonts w:hint="default" w:ascii="Times New Roman" w:hAnsi="Times New Roman" w:cs="Times New Roman"/>
                <w:highlight w:val="none"/>
                <w:lang w:val="en-US" w:eastAsia="zh-CN"/>
              </w:rPr>
              <w:t>7.54</w:t>
            </w:r>
          </w:p>
        </w:tc>
        <w:tc>
          <w:tcPr>
            <w:tcW w:w="1421" w:type="dxa"/>
            <w:vAlign w:val="center"/>
          </w:tcPr>
          <w:p w14:paraId="2450A2C9">
            <w:pPr>
              <w:pStyle w:val="22"/>
              <w:bidi w:val="0"/>
              <w:ind w:firstLine="0" w:firstLineChars="0"/>
              <w:rPr>
                <w:rFonts w:hint="default"/>
                <w:highlight w:val="none"/>
                <w:lang w:val="en-US" w:eastAsia="zh-CN"/>
              </w:rPr>
            </w:pPr>
            <w:r>
              <w:rPr>
                <w:rFonts w:hint="default" w:ascii="Times New Roman" w:hAnsi="Times New Roman" w:cs="Times New Roman"/>
                <w:highlight w:val="none"/>
                <w:lang w:val="en-US" w:eastAsia="zh-CN"/>
              </w:rPr>
              <w:t>6.03</w:t>
            </w:r>
          </w:p>
        </w:tc>
      </w:tr>
      <w:tr w14:paraId="14FBF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14:paraId="30079992">
            <w:pPr>
              <w:pStyle w:val="22"/>
              <w:bidi w:val="0"/>
              <w:rPr>
                <w:rFonts w:hint="default"/>
                <w:highlight w:val="none"/>
                <w:lang w:val="en-US" w:eastAsia="zh-CN"/>
              </w:rPr>
            </w:pPr>
          </w:p>
        </w:tc>
        <w:tc>
          <w:tcPr>
            <w:tcW w:w="1420" w:type="dxa"/>
            <w:vAlign w:val="center"/>
          </w:tcPr>
          <w:p w14:paraId="4040E0AB">
            <w:pPr>
              <w:pStyle w:val="22"/>
              <w:bidi w:val="0"/>
              <w:rPr>
                <w:rFonts w:hint="default"/>
                <w:highlight w:val="none"/>
                <w:lang w:val="en-US" w:eastAsia="zh-CN"/>
              </w:rPr>
            </w:pPr>
            <w:r>
              <w:rPr>
                <w:rFonts w:hint="default"/>
                <w:highlight w:val="none"/>
                <w:lang w:val="en-US" w:eastAsia="zh-CN"/>
              </w:rPr>
              <w:t>入河量</w:t>
            </w:r>
          </w:p>
        </w:tc>
        <w:tc>
          <w:tcPr>
            <w:tcW w:w="1420" w:type="dxa"/>
            <w:vAlign w:val="center"/>
          </w:tcPr>
          <w:p w14:paraId="6F1F7F95">
            <w:pPr>
              <w:pStyle w:val="25"/>
              <w:bidi w:val="0"/>
              <w:rPr>
                <w:rFonts w:hint="default" w:ascii="Times New Roman" w:hAnsi="Times New Roman" w:cs="Times New Roman" w:eastAsiaTheme="minorEastAsia"/>
                <w:iCs/>
                <w:color w:val="auto"/>
                <w:kern w:val="2"/>
                <w:sz w:val="21"/>
                <w:szCs w:val="21"/>
                <w:highlight w:val="none"/>
                <w:lang w:val="en-US" w:eastAsia="zh-CN" w:bidi="ar-SA"/>
              </w:rPr>
            </w:pPr>
            <w:r>
              <w:rPr>
                <w:rFonts w:hint="eastAsia" w:ascii="Times New Roman" w:hAnsi="Times New Roman" w:cs="Times New Roman" w:eastAsiaTheme="minorEastAsia"/>
                <w:iCs/>
                <w:color w:val="auto"/>
                <w:kern w:val="2"/>
                <w:sz w:val="21"/>
                <w:szCs w:val="21"/>
                <w:highlight w:val="none"/>
                <w:lang w:val="en-US" w:eastAsia="zh-CN" w:bidi="ar-SA"/>
              </w:rPr>
              <w:t>5.652</w:t>
            </w:r>
          </w:p>
        </w:tc>
        <w:tc>
          <w:tcPr>
            <w:tcW w:w="1420" w:type="dxa"/>
            <w:vAlign w:val="center"/>
          </w:tcPr>
          <w:p w14:paraId="249484C5">
            <w:pPr>
              <w:pStyle w:val="25"/>
              <w:bidi w:val="0"/>
              <w:rPr>
                <w:rFonts w:hint="default" w:ascii="Times New Roman" w:hAnsi="Times New Roman" w:cs="Times New Roman" w:eastAsiaTheme="minorEastAsia"/>
                <w:iCs/>
                <w:color w:val="auto"/>
                <w:kern w:val="2"/>
                <w:sz w:val="21"/>
                <w:szCs w:val="21"/>
                <w:highlight w:val="none"/>
                <w:lang w:val="en-US" w:eastAsia="zh-CN" w:bidi="ar-SA"/>
              </w:rPr>
            </w:pPr>
            <w:r>
              <w:rPr>
                <w:rFonts w:hint="eastAsia" w:ascii="Times New Roman" w:hAnsi="Times New Roman" w:cs="Times New Roman" w:eastAsiaTheme="minorEastAsia"/>
                <w:iCs/>
                <w:color w:val="auto"/>
                <w:kern w:val="2"/>
                <w:sz w:val="21"/>
                <w:szCs w:val="21"/>
                <w:highlight w:val="none"/>
                <w:lang w:val="en-US" w:eastAsia="zh-CN" w:bidi="ar-SA"/>
              </w:rPr>
              <w:t>/</w:t>
            </w:r>
          </w:p>
        </w:tc>
        <w:tc>
          <w:tcPr>
            <w:tcW w:w="1421" w:type="dxa"/>
            <w:shd w:val="clear" w:color="auto" w:fill="auto"/>
            <w:vAlign w:val="center"/>
          </w:tcPr>
          <w:p w14:paraId="27F11299">
            <w:pPr>
              <w:pStyle w:val="25"/>
              <w:bidi w:val="0"/>
              <w:rPr>
                <w:rFonts w:hint="default" w:ascii="Times New Roman" w:hAnsi="Times New Roman" w:cs="Times New Roman" w:eastAsiaTheme="minorEastAsia"/>
                <w:iCs/>
                <w:color w:val="auto"/>
                <w:kern w:val="2"/>
                <w:sz w:val="21"/>
                <w:szCs w:val="21"/>
                <w:highlight w:val="none"/>
                <w:lang w:val="en-US" w:eastAsia="zh-CN" w:bidi="ar-SA"/>
              </w:rPr>
            </w:pPr>
            <w:r>
              <w:rPr>
                <w:rFonts w:hint="eastAsia" w:ascii="Times New Roman" w:hAnsi="Times New Roman" w:cs="Times New Roman" w:eastAsiaTheme="minorEastAsia"/>
                <w:iCs/>
                <w:color w:val="auto"/>
                <w:kern w:val="2"/>
                <w:sz w:val="21"/>
                <w:szCs w:val="21"/>
                <w:highlight w:val="none"/>
                <w:lang w:val="en-US" w:eastAsia="zh-CN" w:bidi="ar-SA"/>
              </w:rPr>
              <w:t>1.131</w:t>
            </w:r>
          </w:p>
        </w:tc>
        <w:tc>
          <w:tcPr>
            <w:tcW w:w="1421" w:type="dxa"/>
            <w:vAlign w:val="center"/>
          </w:tcPr>
          <w:p w14:paraId="7835B6B5">
            <w:pPr>
              <w:pStyle w:val="25"/>
              <w:bidi w:val="0"/>
              <w:rPr>
                <w:rFonts w:hint="default" w:ascii="Times New Roman" w:hAnsi="Times New Roman" w:cs="Times New Roman" w:eastAsiaTheme="minorEastAsia"/>
                <w:iCs/>
                <w:color w:val="auto"/>
                <w:kern w:val="2"/>
                <w:sz w:val="21"/>
                <w:szCs w:val="21"/>
                <w:highlight w:val="none"/>
                <w:lang w:val="en-US" w:eastAsia="zh-CN" w:bidi="ar-SA"/>
              </w:rPr>
            </w:pPr>
            <w:r>
              <w:rPr>
                <w:rFonts w:hint="eastAsia" w:ascii="Times New Roman" w:hAnsi="Times New Roman" w:cs="Times New Roman" w:eastAsiaTheme="minorEastAsia"/>
                <w:iCs/>
                <w:color w:val="auto"/>
                <w:kern w:val="2"/>
                <w:sz w:val="21"/>
                <w:szCs w:val="21"/>
                <w:highlight w:val="none"/>
                <w:lang w:val="en-US" w:eastAsia="zh-CN" w:bidi="ar-SA"/>
              </w:rPr>
              <w:t>0.9045</w:t>
            </w:r>
          </w:p>
        </w:tc>
      </w:tr>
    </w:tbl>
    <w:p w14:paraId="4CD55FA7">
      <w:pPr>
        <w:numPr>
          <w:ilvl w:val="0"/>
          <w:numId w:val="0"/>
        </w:numPr>
        <w:bidi w:val="0"/>
        <w:rPr>
          <w:rFonts w:hint="default" w:cs="Times New Roman"/>
          <w:highlight w:val="none"/>
          <w:lang w:val="en-US" w:eastAsia="zh-CN"/>
        </w:rPr>
      </w:pPr>
    </w:p>
    <w:p w14:paraId="6C133D31">
      <w:pPr>
        <w:numPr>
          <w:ilvl w:val="0"/>
          <w:numId w:val="0"/>
        </w:numPr>
        <w:bidi w:val="0"/>
        <w:ind w:leftChars="200"/>
        <w:rPr>
          <w:rFonts w:hint="default" w:ascii="Times New Roman" w:hAnsi="Times New Roman" w:cs="Times New Roman"/>
          <w:highlight w:val="none"/>
          <w:lang w:val="en-US" w:eastAsia="zh-CN"/>
        </w:rPr>
      </w:pPr>
      <w:r>
        <w:rPr>
          <w:rFonts w:hint="eastAsia" w:cs="Times New Roman"/>
          <w:highlight w:val="none"/>
          <w:lang w:val="en-US" w:eastAsia="zh-CN"/>
        </w:rPr>
        <w:t>5、</w:t>
      </w:r>
      <w:r>
        <w:rPr>
          <w:rFonts w:hint="default" w:ascii="Times New Roman" w:hAnsi="Times New Roman" w:cs="Times New Roman"/>
          <w:highlight w:val="none"/>
          <w:lang w:val="en-US" w:eastAsia="zh-CN"/>
        </w:rPr>
        <w:t>畜禽养殖</w:t>
      </w:r>
      <w:r>
        <w:rPr>
          <w:rFonts w:hint="eastAsia" w:cs="Times New Roman"/>
          <w:highlight w:val="none"/>
          <w:lang w:val="en-US" w:eastAsia="zh-CN"/>
        </w:rPr>
        <w:t>源</w:t>
      </w:r>
    </w:p>
    <w:p w14:paraId="486EDE37">
      <w:pPr>
        <w:bidi w:val="0"/>
        <w:rPr>
          <w:rFonts w:hint="eastAsia" w:ascii="Times New Roman" w:hAnsi="Times New Roman" w:cs="Times New Roman" w:eastAsiaTheme="minorEastAsia"/>
          <w:szCs w:val="24"/>
          <w:highlight w:val="none"/>
          <w:lang w:val="en-US" w:eastAsia="zh-CN"/>
        </w:rPr>
      </w:pP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沿线</w:t>
      </w:r>
      <w:r>
        <w:rPr>
          <w:rFonts w:hint="default" w:ascii="Times New Roman" w:hAnsi="Times New Roman" w:cs="Times New Roman"/>
          <w:highlight w:val="none"/>
          <w:lang w:val="en-US" w:eastAsia="zh-CN"/>
        </w:rPr>
        <w:t>无</w:t>
      </w:r>
      <w:r>
        <w:rPr>
          <w:rFonts w:hint="default" w:ascii="Times New Roman" w:hAnsi="Times New Roman" w:cs="Times New Roman"/>
          <w:highlight w:val="none"/>
        </w:rPr>
        <w:t>规模化养殖场，</w:t>
      </w:r>
      <w:r>
        <w:rPr>
          <w:rFonts w:hint="default" w:ascii="Times New Roman" w:hAnsi="Times New Roman" w:cs="Times New Roman"/>
          <w:highlight w:val="none"/>
          <w:lang w:val="en-US" w:eastAsia="zh-CN"/>
        </w:rPr>
        <w:t>仅有部分</w:t>
      </w:r>
      <w:r>
        <w:rPr>
          <w:rFonts w:hint="default" w:ascii="Times New Roman" w:hAnsi="Times New Roman" w:cs="Times New Roman"/>
          <w:highlight w:val="none"/>
        </w:rPr>
        <w:t>散</w:t>
      </w:r>
      <w:r>
        <w:rPr>
          <w:rFonts w:hint="default" w:ascii="Times New Roman" w:hAnsi="Times New Roman" w:cs="Times New Roman"/>
          <w:color w:val="auto"/>
          <w:highlight w:val="none"/>
        </w:rPr>
        <w:t>养户</w:t>
      </w:r>
      <w:r>
        <w:rPr>
          <w:rFonts w:hint="eastAsia" w:cs="Times New Roman"/>
          <w:color w:val="auto"/>
          <w:highlight w:val="none"/>
          <w:lang w:eastAsia="zh-CN"/>
        </w:rPr>
        <w:t>，</w:t>
      </w:r>
      <w:r>
        <w:rPr>
          <w:rFonts w:hint="default" w:ascii="Times New Roman" w:hAnsi="Times New Roman" w:cs="Times New Roman"/>
          <w:color w:val="auto"/>
          <w:highlight w:val="none"/>
        </w:rPr>
        <w:t>流域现状有大牲畜</w:t>
      </w:r>
      <w:r>
        <w:rPr>
          <w:rFonts w:hint="eastAsia" w:cs="Times New Roman"/>
          <w:color w:val="auto"/>
          <w:highlight w:val="none"/>
          <w:lang w:val="en-US" w:eastAsia="zh-CN"/>
        </w:rPr>
        <w:t>120</w:t>
      </w:r>
      <w:r>
        <w:rPr>
          <w:rFonts w:hint="default" w:ascii="Times New Roman" w:hAnsi="Times New Roman" w:cs="Times New Roman"/>
          <w:color w:val="auto"/>
          <w:highlight w:val="none"/>
        </w:rPr>
        <w:t>头（以羊计），小牲畜</w:t>
      </w:r>
      <w:r>
        <w:rPr>
          <w:rFonts w:hint="eastAsia" w:cs="Times New Roman"/>
          <w:color w:val="auto"/>
          <w:highlight w:val="none"/>
          <w:lang w:val="en-US" w:eastAsia="zh-CN"/>
        </w:rPr>
        <w:t>450</w:t>
      </w:r>
      <w:r>
        <w:rPr>
          <w:rFonts w:hint="default" w:ascii="Times New Roman" w:hAnsi="Times New Roman" w:cs="Times New Roman"/>
          <w:color w:val="auto"/>
          <w:highlight w:val="none"/>
        </w:rPr>
        <w:t>头（以鸭计）。参照《畜禽养殖业污染物排放标准》 (GB18596-2001) ，畜禽量按照如下关系换算：30只蛋鸡=1头猪，60只肉鸡=1头猪，3只羊=1头猪，1头牛=5头猪，50只鸭=1头猪，40只鹅=1头猪，60只鸽=1头猪，均换算成猪的量。污</w:t>
      </w:r>
      <w:r>
        <w:rPr>
          <w:rFonts w:hint="default" w:ascii="Times New Roman" w:hAnsi="Times New Roman" w:cs="Times New Roman"/>
          <w:highlight w:val="none"/>
        </w:rPr>
        <w:t>染物排放按照《畜禽养殖业污染物排放标准》（GB18596</w:t>
      </w:r>
      <w:r>
        <w:rPr>
          <w:rFonts w:hint="eastAsia" w:cs="Times New Roman"/>
          <w:highlight w:val="none"/>
          <w:lang w:eastAsia="zh-CN"/>
        </w:rPr>
        <w:t>-</w:t>
      </w:r>
      <w:r>
        <w:rPr>
          <w:rFonts w:hint="default" w:ascii="Times New Roman" w:hAnsi="Times New Roman" w:cs="Times New Roman"/>
          <w:highlight w:val="none"/>
        </w:rPr>
        <w:t>2001）进行计算，按照畜禽养殖业水污染物排放标准中集约化畜禽养殖业干清粪工艺最高允许排水量计算，生猪冬季1.2m³/（百头·天），夏季1.8m³/（百头·天），春秋季节按照冬、夏两季平均值计算为1.5m³/（百头·天）。污染负荷产生量为COD400mg/L，氨氮80mg/L，总磷8mg/L。通过计算，</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畜禽养殖废水年排放量共计</w:t>
      </w:r>
      <w:r>
        <w:rPr>
          <w:rFonts w:hint="eastAsia" w:cs="Times New Roman"/>
          <w:highlight w:val="none"/>
          <w:lang w:val="en-US" w:eastAsia="zh-CN"/>
        </w:rPr>
        <w:t>2.6828</w:t>
      </w:r>
      <w:r>
        <w:rPr>
          <w:rFonts w:hint="default" w:ascii="Times New Roman" w:hAnsi="Times New Roman" w:cs="Times New Roman"/>
          <w:highlight w:val="none"/>
        </w:rPr>
        <w:t>万吨/年，COD排放量为</w:t>
      </w:r>
      <w:r>
        <w:rPr>
          <w:rFonts w:hint="eastAsia" w:cs="Times New Roman"/>
          <w:highlight w:val="none"/>
          <w:lang w:val="en-US" w:eastAsia="zh-CN"/>
        </w:rPr>
        <w:t>0.0715</w:t>
      </w:r>
      <w:r>
        <w:rPr>
          <w:rFonts w:hint="default" w:ascii="Times New Roman" w:hAnsi="Times New Roman" w:cs="Times New Roman"/>
          <w:highlight w:val="none"/>
        </w:rPr>
        <w:t>吨/年，氨氮排放量为</w:t>
      </w:r>
      <w:r>
        <w:rPr>
          <w:rFonts w:hint="eastAsia" w:cs="Times New Roman"/>
          <w:highlight w:val="none"/>
          <w:lang w:val="en-US" w:eastAsia="zh-CN"/>
        </w:rPr>
        <w:t>0.0014</w:t>
      </w:r>
      <w:r>
        <w:rPr>
          <w:rFonts w:hint="default" w:ascii="Times New Roman" w:hAnsi="Times New Roman" w:cs="Times New Roman"/>
          <w:highlight w:val="none"/>
        </w:rPr>
        <w:t>吨/年，总磷排放量为</w:t>
      </w:r>
      <w:r>
        <w:rPr>
          <w:rFonts w:hint="eastAsia" w:cs="Times New Roman"/>
          <w:highlight w:val="none"/>
          <w:lang w:val="en-US" w:eastAsia="zh-CN"/>
        </w:rPr>
        <w:t>0.0001</w:t>
      </w:r>
      <w:r>
        <w:rPr>
          <w:rFonts w:hint="default" w:ascii="Times New Roman" w:hAnsi="Times New Roman" w:cs="Times New Roman"/>
          <w:highlight w:val="none"/>
        </w:rPr>
        <w:t>吨/年。</w:t>
      </w:r>
    </w:p>
    <w:p w14:paraId="503B4EE2">
      <w:pPr>
        <w:pStyle w:val="11"/>
        <w:bidi w:val="0"/>
        <w:rPr>
          <w:rFonts w:hint="default" w:ascii="Times New Roman" w:hAnsi="Times New Roman" w:cs="Times New Roman"/>
          <w:szCs w:val="24"/>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18</w:t>
      </w:r>
      <w:r>
        <w:rPr>
          <w:rFonts w:hint="default" w:ascii="Times New Roman" w:hAnsi="Times New Roman" w:cs="Times New Roman"/>
          <w:highlight w:val="none"/>
        </w:rPr>
        <w:fldChar w:fldCharType="end"/>
      </w:r>
      <w:r>
        <w:rPr>
          <w:rFonts w:hint="eastAsia" w:cs="Times New Roman"/>
          <w:highlight w:val="none"/>
          <w:lang w:val="en-US" w:eastAsia="zh-CN"/>
        </w:rPr>
        <w:t xml:space="preserve"> </w:t>
      </w:r>
      <w:r>
        <w:rPr>
          <w:rFonts w:hint="default" w:ascii="Times New Roman" w:hAnsi="Times New Roman" w:cs="Times New Roman"/>
          <w:highlight w:val="none"/>
        </w:rPr>
        <w:t>畜禽养殖污染物排放量计算表</w:t>
      </w:r>
    </w:p>
    <w:p w14:paraId="7F040B9E">
      <w:pPr>
        <w:spacing w:line="16" w:lineRule="exact"/>
        <w:rPr>
          <w:rFonts w:hint="default" w:ascii="Times New Roman" w:hAnsi="Times New Roman" w:cs="Times New Roman"/>
          <w:highlight w:val="none"/>
        </w:rPr>
      </w:pPr>
    </w:p>
    <w:tbl>
      <w:tblPr>
        <w:tblStyle w:val="24"/>
        <w:tblW w:w="84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3"/>
        <w:gridCol w:w="928"/>
        <w:gridCol w:w="1742"/>
        <w:gridCol w:w="1277"/>
        <w:gridCol w:w="1277"/>
        <w:gridCol w:w="1275"/>
        <w:gridCol w:w="1274"/>
      </w:tblGrid>
      <w:tr w14:paraId="1F76A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6" w:hRule="atLeast"/>
        </w:trPr>
        <w:tc>
          <w:tcPr>
            <w:tcW w:w="683" w:type="dxa"/>
            <w:tcBorders>
              <w:top w:val="single" w:color="auto" w:sz="4" w:space="0"/>
              <w:left w:val="single" w:color="auto" w:sz="4" w:space="0"/>
              <w:bottom w:val="single" w:color="auto" w:sz="4" w:space="0"/>
              <w:right w:val="single" w:color="auto" w:sz="4" w:space="0"/>
            </w:tcBorders>
            <w:vAlign w:val="top"/>
          </w:tcPr>
          <w:p w14:paraId="7860D02B">
            <w:pPr>
              <w:pStyle w:val="22"/>
              <w:bidi w:val="0"/>
              <w:rPr>
                <w:rFonts w:hint="default"/>
                <w:highlight w:val="none"/>
              </w:rPr>
            </w:pPr>
            <w:r>
              <w:rPr>
                <w:rFonts w:hint="default"/>
                <w:highlight w:val="none"/>
              </w:rPr>
              <w:t>流域</w:t>
            </w:r>
          </w:p>
        </w:tc>
        <w:tc>
          <w:tcPr>
            <w:tcW w:w="928" w:type="dxa"/>
            <w:tcBorders>
              <w:top w:val="single" w:color="auto" w:sz="4" w:space="0"/>
              <w:left w:val="single" w:color="auto" w:sz="4" w:space="0"/>
              <w:bottom w:val="single" w:color="auto" w:sz="4" w:space="0"/>
              <w:right w:val="single" w:color="auto" w:sz="4" w:space="0"/>
            </w:tcBorders>
            <w:vAlign w:val="top"/>
          </w:tcPr>
          <w:p w14:paraId="54A76401">
            <w:pPr>
              <w:pStyle w:val="22"/>
              <w:bidi w:val="0"/>
              <w:rPr>
                <w:rFonts w:hint="default"/>
                <w:highlight w:val="none"/>
              </w:rPr>
            </w:pPr>
            <w:r>
              <w:rPr>
                <w:rFonts w:hint="default"/>
                <w:highlight w:val="none"/>
              </w:rPr>
              <w:t>区县名称</w:t>
            </w:r>
          </w:p>
        </w:tc>
        <w:tc>
          <w:tcPr>
            <w:tcW w:w="1742" w:type="dxa"/>
            <w:tcBorders>
              <w:top w:val="single" w:color="auto" w:sz="4" w:space="0"/>
              <w:left w:val="single" w:color="auto" w:sz="4" w:space="0"/>
              <w:bottom w:val="single" w:color="auto" w:sz="4" w:space="0"/>
              <w:right w:val="single" w:color="auto" w:sz="4" w:space="0"/>
            </w:tcBorders>
            <w:vAlign w:val="top"/>
          </w:tcPr>
          <w:p w14:paraId="5A4184DC">
            <w:pPr>
              <w:pStyle w:val="22"/>
              <w:bidi w:val="0"/>
              <w:rPr>
                <w:rFonts w:hint="default"/>
                <w:highlight w:val="none"/>
              </w:rPr>
            </w:pPr>
            <w:r>
              <w:rPr>
                <w:rFonts w:hint="default"/>
                <w:highlight w:val="none"/>
              </w:rPr>
              <w:t>流域内禽畜折合为标准猪（头）</w:t>
            </w:r>
          </w:p>
        </w:tc>
        <w:tc>
          <w:tcPr>
            <w:tcW w:w="1277" w:type="dxa"/>
            <w:tcBorders>
              <w:top w:val="single" w:color="auto" w:sz="4" w:space="0"/>
              <w:left w:val="single" w:color="auto" w:sz="4" w:space="0"/>
              <w:bottom w:val="single" w:color="auto" w:sz="4" w:space="0"/>
              <w:right w:val="single" w:color="auto" w:sz="4" w:space="0"/>
            </w:tcBorders>
            <w:vAlign w:val="top"/>
          </w:tcPr>
          <w:p w14:paraId="15B78EE3">
            <w:pPr>
              <w:pStyle w:val="22"/>
              <w:bidi w:val="0"/>
              <w:rPr>
                <w:rFonts w:hint="default"/>
                <w:highlight w:val="none"/>
              </w:rPr>
            </w:pPr>
            <w:r>
              <w:rPr>
                <w:rFonts w:hint="default"/>
                <w:highlight w:val="none"/>
              </w:rPr>
              <w:t>废水排放量（万吨/年）</w:t>
            </w:r>
          </w:p>
        </w:tc>
        <w:tc>
          <w:tcPr>
            <w:tcW w:w="1277" w:type="dxa"/>
            <w:tcBorders>
              <w:top w:val="single" w:color="auto" w:sz="4" w:space="0"/>
              <w:left w:val="single" w:color="auto" w:sz="4" w:space="0"/>
              <w:bottom w:val="single" w:color="auto" w:sz="4" w:space="0"/>
              <w:right w:val="single" w:color="auto" w:sz="4" w:space="0"/>
            </w:tcBorders>
            <w:vAlign w:val="top"/>
          </w:tcPr>
          <w:p w14:paraId="7B4DD3A4">
            <w:pPr>
              <w:pStyle w:val="22"/>
              <w:bidi w:val="0"/>
              <w:rPr>
                <w:rFonts w:hint="default"/>
                <w:highlight w:val="none"/>
              </w:rPr>
            </w:pPr>
            <w:r>
              <w:rPr>
                <w:rFonts w:hint="default"/>
                <w:highlight w:val="none"/>
              </w:rPr>
              <w:t>COD排放量（吨/a）</w:t>
            </w:r>
          </w:p>
        </w:tc>
        <w:tc>
          <w:tcPr>
            <w:tcW w:w="1275" w:type="dxa"/>
            <w:tcBorders>
              <w:top w:val="single" w:color="auto" w:sz="4" w:space="0"/>
              <w:left w:val="single" w:color="auto" w:sz="4" w:space="0"/>
              <w:bottom w:val="single" w:color="auto" w:sz="4" w:space="0"/>
              <w:right w:val="single" w:color="auto" w:sz="4" w:space="0"/>
            </w:tcBorders>
            <w:vAlign w:val="top"/>
          </w:tcPr>
          <w:p w14:paraId="3E84E23A">
            <w:pPr>
              <w:pStyle w:val="22"/>
              <w:bidi w:val="0"/>
              <w:rPr>
                <w:rFonts w:hint="default"/>
                <w:highlight w:val="none"/>
              </w:rPr>
            </w:pPr>
            <w:r>
              <w:rPr>
                <w:rFonts w:hint="default"/>
                <w:highlight w:val="none"/>
              </w:rPr>
              <w:t>氨氮排放量</w:t>
            </w:r>
          </w:p>
          <w:p w14:paraId="75C51A1F">
            <w:pPr>
              <w:pStyle w:val="22"/>
              <w:bidi w:val="0"/>
              <w:rPr>
                <w:rFonts w:hint="default"/>
                <w:highlight w:val="none"/>
              </w:rPr>
            </w:pPr>
            <w:r>
              <w:rPr>
                <w:rFonts w:hint="default"/>
                <w:highlight w:val="none"/>
              </w:rPr>
              <w:t>（吨/a）</w:t>
            </w:r>
          </w:p>
        </w:tc>
        <w:tc>
          <w:tcPr>
            <w:tcW w:w="1274" w:type="dxa"/>
            <w:tcBorders>
              <w:top w:val="single" w:color="auto" w:sz="4" w:space="0"/>
              <w:left w:val="single" w:color="auto" w:sz="4" w:space="0"/>
              <w:bottom w:val="single" w:color="auto" w:sz="4" w:space="0"/>
              <w:right w:val="single" w:color="auto" w:sz="4" w:space="0"/>
            </w:tcBorders>
            <w:vAlign w:val="top"/>
          </w:tcPr>
          <w:p w14:paraId="135E7BAB">
            <w:pPr>
              <w:pStyle w:val="22"/>
              <w:bidi w:val="0"/>
              <w:rPr>
                <w:rFonts w:hint="default"/>
                <w:highlight w:val="none"/>
              </w:rPr>
            </w:pPr>
            <w:r>
              <w:rPr>
                <w:rFonts w:hint="default"/>
                <w:highlight w:val="none"/>
              </w:rPr>
              <w:t>总磷排放量（吨/a）</w:t>
            </w:r>
          </w:p>
        </w:tc>
      </w:tr>
      <w:tr w14:paraId="2D010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trPr>
        <w:tc>
          <w:tcPr>
            <w:tcW w:w="683" w:type="dxa"/>
            <w:tcBorders>
              <w:top w:val="single" w:color="auto" w:sz="4" w:space="0"/>
              <w:left w:val="single" w:color="auto" w:sz="4" w:space="0"/>
              <w:bottom w:val="single" w:color="auto" w:sz="4" w:space="0"/>
              <w:right w:val="single" w:color="auto" w:sz="4" w:space="0"/>
            </w:tcBorders>
            <w:vAlign w:val="top"/>
          </w:tcPr>
          <w:p w14:paraId="4433D97A">
            <w:pPr>
              <w:pStyle w:val="22"/>
              <w:bidi w:val="0"/>
              <w:rPr>
                <w:rFonts w:hint="default"/>
                <w:highlight w:val="none"/>
                <w:lang w:val="en-US" w:eastAsia="zh-CN"/>
              </w:rPr>
            </w:pPr>
            <w:r>
              <w:rPr>
                <w:rFonts w:hint="default"/>
                <w:highlight w:val="none"/>
                <w:lang w:val="en-US" w:eastAsia="zh-CN"/>
              </w:rPr>
              <w:t>冷龙沟</w:t>
            </w:r>
          </w:p>
        </w:tc>
        <w:tc>
          <w:tcPr>
            <w:tcW w:w="928" w:type="dxa"/>
            <w:tcBorders>
              <w:top w:val="single" w:color="auto" w:sz="4" w:space="0"/>
              <w:left w:val="single" w:color="auto" w:sz="4" w:space="0"/>
              <w:bottom w:val="single" w:color="auto" w:sz="4" w:space="0"/>
              <w:right w:val="single" w:color="auto" w:sz="4" w:space="0"/>
            </w:tcBorders>
            <w:vAlign w:val="top"/>
          </w:tcPr>
          <w:p w14:paraId="5CA67791">
            <w:pPr>
              <w:pStyle w:val="22"/>
              <w:bidi w:val="0"/>
              <w:rPr>
                <w:rFonts w:hint="default"/>
                <w:highlight w:val="none"/>
                <w:lang w:val="en-US" w:eastAsia="zh-CN"/>
              </w:rPr>
            </w:pPr>
            <w:r>
              <w:rPr>
                <w:rFonts w:hint="default"/>
                <w:highlight w:val="none"/>
                <w:lang w:val="en-US" w:eastAsia="zh-CN"/>
              </w:rPr>
              <w:t>乡城县</w:t>
            </w:r>
          </w:p>
        </w:tc>
        <w:tc>
          <w:tcPr>
            <w:tcW w:w="1742" w:type="dxa"/>
            <w:tcBorders>
              <w:top w:val="single" w:color="auto" w:sz="4" w:space="0"/>
              <w:left w:val="single" w:color="auto" w:sz="4" w:space="0"/>
              <w:bottom w:val="single" w:color="auto" w:sz="4" w:space="0"/>
              <w:right w:val="single" w:color="auto" w:sz="4" w:space="0"/>
            </w:tcBorders>
            <w:vAlign w:val="top"/>
          </w:tcPr>
          <w:p w14:paraId="7FEDBEFE">
            <w:pPr>
              <w:pStyle w:val="22"/>
              <w:bidi w:val="0"/>
              <w:rPr>
                <w:rFonts w:hint="default"/>
                <w:highlight w:val="none"/>
                <w:lang w:val="en-US" w:eastAsia="zh-CN"/>
              </w:rPr>
            </w:pPr>
            <w:r>
              <w:rPr>
                <w:rFonts w:hint="eastAsia"/>
                <w:highlight w:val="none"/>
                <w:lang w:val="en-US" w:eastAsia="zh-CN"/>
              </w:rPr>
              <w:t>49</w:t>
            </w:r>
          </w:p>
        </w:tc>
        <w:tc>
          <w:tcPr>
            <w:tcW w:w="1277" w:type="dxa"/>
            <w:tcBorders>
              <w:top w:val="single" w:color="auto" w:sz="4" w:space="0"/>
              <w:left w:val="single" w:color="auto" w:sz="4" w:space="0"/>
              <w:bottom w:val="single" w:color="auto" w:sz="4" w:space="0"/>
              <w:right w:val="single" w:color="auto" w:sz="4" w:space="0"/>
            </w:tcBorders>
            <w:vAlign w:val="top"/>
          </w:tcPr>
          <w:p w14:paraId="36C943BC">
            <w:pPr>
              <w:pStyle w:val="22"/>
              <w:bidi w:val="0"/>
              <w:rPr>
                <w:rFonts w:hint="default"/>
                <w:highlight w:val="none"/>
                <w:lang w:val="en-US" w:eastAsia="zh-CN"/>
              </w:rPr>
            </w:pPr>
            <w:r>
              <w:rPr>
                <w:rFonts w:hint="eastAsia"/>
                <w:highlight w:val="none"/>
                <w:lang w:val="en-US" w:eastAsia="zh-CN"/>
              </w:rPr>
              <w:t>2.6828</w:t>
            </w:r>
          </w:p>
        </w:tc>
        <w:tc>
          <w:tcPr>
            <w:tcW w:w="1277" w:type="dxa"/>
            <w:tcBorders>
              <w:top w:val="single" w:color="auto" w:sz="4" w:space="0"/>
              <w:left w:val="single" w:color="auto" w:sz="4" w:space="0"/>
              <w:bottom w:val="single" w:color="auto" w:sz="4" w:space="0"/>
              <w:right w:val="single" w:color="auto" w:sz="4" w:space="0"/>
            </w:tcBorders>
            <w:vAlign w:val="top"/>
          </w:tcPr>
          <w:p w14:paraId="269C2B82">
            <w:pPr>
              <w:pStyle w:val="22"/>
              <w:bidi w:val="0"/>
              <w:rPr>
                <w:rFonts w:hint="default"/>
                <w:highlight w:val="none"/>
                <w:lang w:val="en-US" w:eastAsia="zh-CN"/>
              </w:rPr>
            </w:pPr>
            <w:r>
              <w:rPr>
                <w:rFonts w:hint="eastAsia"/>
                <w:highlight w:val="none"/>
                <w:lang w:val="en-US" w:eastAsia="zh-CN"/>
              </w:rPr>
              <w:t>0.0715</w:t>
            </w:r>
          </w:p>
        </w:tc>
        <w:tc>
          <w:tcPr>
            <w:tcW w:w="1275" w:type="dxa"/>
            <w:tcBorders>
              <w:top w:val="single" w:color="auto" w:sz="4" w:space="0"/>
              <w:left w:val="single" w:color="auto" w:sz="4" w:space="0"/>
              <w:bottom w:val="single" w:color="auto" w:sz="4" w:space="0"/>
              <w:right w:val="single" w:color="auto" w:sz="4" w:space="0"/>
            </w:tcBorders>
            <w:vAlign w:val="top"/>
          </w:tcPr>
          <w:p w14:paraId="49BC53ED">
            <w:pPr>
              <w:pStyle w:val="22"/>
              <w:bidi w:val="0"/>
              <w:rPr>
                <w:rFonts w:hint="default"/>
                <w:highlight w:val="none"/>
                <w:lang w:val="en-US" w:eastAsia="zh-CN"/>
              </w:rPr>
            </w:pPr>
            <w:r>
              <w:rPr>
                <w:rFonts w:hint="eastAsia"/>
                <w:highlight w:val="none"/>
                <w:lang w:val="en-US" w:eastAsia="zh-CN"/>
              </w:rPr>
              <w:t>0.0014</w:t>
            </w:r>
          </w:p>
        </w:tc>
        <w:tc>
          <w:tcPr>
            <w:tcW w:w="1274" w:type="dxa"/>
            <w:tcBorders>
              <w:top w:val="single" w:color="auto" w:sz="4" w:space="0"/>
              <w:left w:val="single" w:color="auto" w:sz="4" w:space="0"/>
              <w:bottom w:val="single" w:color="auto" w:sz="4" w:space="0"/>
              <w:right w:val="single" w:color="auto" w:sz="4" w:space="0"/>
            </w:tcBorders>
            <w:vAlign w:val="top"/>
          </w:tcPr>
          <w:p w14:paraId="0F1ACFAC">
            <w:pPr>
              <w:pStyle w:val="22"/>
              <w:bidi w:val="0"/>
              <w:rPr>
                <w:rFonts w:hint="default"/>
                <w:highlight w:val="none"/>
                <w:lang w:val="en-US" w:eastAsia="zh-CN"/>
              </w:rPr>
            </w:pPr>
            <w:r>
              <w:rPr>
                <w:rFonts w:hint="eastAsia"/>
                <w:highlight w:val="none"/>
                <w:lang w:val="en-US" w:eastAsia="zh-CN"/>
              </w:rPr>
              <w:t>0.0001</w:t>
            </w:r>
          </w:p>
        </w:tc>
      </w:tr>
    </w:tbl>
    <w:p w14:paraId="1D4C33ED">
      <w:pPr>
        <w:bidi w:val="0"/>
        <w:rPr>
          <w:rFonts w:hint="eastAsia"/>
          <w:highlight w:val="none"/>
          <w:lang w:val="en-US" w:eastAsia="zh-CN"/>
        </w:rPr>
      </w:pPr>
      <w:r>
        <w:rPr>
          <w:rFonts w:hint="default"/>
          <w:highlight w:val="none"/>
          <w:lang w:val="en-US" w:eastAsia="zh-CN"/>
        </w:rPr>
        <w:t>流域内畜禽养殖污染入河系数取0.1，</w:t>
      </w:r>
      <w:r>
        <w:rPr>
          <w:rFonts w:hint="eastAsia"/>
          <w:highlight w:val="none"/>
          <w:lang w:val="en-US" w:eastAsia="zh-CN"/>
        </w:rPr>
        <w:t>污染物负荷详见下表。</w:t>
      </w:r>
    </w:p>
    <w:p w14:paraId="4C629BAD">
      <w:pPr>
        <w:pStyle w:val="11"/>
        <w:bidi w:val="0"/>
        <w:ind w:left="0" w:leftChars="0" w:firstLine="0" w:firstLineChars="0"/>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19</w:t>
      </w:r>
      <w:r>
        <w:rPr>
          <w:highlight w:val="none"/>
        </w:rPr>
        <w:fldChar w:fldCharType="end"/>
      </w:r>
      <w:r>
        <w:rPr>
          <w:rFonts w:hint="eastAsia"/>
          <w:highlight w:val="none"/>
          <w:lang w:val="en-US" w:eastAsia="zh-CN"/>
        </w:rPr>
        <w:t xml:space="preserve"> 流域畜禽养殖污染负荷产生量及入河量（单位：t/a）</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21577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14:paraId="207C2F04">
            <w:pPr>
              <w:pStyle w:val="22"/>
              <w:bidi w:val="0"/>
              <w:rPr>
                <w:rFonts w:hint="default"/>
                <w:highlight w:val="none"/>
                <w:lang w:val="en-US" w:eastAsia="zh-CN"/>
              </w:rPr>
            </w:pPr>
            <w:r>
              <w:rPr>
                <w:rFonts w:hint="eastAsia"/>
                <w:highlight w:val="none"/>
                <w:lang w:val="en-US" w:eastAsia="zh-CN"/>
              </w:rPr>
              <w:t>流域</w:t>
            </w:r>
          </w:p>
        </w:tc>
        <w:tc>
          <w:tcPr>
            <w:tcW w:w="1420" w:type="dxa"/>
            <w:vMerge w:val="restart"/>
            <w:vAlign w:val="center"/>
          </w:tcPr>
          <w:p w14:paraId="292D1CF5">
            <w:pPr>
              <w:pStyle w:val="22"/>
              <w:bidi w:val="0"/>
              <w:rPr>
                <w:rFonts w:hint="default"/>
                <w:highlight w:val="none"/>
                <w:lang w:val="en-US" w:eastAsia="zh-CN"/>
              </w:rPr>
            </w:pPr>
            <w:r>
              <w:rPr>
                <w:rFonts w:hint="eastAsia"/>
                <w:highlight w:val="none"/>
                <w:lang w:val="en-US" w:eastAsia="zh-CN"/>
              </w:rPr>
              <w:t>类别</w:t>
            </w:r>
          </w:p>
        </w:tc>
        <w:tc>
          <w:tcPr>
            <w:tcW w:w="5682" w:type="dxa"/>
            <w:gridSpan w:val="4"/>
            <w:vAlign w:val="center"/>
          </w:tcPr>
          <w:p w14:paraId="5637844B">
            <w:pPr>
              <w:pStyle w:val="22"/>
              <w:bidi w:val="0"/>
              <w:rPr>
                <w:rFonts w:hint="default"/>
                <w:highlight w:val="none"/>
                <w:lang w:val="en-US" w:eastAsia="zh-CN"/>
              </w:rPr>
            </w:pPr>
            <w:r>
              <w:rPr>
                <w:rFonts w:hint="default"/>
                <w:highlight w:val="none"/>
                <w:lang w:val="en-US" w:eastAsia="zh-CN"/>
              </w:rPr>
              <w:t>污染物</w:t>
            </w:r>
          </w:p>
        </w:tc>
      </w:tr>
      <w:tr w14:paraId="393EA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14:paraId="136C4F08">
            <w:pPr>
              <w:pStyle w:val="22"/>
              <w:bidi w:val="0"/>
              <w:rPr>
                <w:rFonts w:hint="default"/>
                <w:highlight w:val="none"/>
                <w:lang w:val="en-US" w:eastAsia="zh-CN"/>
              </w:rPr>
            </w:pPr>
          </w:p>
        </w:tc>
        <w:tc>
          <w:tcPr>
            <w:tcW w:w="1420" w:type="dxa"/>
            <w:vMerge w:val="continue"/>
            <w:vAlign w:val="center"/>
          </w:tcPr>
          <w:p w14:paraId="7F6AB341">
            <w:pPr>
              <w:pStyle w:val="22"/>
              <w:bidi w:val="0"/>
              <w:rPr>
                <w:rFonts w:hint="default"/>
                <w:highlight w:val="none"/>
                <w:lang w:val="en-US" w:eastAsia="zh-CN"/>
              </w:rPr>
            </w:pPr>
          </w:p>
        </w:tc>
        <w:tc>
          <w:tcPr>
            <w:tcW w:w="1420" w:type="dxa"/>
            <w:vAlign w:val="center"/>
          </w:tcPr>
          <w:p w14:paraId="28AE89BC">
            <w:pPr>
              <w:pStyle w:val="22"/>
              <w:bidi w:val="0"/>
              <w:rPr>
                <w:rFonts w:hint="default"/>
                <w:highlight w:val="none"/>
                <w:lang w:val="en-US" w:eastAsia="zh-CN"/>
              </w:rPr>
            </w:pPr>
            <w:r>
              <w:rPr>
                <w:rFonts w:hint="eastAsia"/>
                <w:highlight w:val="none"/>
                <w:lang w:val="en-US" w:eastAsia="zh-CN"/>
              </w:rPr>
              <w:t>COD</w:t>
            </w:r>
          </w:p>
        </w:tc>
        <w:tc>
          <w:tcPr>
            <w:tcW w:w="1420" w:type="dxa"/>
            <w:vAlign w:val="center"/>
          </w:tcPr>
          <w:p w14:paraId="524A99B9">
            <w:pPr>
              <w:pStyle w:val="22"/>
              <w:bidi w:val="0"/>
              <w:rPr>
                <w:rFonts w:hint="default"/>
                <w:highlight w:val="none"/>
                <w:lang w:val="en-US" w:eastAsia="zh-CN"/>
              </w:rPr>
            </w:pPr>
            <w:r>
              <w:rPr>
                <w:rFonts w:hint="eastAsia"/>
                <w:highlight w:val="none"/>
                <w:lang w:val="en-US" w:eastAsia="zh-CN"/>
              </w:rPr>
              <w:t>总氮</w:t>
            </w:r>
          </w:p>
        </w:tc>
        <w:tc>
          <w:tcPr>
            <w:tcW w:w="1421" w:type="dxa"/>
            <w:vAlign w:val="center"/>
          </w:tcPr>
          <w:p w14:paraId="1E2A04A6">
            <w:pPr>
              <w:pStyle w:val="22"/>
              <w:bidi w:val="0"/>
              <w:rPr>
                <w:rFonts w:hint="default"/>
                <w:highlight w:val="none"/>
                <w:lang w:val="en-US" w:eastAsia="zh-CN"/>
              </w:rPr>
            </w:pPr>
            <w:r>
              <w:rPr>
                <w:rFonts w:hint="default"/>
                <w:highlight w:val="none"/>
                <w:lang w:val="en-US" w:eastAsia="zh-CN"/>
              </w:rPr>
              <w:t>氨氮</w:t>
            </w:r>
          </w:p>
        </w:tc>
        <w:tc>
          <w:tcPr>
            <w:tcW w:w="1421" w:type="dxa"/>
            <w:vAlign w:val="center"/>
          </w:tcPr>
          <w:p w14:paraId="61A1D4E7">
            <w:pPr>
              <w:pStyle w:val="22"/>
              <w:bidi w:val="0"/>
              <w:rPr>
                <w:rFonts w:hint="default"/>
                <w:highlight w:val="none"/>
                <w:lang w:val="en-US" w:eastAsia="zh-CN"/>
              </w:rPr>
            </w:pPr>
            <w:r>
              <w:rPr>
                <w:rFonts w:hint="default"/>
                <w:highlight w:val="none"/>
                <w:lang w:val="en-US" w:eastAsia="zh-CN"/>
              </w:rPr>
              <w:t>总磷</w:t>
            </w:r>
          </w:p>
        </w:tc>
      </w:tr>
      <w:tr w14:paraId="35BDE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14:paraId="2C0B9C9C">
            <w:pPr>
              <w:pStyle w:val="22"/>
              <w:bidi w:val="0"/>
              <w:rPr>
                <w:rFonts w:hint="default"/>
                <w:highlight w:val="none"/>
                <w:lang w:val="en-US" w:eastAsia="zh-CN"/>
              </w:rPr>
            </w:pPr>
            <w:r>
              <w:rPr>
                <w:rFonts w:hint="eastAsia"/>
                <w:highlight w:val="none"/>
                <w:lang w:val="en-US" w:eastAsia="zh-CN"/>
              </w:rPr>
              <w:t>冷龙沟流域</w:t>
            </w:r>
          </w:p>
        </w:tc>
        <w:tc>
          <w:tcPr>
            <w:tcW w:w="1420" w:type="dxa"/>
            <w:vAlign w:val="center"/>
          </w:tcPr>
          <w:p w14:paraId="78BC903A">
            <w:pPr>
              <w:pStyle w:val="22"/>
              <w:bidi w:val="0"/>
              <w:rPr>
                <w:rFonts w:hint="default"/>
                <w:highlight w:val="none"/>
                <w:lang w:val="en-US" w:eastAsia="zh-CN"/>
              </w:rPr>
            </w:pPr>
            <w:r>
              <w:rPr>
                <w:rFonts w:hint="default"/>
                <w:highlight w:val="none"/>
                <w:lang w:val="en-US" w:eastAsia="zh-CN"/>
              </w:rPr>
              <w:t>排放量</w:t>
            </w:r>
          </w:p>
        </w:tc>
        <w:tc>
          <w:tcPr>
            <w:tcW w:w="1420" w:type="dxa"/>
            <w:vAlign w:val="top"/>
          </w:tcPr>
          <w:p w14:paraId="31F36A11">
            <w:pPr>
              <w:pStyle w:val="22"/>
              <w:bidi w:val="0"/>
              <w:rPr>
                <w:rFonts w:hint="default"/>
                <w:highlight w:val="none"/>
                <w:lang w:val="en-US" w:eastAsia="zh-CN"/>
              </w:rPr>
            </w:pPr>
            <w:r>
              <w:rPr>
                <w:rFonts w:hint="eastAsia"/>
                <w:highlight w:val="none"/>
                <w:lang w:val="en-US" w:eastAsia="zh-CN"/>
              </w:rPr>
              <w:t>2.6828</w:t>
            </w:r>
          </w:p>
        </w:tc>
        <w:tc>
          <w:tcPr>
            <w:tcW w:w="1420" w:type="dxa"/>
            <w:vAlign w:val="top"/>
          </w:tcPr>
          <w:p w14:paraId="07581EF2">
            <w:pPr>
              <w:pStyle w:val="22"/>
              <w:bidi w:val="0"/>
              <w:rPr>
                <w:rFonts w:hint="default"/>
                <w:highlight w:val="none"/>
                <w:lang w:val="en-US" w:eastAsia="zh-CN"/>
              </w:rPr>
            </w:pPr>
            <w:r>
              <w:rPr>
                <w:rFonts w:hint="eastAsia"/>
                <w:highlight w:val="none"/>
                <w:lang w:val="en-US" w:eastAsia="zh-CN"/>
              </w:rPr>
              <w:t>0.0715</w:t>
            </w:r>
          </w:p>
        </w:tc>
        <w:tc>
          <w:tcPr>
            <w:tcW w:w="1421" w:type="dxa"/>
            <w:vAlign w:val="top"/>
          </w:tcPr>
          <w:p w14:paraId="575E4530">
            <w:pPr>
              <w:pStyle w:val="22"/>
              <w:bidi w:val="0"/>
              <w:rPr>
                <w:rFonts w:hint="default"/>
                <w:highlight w:val="none"/>
                <w:lang w:val="en-US" w:eastAsia="zh-CN"/>
              </w:rPr>
            </w:pPr>
            <w:r>
              <w:rPr>
                <w:rFonts w:hint="eastAsia"/>
                <w:highlight w:val="none"/>
                <w:lang w:val="en-US" w:eastAsia="zh-CN"/>
              </w:rPr>
              <w:t>0.0014</w:t>
            </w:r>
          </w:p>
        </w:tc>
        <w:tc>
          <w:tcPr>
            <w:tcW w:w="1421" w:type="dxa"/>
            <w:vAlign w:val="top"/>
          </w:tcPr>
          <w:p w14:paraId="42EA987F">
            <w:pPr>
              <w:pStyle w:val="22"/>
              <w:bidi w:val="0"/>
              <w:rPr>
                <w:rFonts w:hint="default"/>
                <w:highlight w:val="none"/>
                <w:lang w:val="en-US" w:eastAsia="zh-CN"/>
              </w:rPr>
            </w:pPr>
            <w:r>
              <w:rPr>
                <w:rFonts w:hint="eastAsia"/>
                <w:highlight w:val="none"/>
                <w:lang w:val="en-US" w:eastAsia="zh-CN"/>
              </w:rPr>
              <w:t>0.0001</w:t>
            </w:r>
          </w:p>
        </w:tc>
      </w:tr>
      <w:tr w14:paraId="38304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vAlign w:val="center"/>
          </w:tcPr>
          <w:p w14:paraId="172F2FD4">
            <w:pPr>
              <w:pStyle w:val="22"/>
              <w:bidi w:val="0"/>
              <w:rPr>
                <w:rFonts w:hint="default"/>
                <w:highlight w:val="none"/>
                <w:lang w:val="en-US" w:eastAsia="zh-CN"/>
              </w:rPr>
            </w:pPr>
          </w:p>
        </w:tc>
        <w:tc>
          <w:tcPr>
            <w:tcW w:w="1420" w:type="dxa"/>
            <w:vAlign w:val="center"/>
          </w:tcPr>
          <w:p w14:paraId="37584FAC">
            <w:pPr>
              <w:pStyle w:val="22"/>
              <w:bidi w:val="0"/>
              <w:rPr>
                <w:rFonts w:hint="default"/>
                <w:highlight w:val="none"/>
                <w:lang w:val="en-US" w:eastAsia="zh-CN"/>
              </w:rPr>
            </w:pPr>
            <w:r>
              <w:rPr>
                <w:rFonts w:hint="default"/>
                <w:highlight w:val="none"/>
                <w:lang w:val="en-US" w:eastAsia="zh-CN"/>
              </w:rPr>
              <w:t>入河量</w:t>
            </w:r>
          </w:p>
        </w:tc>
        <w:tc>
          <w:tcPr>
            <w:tcW w:w="1420" w:type="dxa"/>
            <w:vAlign w:val="center"/>
          </w:tcPr>
          <w:p w14:paraId="45ABA4AE">
            <w:pPr>
              <w:pStyle w:val="22"/>
              <w:bidi w:val="0"/>
              <w:rPr>
                <w:rFonts w:hint="default"/>
                <w:highlight w:val="none"/>
                <w:lang w:val="en-US" w:eastAsia="zh-CN"/>
              </w:rPr>
            </w:pPr>
            <w:r>
              <w:rPr>
                <w:rFonts w:hint="eastAsia"/>
                <w:highlight w:val="none"/>
                <w:lang w:val="en-US" w:eastAsia="zh-CN"/>
              </w:rPr>
              <w:t>0.26828</w:t>
            </w:r>
          </w:p>
        </w:tc>
        <w:tc>
          <w:tcPr>
            <w:tcW w:w="1420" w:type="dxa"/>
            <w:vAlign w:val="center"/>
          </w:tcPr>
          <w:p w14:paraId="12AC4D4C">
            <w:pPr>
              <w:pStyle w:val="22"/>
              <w:bidi w:val="0"/>
              <w:rPr>
                <w:rFonts w:hint="default"/>
                <w:highlight w:val="none"/>
                <w:lang w:val="en-US" w:eastAsia="zh-CN"/>
              </w:rPr>
            </w:pPr>
            <w:r>
              <w:rPr>
                <w:rFonts w:hint="eastAsia"/>
                <w:highlight w:val="none"/>
                <w:lang w:val="en-US" w:eastAsia="zh-CN"/>
              </w:rPr>
              <w:t>0.00715</w:t>
            </w:r>
          </w:p>
        </w:tc>
        <w:tc>
          <w:tcPr>
            <w:tcW w:w="1421" w:type="dxa"/>
            <w:vAlign w:val="center"/>
          </w:tcPr>
          <w:p w14:paraId="3C0C30FE">
            <w:pPr>
              <w:pStyle w:val="22"/>
              <w:bidi w:val="0"/>
              <w:rPr>
                <w:rFonts w:hint="default"/>
                <w:highlight w:val="none"/>
                <w:lang w:val="en-US" w:eastAsia="zh-CN"/>
              </w:rPr>
            </w:pPr>
            <w:r>
              <w:rPr>
                <w:rFonts w:hint="eastAsia"/>
                <w:highlight w:val="none"/>
                <w:lang w:val="en-US" w:eastAsia="zh-CN"/>
              </w:rPr>
              <w:t>0.00014</w:t>
            </w:r>
          </w:p>
        </w:tc>
        <w:tc>
          <w:tcPr>
            <w:tcW w:w="1421" w:type="dxa"/>
            <w:vAlign w:val="center"/>
          </w:tcPr>
          <w:p w14:paraId="1E075E71">
            <w:pPr>
              <w:pStyle w:val="22"/>
              <w:bidi w:val="0"/>
              <w:rPr>
                <w:rFonts w:hint="default"/>
                <w:highlight w:val="none"/>
                <w:lang w:val="en-US" w:eastAsia="zh-CN"/>
              </w:rPr>
            </w:pPr>
            <w:r>
              <w:rPr>
                <w:rFonts w:hint="eastAsia"/>
                <w:highlight w:val="none"/>
                <w:lang w:val="en-US" w:eastAsia="zh-CN"/>
              </w:rPr>
              <w:t>0.00001</w:t>
            </w:r>
          </w:p>
        </w:tc>
      </w:tr>
    </w:tbl>
    <w:p w14:paraId="357D6B94">
      <w:pPr>
        <w:bidi w:val="0"/>
        <w:rPr>
          <w:rFonts w:hint="eastAsia"/>
          <w:highlight w:val="none"/>
          <w:lang w:val="en-US" w:eastAsia="zh-CN"/>
        </w:rPr>
      </w:pPr>
      <w:r>
        <w:rPr>
          <w:rFonts w:hint="eastAsia"/>
          <w:highlight w:val="none"/>
          <w:lang w:val="en-US" w:eastAsia="zh-CN"/>
        </w:rPr>
        <w:t>6、流域污染源现状评价</w:t>
      </w:r>
    </w:p>
    <w:p w14:paraId="40AEE6BC">
      <w:pPr>
        <w:bidi w:val="0"/>
        <w:rPr>
          <w:rFonts w:hint="eastAsia"/>
          <w:highlight w:val="none"/>
          <w:lang w:val="en-US" w:eastAsia="zh-CN"/>
        </w:rPr>
      </w:pPr>
      <w:r>
        <w:rPr>
          <w:rFonts w:hint="default"/>
          <w:highlight w:val="none"/>
          <w:lang w:val="en-US" w:eastAsia="zh-CN"/>
        </w:rPr>
        <w:t>流域内污染负荷汇总情况详见</w:t>
      </w:r>
      <w:r>
        <w:rPr>
          <w:rFonts w:hint="eastAsia"/>
          <w:highlight w:val="none"/>
          <w:lang w:val="en-US" w:eastAsia="zh-CN"/>
        </w:rPr>
        <w:t>下</w:t>
      </w:r>
      <w:r>
        <w:rPr>
          <w:rFonts w:hint="default"/>
          <w:highlight w:val="none"/>
          <w:lang w:val="en-US" w:eastAsia="zh-CN"/>
        </w:rPr>
        <w:t>表</w:t>
      </w:r>
      <w:r>
        <w:rPr>
          <w:rFonts w:hint="eastAsia"/>
          <w:highlight w:val="none"/>
          <w:lang w:val="en-US" w:eastAsia="zh-CN"/>
        </w:rPr>
        <w:t>。</w:t>
      </w:r>
    </w:p>
    <w:p w14:paraId="47BFD68A">
      <w:pPr>
        <w:bidi w:val="0"/>
        <w:rPr>
          <w:rFonts w:hint="eastAsia"/>
          <w:highlight w:val="none"/>
          <w:lang w:val="en-US" w:eastAsia="zh-CN"/>
        </w:rPr>
      </w:pPr>
    </w:p>
    <w:p w14:paraId="42525C33">
      <w:pPr>
        <w:bidi w:val="0"/>
        <w:rPr>
          <w:rFonts w:hint="eastAsia"/>
          <w:highlight w:val="none"/>
          <w:lang w:val="en-US" w:eastAsia="zh-CN"/>
        </w:rPr>
      </w:pPr>
    </w:p>
    <w:p w14:paraId="6B130B4F">
      <w:pPr>
        <w:bidi w:val="0"/>
        <w:rPr>
          <w:rFonts w:hint="eastAsia"/>
          <w:highlight w:val="none"/>
          <w:lang w:val="en-US" w:eastAsia="zh-CN"/>
        </w:rPr>
      </w:pPr>
    </w:p>
    <w:p w14:paraId="6D42F113">
      <w:pPr>
        <w:pStyle w:val="11"/>
        <w:bidi w:val="0"/>
        <w:ind w:left="0" w:leftChars="0" w:firstLine="0" w:firstLineChars="0"/>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20</w:t>
      </w:r>
      <w:r>
        <w:rPr>
          <w:highlight w:val="none"/>
        </w:rPr>
        <w:fldChar w:fldCharType="end"/>
      </w:r>
      <w:r>
        <w:rPr>
          <w:rFonts w:hint="eastAsia"/>
          <w:highlight w:val="none"/>
          <w:lang w:val="en-US" w:eastAsia="zh-CN"/>
        </w:rPr>
        <w:t xml:space="preserve"> 流域污染负荷汇总（单位：t/a）</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1708"/>
        <w:gridCol w:w="1420"/>
        <w:gridCol w:w="1420"/>
        <w:gridCol w:w="1421"/>
        <w:gridCol w:w="1421"/>
      </w:tblGrid>
      <w:tr w14:paraId="380D2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restart"/>
            <w:vAlign w:val="center"/>
          </w:tcPr>
          <w:p w14:paraId="5691740B">
            <w:pPr>
              <w:pStyle w:val="22"/>
              <w:bidi w:val="0"/>
              <w:jc w:val="center"/>
              <w:rPr>
                <w:rFonts w:hint="default"/>
                <w:highlight w:val="none"/>
                <w:lang w:val="en-US" w:eastAsia="zh-CN"/>
              </w:rPr>
            </w:pPr>
            <w:r>
              <w:rPr>
                <w:rFonts w:hint="eastAsia"/>
                <w:highlight w:val="none"/>
                <w:lang w:val="en-US" w:eastAsia="zh-CN"/>
              </w:rPr>
              <w:t>流域</w:t>
            </w:r>
          </w:p>
        </w:tc>
        <w:tc>
          <w:tcPr>
            <w:tcW w:w="1708" w:type="dxa"/>
            <w:vMerge w:val="restart"/>
            <w:vAlign w:val="center"/>
          </w:tcPr>
          <w:p w14:paraId="4FD5BB3A">
            <w:pPr>
              <w:pStyle w:val="22"/>
              <w:bidi w:val="0"/>
              <w:jc w:val="center"/>
              <w:rPr>
                <w:rFonts w:hint="default"/>
                <w:highlight w:val="none"/>
                <w:lang w:val="en-US" w:eastAsia="zh-CN"/>
              </w:rPr>
            </w:pPr>
            <w:r>
              <w:rPr>
                <w:rFonts w:hint="eastAsia"/>
                <w:highlight w:val="none"/>
                <w:lang w:val="en-US" w:eastAsia="zh-CN"/>
              </w:rPr>
              <w:t>类别</w:t>
            </w:r>
          </w:p>
        </w:tc>
        <w:tc>
          <w:tcPr>
            <w:tcW w:w="5682" w:type="dxa"/>
            <w:gridSpan w:val="4"/>
            <w:vAlign w:val="center"/>
          </w:tcPr>
          <w:p w14:paraId="60444155">
            <w:pPr>
              <w:pStyle w:val="22"/>
              <w:bidi w:val="0"/>
              <w:jc w:val="center"/>
              <w:rPr>
                <w:rFonts w:hint="default"/>
                <w:highlight w:val="none"/>
                <w:lang w:val="en-US" w:eastAsia="zh-CN"/>
              </w:rPr>
            </w:pPr>
            <w:r>
              <w:rPr>
                <w:rFonts w:hint="default"/>
                <w:highlight w:val="none"/>
                <w:lang w:val="en-US" w:eastAsia="zh-CN"/>
              </w:rPr>
              <w:t>农业面源污染</w:t>
            </w:r>
          </w:p>
        </w:tc>
      </w:tr>
      <w:tr w14:paraId="3C167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14:paraId="52CB2DCC">
            <w:pPr>
              <w:pStyle w:val="22"/>
              <w:bidi w:val="0"/>
              <w:jc w:val="center"/>
              <w:rPr>
                <w:rFonts w:hint="default"/>
                <w:highlight w:val="none"/>
                <w:lang w:val="en-US" w:eastAsia="zh-CN"/>
              </w:rPr>
            </w:pPr>
          </w:p>
        </w:tc>
        <w:tc>
          <w:tcPr>
            <w:tcW w:w="1708" w:type="dxa"/>
            <w:vMerge w:val="continue"/>
            <w:vAlign w:val="center"/>
          </w:tcPr>
          <w:p w14:paraId="26D44AAA">
            <w:pPr>
              <w:pStyle w:val="22"/>
              <w:bidi w:val="0"/>
              <w:jc w:val="center"/>
              <w:rPr>
                <w:rFonts w:hint="default"/>
                <w:highlight w:val="none"/>
                <w:lang w:val="en-US" w:eastAsia="zh-CN"/>
              </w:rPr>
            </w:pPr>
          </w:p>
        </w:tc>
        <w:tc>
          <w:tcPr>
            <w:tcW w:w="1420" w:type="dxa"/>
            <w:vAlign w:val="center"/>
          </w:tcPr>
          <w:p w14:paraId="44CE2652">
            <w:pPr>
              <w:pStyle w:val="22"/>
              <w:bidi w:val="0"/>
              <w:jc w:val="center"/>
              <w:rPr>
                <w:rFonts w:hint="default"/>
                <w:highlight w:val="none"/>
                <w:lang w:val="en-US" w:eastAsia="zh-CN"/>
              </w:rPr>
            </w:pPr>
            <w:r>
              <w:rPr>
                <w:rFonts w:hint="default"/>
                <w:highlight w:val="none"/>
                <w:lang w:val="en-US" w:eastAsia="zh-CN"/>
              </w:rPr>
              <w:t>COD</w:t>
            </w:r>
          </w:p>
        </w:tc>
        <w:tc>
          <w:tcPr>
            <w:tcW w:w="1420" w:type="dxa"/>
            <w:vAlign w:val="center"/>
          </w:tcPr>
          <w:p w14:paraId="5F7B9860">
            <w:pPr>
              <w:pStyle w:val="22"/>
              <w:bidi w:val="0"/>
              <w:jc w:val="center"/>
              <w:rPr>
                <w:rFonts w:hint="default"/>
                <w:highlight w:val="none"/>
                <w:lang w:val="en-US" w:eastAsia="zh-CN"/>
              </w:rPr>
            </w:pPr>
            <w:r>
              <w:rPr>
                <w:rFonts w:hint="default"/>
                <w:highlight w:val="none"/>
                <w:lang w:val="en-US" w:eastAsia="zh-CN"/>
              </w:rPr>
              <w:t>总氮</w:t>
            </w:r>
          </w:p>
        </w:tc>
        <w:tc>
          <w:tcPr>
            <w:tcW w:w="1421" w:type="dxa"/>
            <w:vAlign w:val="center"/>
          </w:tcPr>
          <w:p w14:paraId="78DCBB35">
            <w:pPr>
              <w:pStyle w:val="22"/>
              <w:bidi w:val="0"/>
              <w:jc w:val="center"/>
              <w:rPr>
                <w:rFonts w:hint="default"/>
                <w:highlight w:val="none"/>
                <w:lang w:val="en-US" w:eastAsia="zh-CN"/>
              </w:rPr>
            </w:pPr>
            <w:r>
              <w:rPr>
                <w:rFonts w:hint="default"/>
                <w:highlight w:val="none"/>
                <w:lang w:val="en-US" w:eastAsia="zh-CN"/>
              </w:rPr>
              <w:t>氨氮</w:t>
            </w:r>
          </w:p>
        </w:tc>
        <w:tc>
          <w:tcPr>
            <w:tcW w:w="1421" w:type="dxa"/>
            <w:vAlign w:val="center"/>
          </w:tcPr>
          <w:p w14:paraId="5DCCD096">
            <w:pPr>
              <w:pStyle w:val="22"/>
              <w:bidi w:val="0"/>
              <w:jc w:val="center"/>
              <w:rPr>
                <w:rFonts w:hint="default"/>
                <w:highlight w:val="none"/>
                <w:lang w:val="en-US" w:eastAsia="zh-CN"/>
              </w:rPr>
            </w:pPr>
            <w:r>
              <w:rPr>
                <w:rFonts w:hint="default"/>
                <w:highlight w:val="none"/>
                <w:lang w:val="en-US" w:eastAsia="zh-CN"/>
              </w:rPr>
              <w:t>氨氮</w:t>
            </w:r>
          </w:p>
        </w:tc>
      </w:tr>
      <w:tr w14:paraId="7430A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restart"/>
            <w:vAlign w:val="center"/>
          </w:tcPr>
          <w:p w14:paraId="67366759">
            <w:pPr>
              <w:pStyle w:val="22"/>
              <w:bidi w:val="0"/>
              <w:jc w:val="center"/>
              <w:rPr>
                <w:rFonts w:hint="default"/>
                <w:highlight w:val="none"/>
                <w:lang w:val="en-US" w:eastAsia="zh-CN"/>
              </w:rPr>
            </w:pPr>
            <w:r>
              <w:rPr>
                <w:rFonts w:hint="eastAsia"/>
                <w:highlight w:val="none"/>
                <w:lang w:val="en-US" w:eastAsia="zh-CN"/>
              </w:rPr>
              <w:t>冷龙沟</w:t>
            </w:r>
          </w:p>
        </w:tc>
        <w:tc>
          <w:tcPr>
            <w:tcW w:w="1708" w:type="dxa"/>
            <w:vAlign w:val="center"/>
          </w:tcPr>
          <w:p w14:paraId="5177A089">
            <w:pPr>
              <w:pStyle w:val="22"/>
              <w:bidi w:val="0"/>
              <w:jc w:val="center"/>
              <w:rPr>
                <w:rFonts w:hint="default"/>
                <w:highlight w:val="none"/>
                <w:lang w:val="en-US" w:eastAsia="zh-CN"/>
              </w:rPr>
            </w:pPr>
            <w:r>
              <w:rPr>
                <w:rFonts w:hint="default"/>
                <w:highlight w:val="none"/>
                <w:lang w:val="en-US" w:eastAsia="zh-CN"/>
              </w:rPr>
              <w:t>生活污染</w:t>
            </w:r>
          </w:p>
        </w:tc>
        <w:tc>
          <w:tcPr>
            <w:tcW w:w="1420" w:type="dxa"/>
            <w:shd w:val="clear" w:color="auto" w:fill="auto"/>
            <w:vAlign w:val="center"/>
          </w:tcPr>
          <w:p w14:paraId="43E7AFE6">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highlight w:val="none"/>
                <w:lang w:val="en-US" w:eastAsia="zh-CN"/>
              </w:rPr>
              <w:t>0.000409</w:t>
            </w:r>
          </w:p>
        </w:tc>
        <w:tc>
          <w:tcPr>
            <w:tcW w:w="1420" w:type="dxa"/>
            <w:shd w:val="clear" w:color="auto" w:fill="auto"/>
            <w:vAlign w:val="center"/>
          </w:tcPr>
          <w:p w14:paraId="1587A93A">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highlight w:val="none"/>
                <w:lang w:val="en-US" w:eastAsia="zh-CN"/>
              </w:rPr>
              <w:t>0.000026</w:t>
            </w:r>
          </w:p>
        </w:tc>
        <w:tc>
          <w:tcPr>
            <w:tcW w:w="1421" w:type="dxa"/>
            <w:shd w:val="clear" w:color="auto" w:fill="auto"/>
            <w:vAlign w:val="center"/>
          </w:tcPr>
          <w:p w14:paraId="5B4C5E66">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highlight w:val="none"/>
                <w:lang w:val="en-US" w:eastAsia="zh-CN"/>
              </w:rPr>
              <w:t>0.000059</w:t>
            </w:r>
          </w:p>
        </w:tc>
        <w:tc>
          <w:tcPr>
            <w:tcW w:w="1421" w:type="dxa"/>
            <w:shd w:val="clear" w:color="auto" w:fill="auto"/>
            <w:vAlign w:val="center"/>
          </w:tcPr>
          <w:p w14:paraId="543B9689">
            <w:pPr>
              <w:pStyle w:val="22"/>
              <w:bidi w:val="0"/>
              <w:ind w:firstLine="0" w:firstLineChars="0"/>
              <w:jc w:val="center"/>
              <w:rPr>
                <w:rFonts w:hint="default" w:ascii="Times New Roman" w:hAnsi="Times New Roman" w:eastAsiaTheme="minorEastAsia" w:cstheme="minorBidi"/>
                <w:iCs/>
                <w:kern w:val="2"/>
                <w:sz w:val="21"/>
                <w:szCs w:val="21"/>
                <w:highlight w:val="none"/>
                <w:lang w:val="en-US" w:eastAsia="zh-CN" w:bidi="ar-SA"/>
              </w:rPr>
            </w:pPr>
            <w:r>
              <w:rPr>
                <w:rFonts w:hint="eastAsia"/>
                <w:highlight w:val="none"/>
                <w:lang w:val="en-US" w:eastAsia="zh-CN"/>
              </w:rPr>
              <w:t>0.000001</w:t>
            </w:r>
          </w:p>
        </w:tc>
      </w:tr>
      <w:tr w14:paraId="2F18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14:paraId="3C1307AC">
            <w:pPr>
              <w:pStyle w:val="22"/>
              <w:bidi w:val="0"/>
              <w:jc w:val="center"/>
              <w:rPr>
                <w:rFonts w:hint="default"/>
                <w:highlight w:val="none"/>
                <w:lang w:val="en-US" w:eastAsia="zh-CN"/>
              </w:rPr>
            </w:pPr>
          </w:p>
        </w:tc>
        <w:tc>
          <w:tcPr>
            <w:tcW w:w="1708" w:type="dxa"/>
            <w:vAlign w:val="center"/>
          </w:tcPr>
          <w:p w14:paraId="7C75183C">
            <w:pPr>
              <w:pStyle w:val="22"/>
              <w:bidi w:val="0"/>
              <w:jc w:val="center"/>
              <w:rPr>
                <w:rFonts w:hint="default"/>
                <w:highlight w:val="none"/>
                <w:lang w:val="en-US" w:eastAsia="zh-CN"/>
              </w:rPr>
            </w:pPr>
            <w:r>
              <w:rPr>
                <w:rFonts w:hint="default"/>
                <w:highlight w:val="none"/>
                <w:lang w:val="en-US" w:eastAsia="zh-CN"/>
              </w:rPr>
              <w:t>工业污染</w:t>
            </w:r>
          </w:p>
        </w:tc>
        <w:tc>
          <w:tcPr>
            <w:tcW w:w="1420" w:type="dxa"/>
            <w:vAlign w:val="center"/>
          </w:tcPr>
          <w:p w14:paraId="0C4DF2FD">
            <w:pPr>
              <w:pStyle w:val="22"/>
              <w:bidi w:val="0"/>
              <w:jc w:val="center"/>
              <w:rPr>
                <w:rFonts w:hint="default"/>
                <w:highlight w:val="none"/>
                <w:lang w:val="en-US" w:eastAsia="zh-CN"/>
              </w:rPr>
            </w:pPr>
            <w:r>
              <w:rPr>
                <w:rFonts w:hint="eastAsia"/>
                <w:highlight w:val="none"/>
                <w:lang w:val="en-US" w:eastAsia="zh-CN"/>
              </w:rPr>
              <w:t>/</w:t>
            </w:r>
          </w:p>
        </w:tc>
        <w:tc>
          <w:tcPr>
            <w:tcW w:w="1420" w:type="dxa"/>
            <w:vAlign w:val="center"/>
          </w:tcPr>
          <w:p w14:paraId="23E31F89">
            <w:pPr>
              <w:pStyle w:val="22"/>
              <w:bidi w:val="0"/>
              <w:jc w:val="center"/>
              <w:rPr>
                <w:rFonts w:hint="default"/>
                <w:highlight w:val="none"/>
                <w:lang w:val="en-US" w:eastAsia="zh-CN"/>
              </w:rPr>
            </w:pPr>
            <w:r>
              <w:rPr>
                <w:rFonts w:hint="eastAsia"/>
                <w:highlight w:val="none"/>
                <w:lang w:val="en-US" w:eastAsia="zh-CN"/>
              </w:rPr>
              <w:t>/</w:t>
            </w:r>
          </w:p>
        </w:tc>
        <w:tc>
          <w:tcPr>
            <w:tcW w:w="1421" w:type="dxa"/>
            <w:vAlign w:val="center"/>
          </w:tcPr>
          <w:p w14:paraId="166D1C88">
            <w:pPr>
              <w:pStyle w:val="22"/>
              <w:bidi w:val="0"/>
              <w:jc w:val="center"/>
              <w:rPr>
                <w:rFonts w:hint="default"/>
                <w:highlight w:val="none"/>
                <w:lang w:val="en-US" w:eastAsia="zh-CN"/>
              </w:rPr>
            </w:pPr>
            <w:r>
              <w:rPr>
                <w:rFonts w:hint="eastAsia"/>
                <w:highlight w:val="none"/>
                <w:lang w:val="en-US" w:eastAsia="zh-CN"/>
              </w:rPr>
              <w:t>/</w:t>
            </w:r>
          </w:p>
        </w:tc>
        <w:tc>
          <w:tcPr>
            <w:tcW w:w="1421" w:type="dxa"/>
            <w:vAlign w:val="center"/>
          </w:tcPr>
          <w:p w14:paraId="0ADE3370">
            <w:pPr>
              <w:pStyle w:val="22"/>
              <w:bidi w:val="0"/>
              <w:jc w:val="center"/>
              <w:rPr>
                <w:rFonts w:hint="default"/>
                <w:highlight w:val="none"/>
                <w:lang w:val="en-US" w:eastAsia="zh-CN"/>
              </w:rPr>
            </w:pPr>
            <w:r>
              <w:rPr>
                <w:rFonts w:hint="eastAsia"/>
                <w:highlight w:val="none"/>
                <w:lang w:val="en-US" w:eastAsia="zh-CN"/>
              </w:rPr>
              <w:t>/</w:t>
            </w:r>
          </w:p>
        </w:tc>
      </w:tr>
      <w:tr w14:paraId="6C064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14:paraId="750795AF">
            <w:pPr>
              <w:pStyle w:val="22"/>
              <w:bidi w:val="0"/>
              <w:jc w:val="center"/>
              <w:rPr>
                <w:rFonts w:hint="default"/>
                <w:highlight w:val="none"/>
                <w:lang w:val="en-US" w:eastAsia="zh-CN"/>
              </w:rPr>
            </w:pPr>
          </w:p>
        </w:tc>
        <w:tc>
          <w:tcPr>
            <w:tcW w:w="1708" w:type="dxa"/>
            <w:vAlign w:val="center"/>
          </w:tcPr>
          <w:p w14:paraId="0502769A">
            <w:pPr>
              <w:pStyle w:val="22"/>
              <w:bidi w:val="0"/>
              <w:jc w:val="center"/>
              <w:rPr>
                <w:rFonts w:hint="default"/>
                <w:highlight w:val="none"/>
                <w:lang w:val="en-US" w:eastAsia="zh-CN"/>
              </w:rPr>
            </w:pPr>
            <w:r>
              <w:rPr>
                <w:rFonts w:hint="default"/>
                <w:highlight w:val="none"/>
                <w:lang w:val="en-US" w:eastAsia="zh-CN"/>
              </w:rPr>
              <w:t>畜禽养殖污染</w:t>
            </w:r>
          </w:p>
        </w:tc>
        <w:tc>
          <w:tcPr>
            <w:tcW w:w="1420" w:type="dxa"/>
            <w:vAlign w:val="center"/>
          </w:tcPr>
          <w:p w14:paraId="56EC216C">
            <w:pPr>
              <w:pStyle w:val="22"/>
              <w:bidi w:val="0"/>
              <w:ind w:firstLine="0" w:firstLineChars="0"/>
              <w:rPr>
                <w:rFonts w:hint="default"/>
                <w:highlight w:val="none"/>
                <w:lang w:val="en-US" w:eastAsia="zh-CN"/>
              </w:rPr>
            </w:pPr>
            <w:r>
              <w:rPr>
                <w:rFonts w:hint="eastAsia"/>
                <w:highlight w:val="none"/>
                <w:lang w:val="en-US" w:eastAsia="zh-CN"/>
              </w:rPr>
              <w:t>0.26828</w:t>
            </w:r>
          </w:p>
        </w:tc>
        <w:tc>
          <w:tcPr>
            <w:tcW w:w="1420" w:type="dxa"/>
            <w:vAlign w:val="center"/>
          </w:tcPr>
          <w:p w14:paraId="789234E1">
            <w:pPr>
              <w:pStyle w:val="22"/>
              <w:bidi w:val="0"/>
              <w:ind w:firstLine="0" w:firstLineChars="0"/>
              <w:rPr>
                <w:rFonts w:hint="default"/>
                <w:highlight w:val="none"/>
                <w:lang w:val="en-US" w:eastAsia="zh-CN"/>
              </w:rPr>
            </w:pPr>
            <w:r>
              <w:rPr>
                <w:rFonts w:hint="eastAsia"/>
                <w:highlight w:val="none"/>
                <w:lang w:val="en-US" w:eastAsia="zh-CN"/>
              </w:rPr>
              <w:t>0.00715</w:t>
            </w:r>
          </w:p>
        </w:tc>
        <w:tc>
          <w:tcPr>
            <w:tcW w:w="1421" w:type="dxa"/>
            <w:vAlign w:val="center"/>
          </w:tcPr>
          <w:p w14:paraId="6AB53B00">
            <w:pPr>
              <w:pStyle w:val="22"/>
              <w:bidi w:val="0"/>
              <w:ind w:firstLine="0" w:firstLineChars="0"/>
              <w:rPr>
                <w:rFonts w:hint="default"/>
                <w:highlight w:val="none"/>
                <w:lang w:val="en-US" w:eastAsia="zh-CN"/>
              </w:rPr>
            </w:pPr>
            <w:r>
              <w:rPr>
                <w:rFonts w:hint="eastAsia"/>
                <w:highlight w:val="none"/>
                <w:lang w:val="en-US" w:eastAsia="zh-CN"/>
              </w:rPr>
              <w:t>0.00014</w:t>
            </w:r>
          </w:p>
        </w:tc>
        <w:tc>
          <w:tcPr>
            <w:tcW w:w="1421" w:type="dxa"/>
            <w:vAlign w:val="center"/>
          </w:tcPr>
          <w:p w14:paraId="7C4198DB">
            <w:pPr>
              <w:pStyle w:val="22"/>
              <w:bidi w:val="0"/>
              <w:ind w:firstLine="0" w:firstLineChars="0"/>
              <w:rPr>
                <w:rFonts w:hint="default"/>
                <w:highlight w:val="none"/>
                <w:lang w:val="en-US" w:eastAsia="zh-CN"/>
              </w:rPr>
            </w:pPr>
            <w:r>
              <w:rPr>
                <w:rFonts w:hint="eastAsia"/>
                <w:highlight w:val="none"/>
                <w:lang w:val="en-US" w:eastAsia="zh-CN"/>
              </w:rPr>
              <w:t>0.00001</w:t>
            </w:r>
          </w:p>
        </w:tc>
      </w:tr>
      <w:tr w14:paraId="6AE1E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14:paraId="04E0816B">
            <w:pPr>
              <w:pStyle w:val="22"/>
              <w:bidi w:val="0"/>
              <w:jc w:val="center"/>
              <w:rPr>
                <w:rFonts w:hint="default"/>
                <w:highlight w:val="none"/>
                <w:lang w:val="en-US" w:eastAsia="zh-CN"/>
              </w:rPr>
            </w:pPr>
          </w:p>
        </w:tc>
        <w:tc>
          <w:tcPr>
            <w:tcW w:w="1708" w:type="dxa"/>
            <w:vAlign w:val="center"/>
          </w:tcPr>
          <w:p w14:paraId="6261A419">
            <w:pPr>
              <w:pStyle w:val="22"/>
              <w:bidi w:val="0"/>
              <w:jc w:val="center"/>
              <w:rPr>
                <w:rFonts w:hint="default"/>
                <w:highlight w:val="none"/>
                <w:lang w:val="en-US" w:eastAsia="zh-CN"/>
              </w:rPr>
            </w:pPr>
            <w:r>
              <w:rPr>
                <w:rFonts w:hint="default"/>
                <w:highlight w:val="none"/>
                <w:lang w:val="en-US" w:eastAsia="zh-CN"/>
              </w:rPr>
              <w:t>农业面源污染</w:t>
            </w:r>
          </w:p>
        </w:tc>
        <w:tc>
          <w:tcPr>
            <w:tcW w:w="1420" w:type="dxa"/>
            <w:vAlign w:val="center"/>
          </w:tcPr>
          <w:p w14:paraId="7EF4D860">
            <w:pPr>
              <w:pStyle w:val="25"/>
              <w:bidi w:val="0"/>
              <w:ind w:firstLine="0" w:firstLineChars="0"/>
              <w:rPr>
                <w:rFonts w:hint="default"/>
                <w:highlight w:val="none"/>
                <w:lang w:val="en-US" w:eastAsia="zh-CN"/>
              </w:rPr>
            </w:pPr>
            <w:r>
              <w:rPr>
                <w:rFonts w:hint="eastAsia" w:ascii="Times New Roman" w:hAnsi="Times New Roman" w:cs="Times New Roman" w:eastAsiaTheme="minorEastAsia"/>
                <w:iCs/>
                <w:color w:val="auto"/>
                <w:kern w:val="2"/>
                <w:sz w:val="21"/>
                <w:szCs w:val="21"/>
                <w:highlight w:val="none"/>
                <w:lang w:val="en-US" w:eastAsia="zh-CN" w:bidi="ar-SA"/>
              </w:rPr>
              <w:t>5.652</w:t>
            </w:r>
          </w:p>
        </w:tc>
        <w:tc>
          <w:tcPr>
            <w:tcW w:w="1420" w:type="dxa"/>
            <w:vAlign w:val="center"/>
          </w:tcPr>
          <w:p w14:paraId="16FB623D">
            <w:pPr>
              <w:pStyle w:val="25"/>
              <w:bidi w:val="0"/>
              <w:ind w:firstLine="0" w:firstLineChars="0"/>
              <w:rPr>
                <w:rFonts w:hint="default"/>
                <w:highlight w:val="none"/>
                <w:lang w:val="en-US" w:eastAsia="zh-CN"/>
              </w:rPr>
            </w:pPr>
            <w:r>
              <w:rPr>
                <w:rFonts w:hint="eastAsia" w:ascii="Times New Roman" w:hAnsi="Times New Roman" w:cs="Times New Roman" w:eastAsiaTheme="minorEastAsia"/>
                <w:iCs/>
                <w:color w:val="auto"/>
                <w:kern w:val="2"/>
                <w:sz w:val="21"/>
                <w:szCs w:val="21"/>
                <w:highlight w:val="none"/>
                <w:lang w:val="en-US" w:eastAsia="zh-CN" w:bidi="ar-SA"/>
              </w:rPr>
              <w:t>/</w:t>
            </w:r>
          </w:p>
        </w:tc>
        <w:tc>
          <w:tcPr>
            <w:tcW w:w="1421" w:type="dxa"/>
            <w:vAlign w:val="center"/>
          </w:tcPr>
          <w:p w14:paraId="31B85CBF">
            <w:pPr>
              <w:pStyle w:val="25"/>
              <w:bidi w:val="0"/>
              <w:ind w:firstLine="0" w:firstLineChars="0"/>
              <w:rPr>
                <w:rFonts w:hint="default"/>
                <w:highlight w:val="none"/>
                <w:lang w:val="en-US" w:eastAsia="zh-CN"/>
              </w:rPr>
            </w:pPr>
            <w:r>
              <w:rPr>
                <w:rFonts w:hint="eastAsia" w:ascii="Times New Roman" w:hAnsi="Times New Roman" w:cs="Times New Roman" w:eastAsiaTheme="minorEastAsia"/>
                <w:iCs/>
                <w:color w:val="auto"/>
                <w:kern w:val="2"/>
                <w:sz w:val="21"/>
                <w:szCs w:val="21"/>
                <w:highlight w:val="none"/>
                <w:lang w:val="en-US" w:eastAsia="zh-CN" w:bidi="ar-SA"/>
              </w:rPr>
              <w:t>1.131</w:t>
            </w:r>
          </w:p>
        </w:tc>
        <w:tc>
          <w:tcPr>
            <w:tcW w:w="1421" w:type="dxa"/>
            <w:vAlign w:val="center"/>
          </w:tcPr>
          <w:p w14:paraId="21C13226">
            <w:pPr>
              <w:pStyle w:val="25"/>
              <w:bidi w:val="0"/>
              <w:ind w:firstLine="0" w:firstLineChars="0"/>
              <w:rPr>
                <w:rFonts w:hint="default"/>
                <w:highlight w:val="none"/>
                <w:lang w:val="en-US" w:eastAsia="zh-CN"/>
              </w:rPr>
            </w:pPr>
            <w:r>
              <w:rPr>
                <w:rFonts w:hint="eastAsia" w:ascii="Times New Roman" w:hAnsi="Times New Roman" w:cs="Times New Roman" w:eastAsiaTheme="minorEastAsia"/>
                <w:iCs/>
                <w:color w:val="auto"/>
                <w:kern w:val="2"/>
                <w:sz w:val="21"/>
                <w:szCs w:val="21"/>
                <w:highlight w:val="none"/>
                <w:lang w:val="en-US" w:eastAsia="zh-CN" w:bidi="ar-SA"/>
              </w:rPr>
              <w:t>0.9045</w:t>
            </w:r>
          </w:p>
        </w:tc>
      </w:tr>
      <w:tr w14:paraId="73555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14:paraId="177D39E2">
            <w:pPr>
              <w:pStyle w:val="22"/>
              <w:bidi w:val="0"/>
              <w:jc w:val="center"/>
              <w:rPr>
                <w:rFonts w:hint="default"/>
                <w:highlight w:val="none"/>
                <w:lang w:val="en-US" w:eastAsia="zh-CN"/>
              </w:rPr>
            </w:pPr>
          </w:p>
        </w:tc>
        <w:tc>
          <w:tcPr>
            <w:tcW w:w="1708" w:type="dxa"/>
            <w:vAlign w:val="center"/>
          </w:tcPr>
          <w:p w14:paraId="1A86E9AD">
            <w:pPr>
              <w:pStyle w:val="22"/>
              <w:bidi w:val="0"/>
              <w:jc w:val="center"/>
              <w:rPr>
                <w:rFonts w:hint="default"/>
                <w:highlight w:val="none"/>
                <w:lang w:val="en-US" w:eastAsia="zh-CN"/>
              </w:rPr>
            </w:pPr>
            <w:r>
              <w:rPr>
                <w:rFonts w:hint="eastAsia"/>
                <w:highlight w:val="none"/>
                <w:lang w:val="en-US" w:eastAsia="zh-CN"/>
              </w:rPr>
              <w:t>合计</w:t>
            </w:r>
          </w:p>
        </w:tc>
        <w:tc>
          <w:tcPr>
            <w:tcW w:w="1420" w:type="dxa"/>
            <w:vAlign w:val="center"/>
          </w:tcPr>
          <w:p w14:paraId="6D4C4526">
            <w:pPr>
              <w:pStyle w:val="22"/>
              <w:bidi w:val="0"/>
              <w:rPr>
                <w:rFonts w:hint="default"/>
                <w:highlight w:val="none"/>
                <w:lang w:val="en-US" w:eastAsia="zh-CN"/>
              </w:rPr>
            </w:pPr>
            <w:r>
              <w:rPr>
                <w:rFonts w:hint="default"/>
                <w:highlight w:val="none"/>
                <w:lang w:val="en-US" w:eastAsia="zh-CN"/>
              </w:rPr>
              <w:t>5.920689</w:t>
            </w:r>
          </w:p>
        </w:tc>
        <w:tc>
          <w:tcPr>
            <w:tcW w:w="1420" w:type="dxa"/>
            <w:vAlign w:val="center"/>
          </w:tcPr>
          <w:p w14:paraId="09FD268C">
            <w:pPr>
              <w:pStyle w:val="22"/>
              <w:bidi w:val="0"/>
              <w:rPr>
                <w:rFonts w:hint="default"/>
                <w:highlight w:val="none"/>
                <w:lang w:val="en-US" w:eastAsia="zh-CN"/>
              </w:rPr>
            </w:pPr>
            <w:r>
              <w:rPr>
                <w:rFonts w:hint="default"/>
                <w:highlight w:val="none"/>
                <w:lang w:val="en-US" w:eastAsia="zh-CN"/>
              </w:rPr>
              <w:t>0.007176</w:t>
            </w:r>
          </w:p>
        </w:tc>
        <w:tc>
          <w:tcPr>
            <w:tcW w:w="1421" w:type="dxa"/>
            <w:vAlign w:val="center"/>
          </w:tcPr>
          <w:p w14:paraId="7B7D5D6B">
            <w:pPr>
              <w:pStyle w:val="22"/>
              <w:bidi w:val="0"/>
              <w:rPr>
                <w:rFonts w:hint="default"/>
                <w:highlight w:val="none"/>
                <w:lang w:val="en-US" w:eastAsia="zh-CN"/>
              </w:rPr>
            </w:pPr>
            <w:r>
              <w:rPr>
                <w:rFonts w:hint="default"/>
                <w:highlight w:val="none"/>
                <w:lang w:val="en-US" w:eastAsia="zh-CN"/>
              </w:rPr>
              <w:t>1.131199</w:t>
            </w:r>
          </w:p>
        </w:tc>
        <w:tc>
          <w:tcPr>
            <w:tcW w:w="1421" w:type="dxa"/>
            <w:vAlign w:val="center"/>
          </w:tcPr>
          <w:p w14:paraId="5EE87487">
            <w:pPr>
              <w:pStyle w:val="22"/>
              <w:bidi w:val="0"/>
              <w:rPr>
                <w:rFonts w:hint="default"/>
                <w:highlight w:val="none"/>
                <w:lang w:val="en-US" w:eastAsia="zh-CN"/>
              </w:rPr>
            </w:pPr>
            <w:r>
              <w:rPr>
                <w:rFonts w:hint="default"/>
                <w:highlight w:val="none"/>
                <w:lang w:val="en-US" w:eastAsia="zh-CN"/>
              </w:rPr>
              <w:t>0.904511</w:t>
            </w:r>
          </w:p>
        </w:tc>
      </w:tr>
    </w:tbl>
    <w:p w14:paraId="0071DE18">
      <w:pPr>
        <w:bidi w:val="0"/>
        <w:rPr>
          <w:rFonts w:hint="default"/>
          <w:highlight w:val="none"/>
          <w:lang w:val="en-US" w:eastAsia="zh-CN"/>
        </w:rPr>
      </w:pPr>
    </w:p>
    <w:p w14:paraId="290B9689">
      <w:pPr>
        <w:pStyle w:val="6"/>
        <w:bidi w:val="0"/>
        <w:rPr>
          <w:rFonts w:hint="default"/>
          <w:highlight w:val="none"/>
          <w:lang w:val="en-US" w:eastAsia="zh-CN"/>
        </w:rPr>
      </w:pPr>
      <w:r>
        <w:rPr>
          <w:rFonts w:hint="default"/>
          <w:highlight w:val="none"/>
          <w:lang w:val="en-US" w:eastAsia="zh-CN"/>
        </w:rPr>
        <w:t>水质情况</w:t>
      </w:r>
    </w:p>
    <w:p w14:paraId="5D7C9867">
      <w:pPr>
        <w:numPr>
          <w:ilvl w:val="0"/>
          <w:numId w:val="19"/>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水源地监测</w:t>
      </w:r>
    </w:p>
    <w:p w14:paraId="6A12DB0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根据近三年乡城县集中式饮用水水质监测，用于评价冷龙沟流域的地表水环境质量，饮用水水质监测断面位于冷龙村饮用水取水口处。</w:t>
      </w:r>
    </w:p>
    <w:p w14:paraId="05E33473">
      <w:pPr>
        <w:bidi w:val="0"/>
        <w:ind w:left="0" w:leftChars="0" w:firstLine="0" w:firstLineChars="0"/>
        <w:rPr>
          <w:rFonts w:hint="default" w:ascii="Times New Roman" w:hAnsi="Times New Roman" w:cs="Times New Roman"/>
          <w:highlight w:val="none"/>
          <w:lang w:val="en-US" w:eastAsia="zh-CN"/>
        </w:rPr>
      </w:pPr>
      <w:r>
        <w:rPr>
          <w:sz w:val="24"/>
          <w:highlight w:val="none"/>
        </w:rPr>
        <mc:AlternateContent>
          <mc:Choice Requires="wps">
            <w:drawing>
              <wp:anchor distT="0" distB="0" distL="114300" distR="114300" simplePos="0" relativeHeight="251664384" behindDoc="0" locked="0" layoutInCell="1" allowOverlap="1">
                <wp:simplePos x="0" y="0"/>
                <wp:positionH relativeFrom="column">
                  <wp:posOffset>3695065</wp:posOffset>
                </wp:positionH>
                <wp:positionV relativeFrom="paragraph">
                  <wp:posOffset>6353175</wp:posOffset>
                </wp:positionV>
                <wp:extent cx="847725" cy="304165"/>
                <wp:effectExtent l="0" t="0" r="0" b="0"/>
                <wp:wrapNone/>
                <wp:docPr id="29" name="文本框 29"/>
                <wp:cNvGraphicFramePr/>
                <a:graphic xmlns:a="http://schemas.openxmlformats.org/drawingml/2006/main">
                  <a:graphicData uri="http://schemas.microsoft.com/office/word/2010/wordprocessingShape">
                    <wps:wsp>
                      <wps:cNvSpPr txBox="1"/>
                      <wps:spPr>
                        <a:xfrm>
                          <a:off x="4963795" y="7362190"/>
                          <a:ext cx="847725"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204335">
                            <w:pPr>
                              <w:ind w:left="0" w:leftChars="0" w:firstLine="0" w:firstLineChars="0"/>
                              <w:rPr>
                                <w:rFonts w:hint="default" w:eastAsiaTheme="minorEastAsia"/>
                                <w:sz w:val="16"/>
                                <w:szCs w:val="16"/>
                                <w:lang w:val="en-US" w:eastAsia="zh-CN"/>
                              </w:rPr>
                            </w:pPr>
                            <w:r>
                              <w:rPr>
                                <w:rFonts w:hint="eastAsia"/>
                                <w:sz w:val="13"/>
                                <w:szCs w:val="13"/>
                                <w:lang w:val="en-US" w:eastAsia="zh-CN"/>
                              </w:rPr>
                              <w:t>水源地监测断面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95pt;margin-top:500.25pt;height:23.95pt;width:66.75pt;z-index:251664384;mso-width-relative:page;mso-height-relative:page;" filled="f" stroked="f" coordsize="21600,21600" o:gfxdata="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m0RJtwAAAANAQAADwAAAAAA&#10;AAABACAAAAAiAAAAZHJzL2Rvd25yZXYueG1sUEsBAhQAFAAAAAgAh07iQH0CFplIAgAAcwQAAA4A&#10;AAAAAAAAAQAgAAAAKwEAAGRycy9lMm9Eb2MueG1sUEsFBgAAAAAGAAYAWQEAAOUFAAAAAA==&#10;">
                <v:fill on="f" focussize="0,0"/>
                <v:stroke on="f" weight="0.5pt"/>
                <v:imagedata o:title=""/>
                <o:lock v:ext="edit" aspectratio="f"/>
                <v:textbox>
                  <w:txbxContent>
                    <w:p w14:paraId="00204335">
                      <w:pPr>
                        <w:ind w:left="0" w:leftChars="0" w:firstLine="0" w:firstLineChars="0"/>
                        <w:rPr>
                          <w:rFonts w:hint="default" w:eastAsiaTheme="minorEastAsia"/>
                          <w:sz w:val="16"/>
                          <w:szCs w:val="16"/>
                          <w:lang w:val="en-US" w:eastAsia="zh-CN"/>
                        </w:rPr>
                      </w:pPr>
                      <w:r>
                        <w:rPr>
                          <w:rFonts w:hint="eastAsia"/>
                          <w:sz w:val="13"/>
                          <w:szCs w:val="13"/>
                          <w:lang w:val="en-US" w:eastAsia="zh-CN"/>
                        </w:rPr>
                        <w:t>水源地监测断面</w:t>
                      </w:r>
                    </w:p>
                  </w:txbxContent>
                </v:textbox>
              </v:shape>
            </w:pict>
          </mc:Fallback>
        </mc:AlternateContent>
      </w:r>
      <w:r>
        <w:rPr>
          <w:sz w:val="24"/>
          <w:highlight w:val="none"/>
        </w:rPr>
        <mc:AlternateContent>
          <mc:Choice Requires="wps">
            <w:drawing>
              <wp:anchor distT="0" distB="0" distL="114300" distR="114300" simplePos="0" relativeHeight="251663360" behindDoc="0" locked="0" layoutInCell="1" allowOverlap="1">
                <wp:simplePos x="0" y="0"/>
                <wp:positionH relativeFrom="column">
                  <wp:posOffset>3561080</wp:posOffset>
                </wp:positionH>
                <wp:positionV relativeFrom="paragraph">
                  <wp:posOffset>6472555</wp:posOffset>
                </wp:positionV>
                <wp:extent cx="118745" cy="118745"/>
                <wp:effectExtent l="19050" t="21590" r="33655" b="31115"/>
                <wp:wrapNone/>
                <wp:docPr id="28" name="五角星 28"/>
                <wp:cNvGraphicFramePr/>
                <a:graphic xmlns:a="http://schemas.openxmlformats.org/drawingml/2006/main">
                  <a:graphicData uri="http://schemas.microsoft.com/office/word/2010/wordprocessingShape">
                    <wps:wsp>
                      <wps:cNvSpPr/>
                      <wps:spPr>
                        <a:xfrm>
                          <a:off x="0" y="0"/>
                          <a:ext cx="118745" cy="11874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0.4pt;margin-top:509.65pt;height:9.35pt;width:9.35pt;z-index:251663360;v-text-anchor:middle;mso-width-relative:page;mso-height-relative:page;" fillcolor="#FF0000" filled="t" stroked="t" coordsize="118745,118745" o:gfxdata="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W1hOB9kAAAANAQAADwAAAAAAAAABACAAAAAiAAAAZHJzL2Rvd25y&#10;ZXYueG1sUEsBAhQAFAAAAAgAh07iQCThYtBvAgAA+QQAAA4AAAAAAAAAAQAgAAAAKAEAAGRycy9l&#10;Mm9Eb2MueG1sUEsFBgAAAAAGAAYAWQEAAAkGAAAAAA==&#10;" path="m0,45356l45356,45356,59372,0,73388,45356,118744,45356,82050,73388,96066,118744,59372,90712,22678,118744,36694,73388xe">
                <v:path o:connectlocs="59372,0;0,45356;22678,118744;96066,118744;118744,45356" o:connectangles="247,164,82,82,0"/>
                <v:fill on="t" focussize="0,0"/>
                <v:stroke weight="1pt" color="#FF0000 [2404]" miterlimit="8" joinstyle="miter"/>
                <v:imagedata o:title=""/>
                <o:lock v:ext="edit" aspectratio="f"/>
              </v:shape>
            </w:pict>
          </mc:Fallback>
        </mc:AlternateContent>
      </w:r>
      <w:r>
        <w:rPr>
          <w:sz w:val="24"/>
          <w:highlight w:val="none"/>
        </w:rPr>
        <mc:AlternateContent>
          <mc:Choice Requires="wps">
            <w:drawing>
              <wp:anchor distT="0" distB="0" distL="114300" distR="114300" simplePos="0" relativeHeight="251662336" behindDoc="0" locked="0" layoutInCell="1" allowOverlap="1">
                <wp:simplePos x="0" y="0"/>
                <wp:positionH relativeFrom="column">
                  <wp:posOffset>1574800</wp:posOffset>
                </wp:positionH>
                <wp:positionV relativeFrom="paragraph">
                  <wp:posOffset>2605405</wp:posOffset>
                </wp:positionV>
                <wp:extent cx="118745" cy="118745"/>
                <wp:effectExtent l="19050" t="21590" r="33655" b="31115"/>
                <wp:wrapNone/>
                <wp:docPr id="27" name="五角星 27"/>
                <wp:cNvGraphicFramePr/>
                <a:graphic xmlns:a="http://schemas.openxmlformats.org/drawingml/2006/main">
                  <a:graphicData uri="http://schemas.microsoft.com/office/word/2010/wordprocessingShape">
                    <wps:wsp>
                      <wps:cNvSpPr/>
                      <wps:spPr>
                        <a:xfrm>
                          <a:off x="1757045" y="3987800"/>
                          <a:ext cx="118745" cy="11874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24pt;margin-top:205.15pt;height:9.35pt;width:9.35pt;z-index:251662336;v-text-anchor:middle;mso-width-relative:page;mso-height-relative:page;" fillcolor="#FF0000" filled="t" stroked="t" coordsize="118745,118745" o:gfxdata="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b5O8t2AAAAAsBAAAPAAAAAAAAAAEAIAAAACIA&#10;AABkcnMvZG93bnJldi54bWxQSwECFAAUAAAACACHTuJABWfjj3sCAAAFBQAADgAAAAAAAAABACAA&#10;AAAnAQAAZHJzL2Uyb0RvYy54bWxQSwUGAAAAAAYABgBZAQAAFAYAAAAA&#10;" path="m0,45356l45356,45356,59372,0,73388,45356,118744,45356,82050,73388,96066,118744,59372,90712,22678,118744,36694,73388xe">
                <v:path o:connectlocs="59372,0;0,45356;22678,118744;96066,118744;118744,45356"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highlight w:val="none"/>
          <w:lang w:val="en-US" w:eastAsia="zh-CN"/>
        </w:rPr>
        <w:drawing>
          <wp:inline distT="0" distB="0" distL="114300" distR="114300">
            <wp:extent cx="4784725" cy="6767830"/>
            <wp:effectExtent l="0" t="0" r="15875" b="13970"/>
            <wp:docPr id="25" name="图片 25" descr="流域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流域范围图"/>
                    <pic:cNvPicPr>
                      <a:picLocks noChangeAspect="1"/>
                    </pic:cNvPicPr>
                  </pic:nvPicPr>
                  <pic:blipFill>
                    <a:blip r:embed="rId20"/>
                    <a:stretch>
                      <a:fillRect/>
                    </a:stretch>
                  </pic:blipFill>
                  <pic:spPr>
                    <a:xfrm>
                      <a:off x="0" y="0"/>
                      <a:ext cx="4784725" cy="6767830"/>
                    </a:xfrm>
                    <a:prstGeom prst="rect">
                      <a:avLst/>
                    </a:prstGeom>
                  </pic:spPr>
                </pic:pic>
              </a:graphicData>
            </a:graphic>
          </wp:inline>
        </w:drawing>
      </w:r>
    </w:p>
    <w:p w14:paraId="356D8BD2">
      <w:pPr>
        <w:pStyle w:val="11"/>
        <w:bidi w:val="0"/>
        <w:ind w:left="0" w:leftChars="0" w:firstLine="0" w:firstLineChars="0"/>
        <w:rPr>
          <w:rFonts w:hint="default" w:ascii="Times New Roman" w:hAnsi="Times New Roman" w:eastAsia="黑体" w:cs="Times New Roman"/>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9</w:t>
      </w:r>
      <w:r>
        <w:rPr>
          <w:highlight w:val="none"/>
        </w:rPr>
        <w:fldChar w:fldCharType="end"/>
      </w:r>
      <w:r>
        <w:rPr>
          <w:rFonts w:hint="eastAsia"/>
          <w:highlight w:val="none"/>
          <w:lang w:val="en-US" w:eastAsia="zh-CN"/>
        </w:rPr>
        <w:t xml:space="preserve"> 水源地水质检测</w:t>
      </w:r>
    </w:p>
    <w:p w14:paraId="4FD3C7D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监测因子：水温、pH、溶解氧、高锰酸盐指数、五日生化需氧量、氨氮、总磷、总氮、铜等61项指标。</w:t>
      </w:r>
    </w:p>
    <w:p w14:paraId="13F601E9">
      <w:pPr>
        <w:bidi w:val="0"/>
        <w:ind w:left="0" w:leftChars="0" w:firstLine="0" w:firstLineChars="0"/>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2FE48A6C">
      <w:pPr>
        <w:pStyle w:val="11"/>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2021-2024年监测结果</w:t>
      </w:r>
    </w:p>
    <w:tbl>
      <w:tblPr>
        <w:tblStyle w:val="19"/>
        <w:tblW w:w="492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67"/>
        <w:gridCol w:w="887"/>
        <w:gridCol w:w="810"/>
        <w:gridCol w:w="810"/>
        <w:gridCol w:w="810"/>
        <w:gridCol w:w="811"/>
        <w:gridCol w:w="811"/>
        <w:gridCol w:w="811"/>
        <w:gridCol w:w="811"/>
        <w:gridCol w:w="811"/>
        <w:gridCol w:w="811"/>
        <w:gridCol w:w="811"/>
        <w:gridCol w:w="811"/>
        <w:gridCol w:w="811"/>
        <w:gridCol w:w="811"/>
        <w:gridCol w:w="811"/>
        <w:gridCol w:w="811"/>
        <w:gridCol w:w="811"/>
        <w:gridCol w:w="811"/>
        <w:gridCol w:w="811"/>
        <w:gridCol w:w="811"/>
        <w:gridCol w:w="811"/>
        <w:gridCol w:w="811"/>
        <w:gridCol w:w="811"/>
        <w:gridCol w:w="811"/>
        <w:gridCol w:w="811"/>
        <w:gridCol w:w="811"/>
      </w:tblGrid>
      <w:tr w14:paraId="4B0B7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2" w:hRule="atLeast"/>
          <w:tblHeader/>
          <w:jc w:val="center"/>
        </w:trPr>
        <w:tc>
          <w:tcPr>
            <w:tcW w:w="1067" w:type="dxa"/>
            <w:vMerge w:val="restart"/>
            <w:tcBorders>
              <w:top w:val="single" w:color="000000" w:sz="4" w:space="0"/>
              <w:left w:val="single" w:color="000000" w:sz="4" w:space="0"/>
              <w:right w:val="single" w:color="000000" w:sz="4" w:space="0"/>
            </w:tcBorders>
            <w:shd w:val="clear" w:color="auto" w:fill="auto"/>
            <w:vAlign w:val="center"/>
          </w:tcPr>
          <w:p w14:paraId="3B7C346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监测项目</w:t>
            </w:r>
          </w:p>
        </w:tc>
        <w:tc>
          <w:tcPr>
            <w:tcW w:w="887" w:type="dxa"/>
            <w:vMerge w:val="restart"/>
            <w:tcBorders>
              <w:top w:val="single" w:color="000000" w:sz="4" w:space="0"/>
              <w:left w:val="single" w:color="000000" w:sz="4" w:space="0"/>
              <w:right w:val="single" w:color="000000" w:sz="4" w:space="0"/>
            </w:tcBorders>
            <w:shd w:val="clear" w:color="auto" w:fill="auto"/>
            <w:vAlign w:val="center"/>
          </w:tcPr>
          <w:p w14:paraId="2302191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单位</w:t>
            </w:r>
          </w:p>
        </w:tc>
        <w:tc>
          <w:tcPr>
            <w:tcW w:w="16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627483">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2021年第1季度</w:t>
            </w:r>
          </w:p>
        </w:tc>
        <w:tc>
          <w:tcPr>
            <w:tcW w:w="162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B5001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2021年第2季度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57AA6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2021年第3季度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2F8F7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2021年第4季度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509290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2022年第1季度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96F06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2022年第2季度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9FC9A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2022年第3季度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CCBBF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2022年第4季度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16EF5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2023年第1季度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4523A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2023年第2季度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9C2C0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2023年第3季度</w:t>
            </w:r>
          </w:p>
        </w:tc>
        <w:tc>
          <w:tcPr>
            <w:tcW w:w="162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5F6C1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2023年第4季度</w:t>
            </w:r>
          </w:p>
        </w:tc>
        <w:tc>
          <w:tcPr>
            <w:tcW w:w="811" w:type="dxa"/>
            <w:vMerge w:val="restart"/>
            <w:tcBorders>
              <w:top w:val="single" w:color="000000" w:sz="4" w:space="0"/>
              <w:left w:val="single" w:color="000000" w:sz="4" w:space="0"/>
              <w:right w:val="single" w:color="000000" w:sz="4" w:space="0"/>
            </w:tcBorders>
            <w:shd w:val="clear" w:color="auto" w:fill="auto"/>
            <w:vAlign w:val="center"/>
          </w:tcPr>
          <w:p w14:paraId="1DD1F27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标准限值</w:t>
            </w:r>
          </w:p>
        </w:tc>
      </w:tr>
      <w:tr w14:paraId="41E124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2" w:hRule="atLeast"/>
          <w:tblHeader/>
          <w:jc w:val="center"/>
        </w:trPr>
        <w:tc>
          <w:tcPr>
            <w:tcW w:w="1067" w:type="dxa"/>
            <w:vMerge w:val="continue"/>
            <w:tcBorders>
              <w:left w:val="single" w:color="000000" w:sz="4" w:space="0"/>
              <w:bottom w:val="single" w:color="000000" w:sz="4" w:space="0"/>
              <w:right w:val="single" w:color="000000" w:sz="4" w:space="0"/>
            </w:tcBorders>
            <w:shd w:val="clear" w:color="auto" w:fill="auto"/>
            <w:vAlign w:val="center"/>
          </w:tcPr>
          <w:p w14:paraId="2418668C">
            <w:pPr>
              <w:pStyle w:val="22"/>
              <w:bidi w:val="0"/>
              <w:rPr>
                <w:rFonts w:hint="default" w:ascii="Times New Roman" w:hAnsi="Times New Roman" w:cs="Times New Roman"/>
                <w:highlight w:val="none"/>
              </w:rPr>
            </w:pPr>
          </w:p>
        </w:tc>
        <w:tc>
          <w:tcPr>
            <w:tcW w:w="887" w:type="dxa"/>
            <w:vMerge w:val="continue"/>
            <w:tcBorders>
              <w:left w:val="single" w:color="000000" w:sz="4" w:space="0"/>
              <w:bottom w:val="single" w:color="000000" w:sz="4" w:space="0"/>
              <w:right w:val="single" w:color="000000" w:sz="4" w:space="0"/>
            </w:tcBorders>
            <w:shd w:val="clear" w:color="auto" w:fill="auto"/>
            <w:vAlign w:val="center"/>
          </w:tcPr>
          <w:p w14:paraId="3EDE0534">
            <w:pPr>
              <w:pStyle w:val="22"/>
              <w:bidi w:val="0"/>
              <w:rPr>
                <w:rFonts w:hint="default" w:ascii="Times New Roman" w:hAnsi="Times New Roman" w:cs="Times New Roman"/>
                <w:highlight w:val="none"/>
              </w:rPr>
            </w:pP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5997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ACD0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BAEF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32C8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8F44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22FB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94D9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3B02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F5CD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B0D5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A3C0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DCF3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A6F9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029D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74F8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AC4A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CB14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1E0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C08C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DF04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A6F7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673C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CCB7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监测结果</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2EBC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结果评价</w:t>
            </w:r>
          </w:p>
        </w:tc>
        <w:tc>
          <w:tcPr>
            <w:tcW w:w="811" w:type="dxa"/>
            <w:vMerge w:val="continue"/>
            <w:tcBorders>
              <w:left w:val="single" w:color="000000" w:sz="4" w:space="0"/>
              <w:bottom w:val="single" w:color="000000" w:sz="4" w:space="0"/>
              <w:right w:val="single" w:color="000000" w:sz="4" w:space="0"/>
            </w:tcBorders>
            <w:shd w:val="clear" w:color="auto" w:fill="auto"/>
            <w:vAlign w:val="center"/>
          </w:tcPr>
          <w:p w14:paraId="762DC13A">
            <w:pPr>
              <w:pStyle w:val="22"/>
              <w:bidi w:val="0"/>
              <w:rPr>
                <w:rFonts w:hint="default" w:ascii="Times New Roman" w:hAnsi="Times New Roman" w:cs="Times New Roman"/>
                <w:highlight w:val="none"/>
                <w:lang w:val="en-US" w:eastAsia="zh-CN"/>
              </w:rPr>
            </w:pPr>
          </w:p>
        </w:tc>
      </w:tr>
      <w:tr w14:paraId="1DDFA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2BD4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水温</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2032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D8990">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3.2</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3BB3C">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A3A9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8E4F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FD3C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5B99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A621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9808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BC89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F602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F8C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6D0F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D24C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C47C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ADE9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223C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F2B8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FEE0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0D80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10C1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D6BC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2FF6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F2D1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8.2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CA67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6F1C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r>
      <w:tr w14:paraId="5E0A7D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C30B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pH</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6309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无量纲</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5E221">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8.21</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5762F">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7C2D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7.84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FBD9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A4E5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7.84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AC0B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277B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DBF0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6652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2281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0FB1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8.61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F052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0A33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8.49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7456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A210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8.27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DE5C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AB59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8.37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BA5D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C1C4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8.41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2243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E3F2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8.62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BEAD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2775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8.59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4716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C6A5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6~9</w:t>
            </w:r>
          </w:p>
        </w:tc>
      </w:tr>
      <w:tr w14:paraId="3D18B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AB0C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溶解氧</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D71D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4EA5E">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6.79</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23E7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6175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6.59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52CD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C828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977B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DE2E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6F32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85EE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6.47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06CC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AC80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6.63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5A21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EC7D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1238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8590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7.36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A296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7218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7.68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6AB4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0846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7.54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62FE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0AE8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7.73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E96C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5CBB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7.71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BFF8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33ED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r>
      <w:tr w14:paraId="74B2D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3189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高锰酸盐指数</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B60A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CE371">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0.6</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6B59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3B5E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2FEB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5CE6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95FE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DD96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956A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D298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5545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5D98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2AC0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2234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D082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0FED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BC6B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43F7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6CEB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A393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987D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5C0F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5FE1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27C3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3F83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D9EE4">
            <w:pPr>
              <w:pStyle w:val="22"/>
              <w:bidi w:val="0"/>
              <w:rPr>
                <w:rFonts w:hint="default" w:ascii="Times New Roman" w:hAnsi="Times New Roman" w:cs="Times New Roman"/>
                <w:highlight w:val="none"/>
                <w:lang w:val="en-US" w:eastAsia="zh-CN"/>
              </w:rPr>
            </w:pPr>
            <w:r>
              <w:rPr>
                <w:rFonts w:hint="eastAsia" w:cs="Times New Roman"/>
                <w:highlight w:val="none"/>
                <w:lang w:val="en-US" w:eastAsia="zh-CN"/>
              </w:rPr>
              <w:t>4</w:t>
            </w:r>
            <w:r>
              <w:rPr>
                <w:rFonts w:hint="default" w:ascii="Times New Roman" w:hAnsi="Times New Roman" w:cs="Times New Roman"/>
                <w:highlight w:val="none"/>
                <w:lang w:val="en-US" w:eastAsia="zh-CN"/>
              </w:rPr>
              <w:t>.0</w:t>
            </w:r>
          </w:p>
        </w:tc>
      </w:tr>
      <w:tr w14:paraId="083DB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7347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五日生化需氧量</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7B4C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B63BD">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7BBD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Ⅰ类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B32F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DD8E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DFD2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D432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37B2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E21E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7B3C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3953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65BD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7314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A1D8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B134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794A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A4C1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3C18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4E1D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2F89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16C5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0E61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5382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DE7F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6E52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74DA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r>
      <w:tr w14:paraId="3022B0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A74B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氨氮</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89D4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96072">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FA51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7646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5A79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7131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2D09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D07A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32A4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8575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D41F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B207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0CB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71C2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0.118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F065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01F1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01DF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5FA6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4DB7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2AC4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FF6C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D426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A810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421E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B5B3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2C24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r>
      <w:tr w14:paraId="53BF4D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7187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总磷</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1A8C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3821D">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CD6D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E173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84E1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D9D1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1412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E5DB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F64B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44B3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7AF6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28ED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BD49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1DE6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0.02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AFC3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9ABF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BD9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18F5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ACB5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FDAE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E647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F706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3AC7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30FC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8D2C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E423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r>
      <w:tr w14:paraId="0EA08E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C7A4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总氮</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817E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20512">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0.37</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2E90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DD1D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946F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32F2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7EB9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CBCA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9E61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04D4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A840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Ⅲ类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A13A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9FC4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9AA9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0.40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A071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1CD0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1C04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0FE1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Ⅲ类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4C1F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0.91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86FB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Ⅲ类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083F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E65B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2170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15B0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0.35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399C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1846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r>
      <w:tr w14:paraId="12EB8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3959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铜</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73F7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0BFE7">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C0F7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D982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DB0A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579A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5C9F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1A84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5138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D994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4FB1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F855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6B05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B177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F5E2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E0A1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033C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5E5E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9A8F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228A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CDED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CF94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E3F4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DF3C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6166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6165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r>
      <w:tr w14:paraId="28249D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2F78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锌</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B404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805C6">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8368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DA4B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8C72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AB4B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3229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7C4B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8C5D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B06B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A4B9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6D53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4F43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EB51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0.024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540BC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D4D8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A6E2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6380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5B27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DDCD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3B12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BEAE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7DB9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C260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7664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F41F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r>
      <w:tr w14:paraId="5753A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29FF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氟化物</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64E1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C113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0.100</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1F2B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EF19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73B1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02B7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728F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DA2F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0A38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AC55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0.252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95C6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F8BD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0.145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AEDA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A7BF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FFAE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56EF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8169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8BBC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E1C1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0AF7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99B3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899C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A92A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1168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0.068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06E5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8BF5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r>
      <w:tr w14:paraId="1FBA8E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681B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硒</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8DEE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61682">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5498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3835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126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95BB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2A10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A0AF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326E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5F85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5419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C61D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7974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52D9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E76B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D6BD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804F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E078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BC9E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3019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BBE6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5ACE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5638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04E2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4A57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C001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r>
      <w:tr w14:paraId="3F8BE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6ADA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砷</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3722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CBDE8">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E996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98A8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B60F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A274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3252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032F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46C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9DCC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ED75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6DE8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8617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DF76E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21BC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7909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6A2D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0089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1F5E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4C88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7554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8F10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A175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C466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F374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9B8F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14:paraId="6C5FDE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4B35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汞</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91C6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3FA78">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0BF7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07A2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E5D1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5A87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BDCE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C3AE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4B40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E810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B38C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C0F6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AA18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2E1B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36C8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1617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80DE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4221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D6AC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3FBFE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4436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7F0B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3721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1D62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69C3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25F4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0.00005</w:t>
            </w:r>
          </w:p>
        </w:tc>
      </w:tr>
      <w:tr w14:paraId="1C957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8907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镉</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414A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5550E">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36EB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8ADF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7D94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80F1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80B5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2898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78EE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B981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CBF8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8797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7D53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F573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6A19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7573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1512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4F9F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44D8E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C71D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E854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2F32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3501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CA3D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8ACC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F36E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0.005</w:t>
            </w:r>
          </w:p>
        </w:tc>
      </w:tr>
      <w:tr w14:paraId="2CEB7D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13FB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六价铬</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984C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BEB78">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4CF3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A20D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E40A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0A6E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08FE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7508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5F07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E29B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4CFE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6AA2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1B01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2DFF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6737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E12B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55AE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4645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0C05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1E7F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2770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4A2C2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25EB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4D45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26A8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81F7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14:paraId="4833D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0BE9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铅</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45BD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F2A0A">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D239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2543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0947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7D24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2464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E240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2707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4CBD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40D9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CECB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7358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CF54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75F2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046F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4EC2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648C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9CBF4">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3BC4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5F10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D4F7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04F6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6D74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113F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3FA7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r>
      <w:tr w14:paraId="37D015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6C28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氰化物</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52AC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D6547">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416B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FB86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3FA9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AFFB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7F00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629C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9E8C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590A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6CA6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A648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9658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64B2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7EC4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1F4F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4EB4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23B4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F868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178E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F5E8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2EBA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0920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E65B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FDB8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6F4C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14:paraId="46937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2EF9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挥发酚</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8590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4CCD6">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7FD3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9724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48A9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56FC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BE264">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49AB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FEE1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A633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EF9D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5C15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3AB3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794D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2C33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5BF0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87AB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5433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88FA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2549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3ADE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848B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F8A8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CC95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E769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7BC8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r>
      <w:tr w14:paraId="4B063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C2C4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石油类</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E46D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926C3">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6EC23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77C9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68B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A3A4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5C5E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7DA6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7005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4183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0854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7B81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5136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04E0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2D8F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EB4A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0BF2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978A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6AF5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61C3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E5CA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79D3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29EF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8EE4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19B5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7FD9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14:paraId="0A08C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0"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120C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阴离子表面活性剂</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4FE4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B85FF">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1A7D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306E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9A27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84B9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0003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126A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923C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AA1E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2C5C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914C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720A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703C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F1E1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EF0D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96FA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0D8C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73E3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C691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2496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A38B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51BB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D913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D5EF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1B64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w:t>
            </w:r>
          </w:p>
        </w:tc>
      </w:tr>
      <w:tr w14:paraId="5FF48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F104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硫化物</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0E055">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B5FB7">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811A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B06B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B3C41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F72E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EDD3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1F6DD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0B3D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3BC1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5E79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5D8D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1137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B14E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DC69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039D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7700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E8E9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FE077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0604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4BB9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09F9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72AA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5D4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33B7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D845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14:paraId="560689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C98C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粪大肠菌群</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57658">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个/L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8CA0F">
            <w:pPr>
              <w:pStyle w:val="22"/>
              <w:bidi w:val="0"/>
              <w:ind w:firstLine="0" w:firstLineChars="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150</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D90C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Ⅱ类</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4579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241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Ⅱ类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24B4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6B94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A056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729C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FEDF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B23F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1E67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F756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F2B6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6E81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F9CE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83F3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6F4E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D723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040B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1EBE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BB14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4DF3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Ⅰ类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86C1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167E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I类</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014D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2000</w:t>
            </w:r>
          </w:p>
        </w:tc>
      </w:tr>
      <w:tr w14:paraId="7822A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730F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硫酸盐</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3CBA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0C40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12.6</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73DC8">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145D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10.2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928A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2F34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5.12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A796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5C40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8.88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2A77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9032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2600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14A8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B60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BD63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395A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2D0A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3.56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0065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7504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45F4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6372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CBA3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3916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531B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80EB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7.8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BC6E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84A0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w:t>
            </w:r>
          </w:p>
        </w:tc>
      </w:tr>
      <w:tr w14:paraId="1979AD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B158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氯化物</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200C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4B52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FDF4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BDA8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0.84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B595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094B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3DB6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7120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FF98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79D6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0.931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1CCE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CE94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0.265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86D0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997D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0736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ACBE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6240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2F39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0.199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C8F6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1E00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0.656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6CD9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D954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DB2A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0A28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0.555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7F36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39DB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250</w:t>
            </w:r>
          </w:p>
        </w:tc>
      </w:tr>
      <w:tr w14:paraId="667F9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BF82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硝酸盐</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2735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78641">
            <w:pPr>
              <w:pStyle w:val="22"/>
              <w:bidi w:val="0"/>
              <w:ind w:firstLine="0" w:firstLineChars="0"/>
              <w:rPr>
                <w:rFonts w:hint="default" w:ascii="Times New Roman" w:hAnsi="Times New Roman" w:cs="Times New Roman"/>
                <w:highlight w:val="none"/>
                <w:lang w:val="en-US"/>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FEA0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87B07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1B81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784D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E922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904B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A7FE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B7DE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14D1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5ACD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D40D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2EA1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290A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2FA5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BF79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06B4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6204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8777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0.243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52F2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E510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0.231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7943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4A4E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0.093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D98D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F6A7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r>
      <w:tr w14:paraId="6C41C6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4133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铁</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18DE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CC207">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7D6F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5D16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E6AC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DB1F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C0B2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D190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0D6E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9A9A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0.0077</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C6F0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14E3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839A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EF6D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96A3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7A5F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0.0162</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76DA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E18C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0.0326</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0106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5323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8B8A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BCE9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B2ED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55E5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B8F1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8682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r>
      <w:tr w14:paraId="4DFB9B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88B9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锰</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569A1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ADF7E">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BC46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8B68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8D83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2F5D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1556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5B13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F733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E935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C1BB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085A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2073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FBBB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0.0129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3AEB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CB0D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2.5×10</w:t>
            </w:r>
            <w:r>
              <w:rPr>
                <w:rFonts w:hint="default" w:ascii="Times New Roman" w:hAnsi="Times New Roman" w:cs="Times New Roman"/>
                <w:highlight w:val="none"/>
                <w:vertAlign w:val="superscript"/>
                <w:lang w:val="en-US" w:eastAsia="zh-CN"/>
              </w:rPr>
              <w:t>-3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4F9C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E733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0.0049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7C5A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501E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0541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5579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5526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8DE0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B08D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6787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r>
      <w:tr w14:paraId="2C819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7BAC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三氯甲烷</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4E79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E952C">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A277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34BB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9AD3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1FA9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C5D6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A411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04E8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79E6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5656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8471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5417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BFEC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37D8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DC44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D3EE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B628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EE3D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A5F5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AD04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450D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AF16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F586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F3DB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1F8C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r>
      <w:tr w14:paraId="5D332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54DF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四氯化碳</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8F90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92067">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02DF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D71D0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9D88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9DDD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14A7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47AD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0F9C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BE16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1108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466B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1B34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9F61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189C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C35D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47B3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ED0A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928E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89EB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94EF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63B6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2959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FAFA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CAE5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5649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r>
      <w:tr w14:paraId="710B85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6342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三氯乙烯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A873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40530">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94E5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85D2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A235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992A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9713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9C3E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2951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A186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B62F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40C5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DEAE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CFA1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279B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8519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5CBF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C259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8EE5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D524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295D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204C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8CED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27A6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71C4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ADA9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w:t>
            </w:r>
          </w:p>
        </w:tc>
      </w:tr>
      <w:tr w14:paraId="38572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C0E2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四氯乙烯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D1C7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B29DB">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5AF5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9565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1317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557A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83DC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169B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FE63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D1CD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BD6F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6D8F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D70F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67DC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EF2E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F9E7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EBD6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AF99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DE2E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FDB6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9DAF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39D2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2951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62B4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9BA7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0919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w:t>
            </w:r>
          </w:p>
        </w:tc>
      </w:tr>
      <w:tr w14:paraId="5DFC6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E445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苯乙烯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8A90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717C8">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835D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A99A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FE5F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EDA5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7B77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39AA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D25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1F39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6C11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4F3A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3D4F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D0DB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D912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192E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F66A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C8F9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86E0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2906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AAA6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62E2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B067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2AA2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2B57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CEA9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r>
      <w:tr w14:paraId="4158F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89C0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甲醛</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5787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99E80">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277D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827E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9527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AFE1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B248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2201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4C7D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7A15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1047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4EEE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0726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FFBB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AFB5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DBC0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9D6E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7EA77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64E2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FCEA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AD98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4162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B595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6624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D6C7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4867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0.9</w:t>
            </w:r>
          </w:p>
        </w:tc>
      </w:tr>
      <w:tr w14:paraId="18A02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B2A0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2E58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24DA4">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AFB1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EB60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E11B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52CE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E9F8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017B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7CA9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6F58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746D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5A15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3815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1512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6364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B02D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DEE4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0513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F344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FD76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EB0A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256D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008B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9681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7133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09A1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w:t>
            </w:r>
          </w:p>
        </w:tc>
      </w:tr>
      <w:tr w14:paraId="4F780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C537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甲苯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5A19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52D18">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AC95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9D0C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1C42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6A73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E53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685C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81FB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8CCC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ADDA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22E4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AD75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BC87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6113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FE0A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8852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FCE7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62935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CCAF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47FE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EFFE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5BDD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2CF7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22F8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7026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w:t>
            </w:r>
          </w:p>
        </w:tc>
      </w:tr>
      <w:tr w14:paraId="1540DF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14D3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乙苯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C5A4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69790">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227F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2E80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3E68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3168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4CB4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3575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51AD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1207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E85D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08A3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A5F7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7E48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CEE3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FBE3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733A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FAA2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DA67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4EC0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D5CF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CE98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8EEC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732A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B5B8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63BE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r>
      <w:tr w14:paraId="250F21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F431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二甲苯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DDD9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68615">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2427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9C5F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D575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6219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5ED3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50BD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985F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7286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BA81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87F1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A6EB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DCBE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9869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BB18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2CE4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E3AB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3C9B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02C5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8ACB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2D0C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A454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093D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5D07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2963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r>
      <w:tr w14:paraId="4F864B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2244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异丙苯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88A1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821DC">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1A48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E02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7F23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D102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44F4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7DAF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E821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CFFA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D24E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1635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F3DE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CD14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1BE5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F31B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A943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C9EC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5D4D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DFEA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FF41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360A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4063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EF0D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C358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C305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0.25</w:t>
            </w:r>
          </w:p>
        </w:tc>
      </w:tr>
      <w:tr w14:paraId="0BD29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A8A2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氯苯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8C8B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D3BE6">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885A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12F2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F10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1A01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8201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EEE5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80F3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F72C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24C0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EAC14">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BB81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049B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0B4C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9EAF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725B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3DD9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6B68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1871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4A34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BC6C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00A1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5DEA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12F7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171D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r>
      <w:tr w14:paraId="4A423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D982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1，2-二氯苯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DE27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680E1">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72A7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D4AF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A387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4D92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94D1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FEAD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856B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A305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B1C5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1C79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AE26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B3FA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9E94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F6D9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2EF3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9A03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60AF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93E4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D24C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F8C7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738A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99F9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59F6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8E7A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r>
      <w:tr w14:paraId="26EC6F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040A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1，4-二氯苯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1B42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1DD8C">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DB10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11A8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4C60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81F4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8033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4B8B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63C9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95BA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AA61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542C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2A78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FDF5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CBC9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710A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EF5D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F322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452A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BA5F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4C75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8359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D941F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3B28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FBAF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5480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r>
      <w:tr w14:paraId="448E3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C9CD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三氯苯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AA0D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0F1A3">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905FB">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BC7E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2732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6161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100F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5187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0DF8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4099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874C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05F2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FC96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39595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8C95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F88A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35AC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298A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B8EB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0C30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ED82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FA91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368C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2144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AEF1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5A3B6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r>
      <w:tr w14:paraId="3BCF4F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9047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硝基苯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48C4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8298F">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8C0E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1A8F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3539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9003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8131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8B1C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6B53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F807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ACB5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F0DC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D594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6B1F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0E84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CAB7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EA0F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37CE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2043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5482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42BA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36A6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9B98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751B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FFB2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40CE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0.017</w:t>
            </w:r>
          </w:p>
        </w:tc>
      </w:tr>
      <w:tr w14:paraId="4A379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0242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二硝基苯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6C20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15553">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4C89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4C97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9914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7130C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683E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B16F8">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D039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347F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12F8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2D9DC">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07B1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24B0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6107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7382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FF36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1D57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2194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8D18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AC25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F2FE4">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3358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1495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0DEB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3DF5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r>
      <w:tr w14:paraId="7685B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9D85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硝基氯苯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CC8B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1E55C">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9F7C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7DFD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1873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5E5C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19FC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9AD4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C90D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746C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5696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9114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21F7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DB90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4BD7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09F6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81B6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CC96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5B42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2F87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4F7E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13DC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5193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2151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1574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6136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14:paraId="2DD1A9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9B17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邻苯二甲酸二丁酯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A180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B866D">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6023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2118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06FC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CBC2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D0F3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CF56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72EC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F10C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2F18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449CB">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7865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3499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C77A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E0B6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B289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B2CB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457F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AC9F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7AB9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9607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C8F1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B059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C0A9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5E66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0.003</w:t>
            </w:r>
          </w:p>
        </w:tc>
      </w:tr>
      <w:tr w14:paraId="5149D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5"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899E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邻苯二甲酸二（2－乙基己基）酯</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0DC7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413D0">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1930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8047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9A73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5E56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7472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3EA9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557E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C043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397C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49E8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810F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DCE4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556C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2B9E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A19B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3E65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267C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6711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79D3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6460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A449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AB84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2A63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AEE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0.008</w:t>
            </w:r>
          </w:p>
        </w:tc>
      </w:tr>
      <w:tr w14:paraId="020D1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95BB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滴滴涕</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9F1A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E2810">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A294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4CCA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B811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8DBC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6B77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35BE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D777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1756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31BF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9026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B5A5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AFE9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291F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67E7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0A55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FF06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3319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2834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A3DA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6906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D77A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333D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0E6E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FEEE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w:t>
            </w:r>
          </w:p>
        </w:tc>
      </w:tr>
      <w:tr w14:paraId="0C157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2C3D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林丹</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F0DD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2624B">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EE62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725C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7A30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7D1B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5F1D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CB1B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7C7A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AB8D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AF78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8C4B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A6C8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20C3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CBF4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EB0B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7233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4FC1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EE10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119A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7716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BAED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9019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5725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A189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C92D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r>
      <w:tr w14:paraId="7E5D02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8E32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阿特拉津</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7C3E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BADEC">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D97B6">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D734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F0D1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9AC7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1491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B950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975F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BB07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6C5B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7918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46F5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630A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EC7C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6BCC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E6E5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51C6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B007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EB53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E3E2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74A5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5915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DA49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BB08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2BE8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0.003</w:t>
            </w:r>
          </w:p>
        </w:tc>
      </w:tr>
      <w:tr w14:paraId="691BC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D658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苯并（a）芘</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3E8E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91824">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D425E">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1363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EAD2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D6BA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FFDC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CF6B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7B5B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302A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15FF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9AFE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3C9E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9129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DC2A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D5B3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35C2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8F33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F8FE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F727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3D76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721C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970C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2099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41BE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F926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0.0000028</w:t>
            </w:r>
          </w:p>
        </w:tc>
      </w:tr>
      <w:tr w14:paraId="1FB099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F67C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钼</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ACBC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B867E">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650C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3FBB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3843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2F80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8803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6D76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7793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D643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C6CB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9208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3.3×10</w:t>
            </w:r>
            <w:r>
              <w:rPr>
                <w:rFonts w:hint="default" w:ascii="Times New Roman" w:hAnsi="Times New Roman" w:cs="Times New Roman"/>
                <w:highlight w:val="none"/>
                <w:vertAlign w:val="superscript"/>
                <w:lang w:val="en-US" w:eastAsia="zh-CN"/>
              </w:rPr>
              <w:t>-4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D68A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09C9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4BCC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5FD5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3.7×10</w:t>
            </w:r>
            <w:r>
              <w:rPr>
                <w:rFonts w:hint="default" w:ascii="Times New Roman" w:hAnsi="Times New Roman" w:cs="Times New Roman"/>
                <w:highlight w:val="none"/>
                <w:vertAlign w:val="superscript"/>
                <w:lang w:val="en-US" w:eastAsia="zh-CN"/>
              </w:rPr>
              <w:t>-4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DEE6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E278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3.6×10</w:t>
            </w:r>
            <w:r>
              <w:rPr>
                <w:rFonts w:hint="default" w:ascii="Times New Roman" w:hAnsi="Times New Roman" w:cs="Times New Roman"/>
                <w:highlight w:val="none"/>
                <w:vertAlign w:val="superscript"/>
                <w:lang w:val="en-US" w:eastAsia="zh-CN"/>
              </w:rPr>
              <w:t>-4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B20A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540A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9072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AD93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1D85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5333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DAD3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44DC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w:t>
            </w:r>
          </w:p>
        </w:tc>
      </w:tr>
      <w:tr w14:paraId="57A59C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740E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钴</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161D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038E1">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BDE9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6E86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123C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F766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DF54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E0AD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7F2B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BA98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A17D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86F6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5×10</w:t>
            </w:r>
            <w:r>
              <w:rPr>
                <w:rFonts w:hint="default" w:ascii="Times New Roman" w:hAnsi="Times New Roman" w:cs="Times New Roman"/>
                <w:highlight w:val="none"/>
                <w:vertAlign w:val="superscript"/>
                <w:lang w:val="en-US" w:eastAsia="zh-CN"/>
              </w:rPr>
              <w:t>-5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611B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D96D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EF51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43C0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4.0×10</w:t>
            </w:r>
            <w:r>
              <w:rPr>
                <w:rFonts w:hint="default" w:ascii="Times New Roman" w:hAnsi="Times New Roman" w:cs="Times New Roman"/>
                <w:highlight w:val="none"/>
                <w:vertAlign w:val="superscript"/>
                <w:lang w:val="en-US" w:eastAsia="zh-CN"/>
              </w:rPr>
              <w:t>-5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CCE8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822D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w:t>
            </w:r>
            <w:r>
              <w:rPr>
                <w:rFonts w:hint="default" w:ascii="Times New Roman" w:hAnsi="Times New Roman" w:cs="Times New Roman"/>
                <w:highlight w:val="none"/>
                <w:vertAlign w:val="superscript"/>
                <w:lang w:val="en-US" w:eastAsia="zh-CN"/>
              </w:rPr>
              <w:t>-5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5515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338B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18F0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BA39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0367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1CC6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09F8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BA6A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r>
      <w:tr w14:paraId="757ED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21C4D">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铍</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D27C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66229">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D7D7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6D26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EC0E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A915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D1B2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00F1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0F02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BFA1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6377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BF7F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69C7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45BE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0077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1A5F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AFCD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280A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A5F5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9D2C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A674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06B8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4E86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7D3B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7DD8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04D0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r>
      <w:tr w14:paraId="73E058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27BC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硼</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642E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FDD7F">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9384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C22B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67BB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5BCD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9E23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60B1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E95C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0E0C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DE56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3F43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F259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9122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4BC1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E6EF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4E74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D858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6003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98D6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3F97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13986">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A10A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99B7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8ED4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230E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r>
      <w:tr w14:paraId="3355CA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89B1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锑</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43D0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5F268">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DAE3C">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D161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8B5F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BD27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B7D8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7FCD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D124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B28D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290B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60A9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1.08×10</w:t>
            </w:r>
            <w:r>
              <w:rPr>
                <w:rFonts w:hint="default" w:ascii="Times New Roman" w:hAnsi="Times New Roman" w:cs="Times New Roman"/>
                <w:highlight w:val="none"/>
                <w:vertAlign w:val="superscript"/>
                <w:lang w:val="en-US" w:eastAsia="zh-CN"/>
              </w:rPr>
              <w:t>-3</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0466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8432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4866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1CB4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4.9×10</w:t>
            </w:r>
            <w:r>
              <w:rPr>
                <w:rFonts w:hint="default" w:ascii="Times New Roman" w:hAnsi="Times New Roman" w:cs="Times New Roman"/>
                <w:highlight w:val="none"/>
                <w:vertAlign w:val="superscript"/>
                <w:lang w:val="en-US" w:eastAsia="zh-CN"/>
              </w:rPr>
              <w:t>-5</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D8B7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93BE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4.1×10</w:t>
            </w:r>
            <w:r>
              <w:rPr>
                <w:rFonts w:hint="default" w:ascii="Times New Roman" w:hAnsi="Times New Roman" w:cs="Times New Roman"/>
                <w:highlight w:val="none"/>
                <w:vertAlign w:val="superscript"/>
                <w:lang w:val="en-US" w:eastAsia="zh-CN"/>
              </w:rPr>
              <w:t>-4</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CEE6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A363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BC50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6101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17CD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E406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1865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EAAC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0.005</w:t>
            </w:r>
          </w:p>
        </w:tc>
      </w:tr>
      <w:tr w14:paraId="295052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45EF4">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镍</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8A5C3">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54A6B">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6F59F">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4B3B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D3B4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6483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59E7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2B32F">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598C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87EE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A2E6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5322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4B41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5921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AA44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21E2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40E4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C9AB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950D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FBF4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278E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41FEE">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C064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FBEC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B647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A10B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w:t>
            </w:r>
          </w:p>
        </w:tc>
      </w:tr>
      <w:tr w14:paraId="7B3B79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468C8">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钡</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D2F97">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E12D6">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4ED7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7783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BB56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F445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3F3A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EE7EA">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A174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327C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E878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3F679">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1B6E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D5AB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1F66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4FBE5">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5009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28B1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EA33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F798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F8EC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E6334">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119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315D7">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8F344">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5ED5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w:t>
            </w:r>
          </w:p>
        </w:tc>
      </w:tr>
      <w:tr w14:paraId="26872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67A3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钒</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C13DA">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1BFE2">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5F0C5">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F52C1">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B988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2895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67DB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FA20D">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20069">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0F3C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5E00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1CD0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7E8B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5E9C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1971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0B203">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F21E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78BB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0A57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33BF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ECD3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4E2F1">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41C7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E02D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A039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C5D4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14:paraId="5A7A0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3" w:hRule="atLeast"/>
          <w:jc w:val="center"/>
        </w:trPr>
        <w:tc>
          <w:tcPr>
            <w:tcW w:w="1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41EC1">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铊</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64B72">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mg/L</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F9F35">
            <w:pPr>
              <w:pStyle w:val="22"/>
              <w:bidi w:val="0"/>
              <w:ind w:firstLine="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未检出</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B9B59">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达标</w:t>
            </w:r>
          </w:p>
        </w:tc>
        <w:tc>
          <w:tcPr>
            <w:tcW w:w="8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C6FD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43AB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3F92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87B12">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7F392">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08778">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953D5">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08C6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F9494">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2F94B">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DA4A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6F54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C2D40">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E5F1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619E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7C83E">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2BD1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5DBE6">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475B7">
            <w:pPr>
              <w:pStyle w:val="22"/>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0203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7F993">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910FD">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达标</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5BBE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0.0001</w:t>
            </w:r>
          </w:p>
        </w:tc>
      </w:tr>
    </w:tbl>
    <w:p w14:paraId="02DC26F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由上表可知，冷龙沟流域水质三年来除总氮不参评外，一直较稳定达到《地表水环境质量标准》中Ⅱ类标准限值。</w:t>
      </w:r>
    </w:p>
    <w:p w14:paraId="43A94F60">
      <w:pPr>
        <w:bidi w:val="0"/>
        <w:rPr>
          <w:rFonts w:hint="default" w:ascii="Times New Roman" w:hAnsi="Times New Roman" w:cs="Times New Roman"/>
          <w:highlight w:val="none"/>
          <w:lang w:val="en-US" w:eastAsia="zh-CN"/>
        </w:rPr>
        <w:sectPr>
          <w:pgSz w:w="23811" w:h="16838" w:orient="landscape"/>
          <w:pgMar w:top="720" w:right="720" w:bottom="720" w:left="720" w:header="851" w:footer="992" w:gutter="0"/>
          <w:pgNumType w:fmt="decimal"/>
          <w:cols w:space="425" w:num="1"/>
          <w:docGrid w:type="lines" w:linePitch="312" w:charSpace="0"/>
        </w:sectPr>
      </w:pPr>
    </w:p>
    <w:p w14:paraId="3839AC2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2、补充监测</w:t>
      </w:r>
    </w:p>
    <w:p w14:paraId="50EE330A">
      <w:pPr>
        <w:bidi w:val="0"/>
        <w:rPr>
          <w:rFonts w:hint="default" w:ascii="Times New Roman" w:hAnsi="Times New Roman" w:cs="Times New Roman"/>
          <w:highlight w:val="none"/>
        </w:rPr>
      </w:pPr>
      <w:r>
        <w:rPr>
          <w:rFonts w:hint="default" w:ascii="Times New Roman" w:hAnsi="Times New Roman" w:cs="Times New Roman"/>
          <w:highlight w:val="none"/>
        </w:rPr>
        <w:t>为更好的了解水环境质量，为后续评价提供基础数据，</w:t>
      </w: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委托监测单位对</w:t>
      </w:r>
      <w:r>
        <w:rPr>
          <w:rFonts w:hint="default" w:ascii="Times New Roman" w:hAnsi="Times New Roman" w:cs="Times New Roman"/>
          <w:highlight w:val="none"/>
          <w:lang w:val="en-US" w:eastAsia="zh-CN"/>
        </w:rPr>
        <w:t>流域涉及的重点建设项目--</w:t>
      </w:r>
      <w:r>
        <w:rPr>
          <w:rFonts w:hint="default" w:ascii="Times New Roman" w:hAnsi="Times New Roman" w:cs="Times New Roman"/>
          <w:highlight w:val="none"/>
        </w:rPr>
        <w:t>尼色拥水库坝址处的水质进行了监测：</w:t>
      </w:r>
    </w:p>
    <w:p w14:paraId="08FA84B8">
      <w:pPr>
        <w:bidi w:val="0"/>
        <w:rPr>
          <w:rFonts w:hint="default"/>
          <w:highlight w:val="none"/>
        </w:rPr>
      </w:pPr>
      <w:r>
        <w:rPr>
          <w:rFonts w:hint="default"/>
          <w:highlight w:val="none"/>
          <w:lang w:eastAsia="zh-CN"/>
        </w:rPr>
        <w:t>（</w:t>
      </w:r>
      <w:r>
        <w:rPr>
          <w:rFonts w:hint="default"/>
          <w:highlight w:val="none"/>
          <w:lang w:val="en-US" w:eastAsia="zh-CN"/>
        </w:rPr>
        <w:t>1）</w:t>
      </w:r>
      <w:r>
        <w:rPr>
          <w:rFonts w:hint="default"/>
          <w:highlight w:val="none"/>
        </w:rPr>
        <w:t>监测断面：</w:t>
      </w:r>
    </w:p>
    <w:p w14:paraId="6D5D8801">
      <w:pPr>
        <w:bidi w:val="0"/>
        <w:rPr>
          <w:rFonts w:hint="default" w:ascii="Times New Roman" w:hAnsi="Times New Roman" w:cs="Times New Roman"/>
          <w:highlight w:val="none"/>
        </w:rPr>
      </w:pPr>
      <w:r>
        <w:rPr>
          <w:rFonts w:hint="default" w:ascii="Times New Roman" w:hAnsi="Times New Roman" w:cs="Times New Roman"/>
          <w:highlight w:val="none"/>
        </w:rPr>
        <w:t>D1坝址处上游200m（冷龙沟）、D2冷龙沟与硕曲汇合口下游200m；</w:t>
      </w:r>
    </w:p>
    <w:p w14:paraId="37EE5465">
      <w:pPr>
        <w:bidi w:val="0"/>
        <w:ind w:left="0" w:leftChars="0" w:firstLine="0" w:firstLineChars="0"/>
        <w:jc w:val="center"/>
        <w:rPr>
          <w:rFonts w:hint="eastAsia" w:ascii="Times New Roman" w:hAnsi="Times New Roman" w:cs="Times New Roman" w:eastAsiaTheme="minorEastAsia"/>
          <w:highlight w:val="none"/>
          <w:lang w:eastAsia="zh-CN"/>
        </w:rPr>
      </w:pPr>
      <w:r>
        <w:rPr>
          <w:sz w:val="24"/>
          <w:highlight w:val="none"/>
        </w:rPr>
        <mc:AlternateContent>
          <mc:Choice Requires="wps">
            <w:drawing>
              <wp:anchor distT="0" distB="0" distL="114300" distR="114300" simplePos="0" relativeHeight="251667456" behindDoc="0" locked="0" layoutInCell="1" allowOverlap="1">
                <wp:simplePos x="0" y="0"/>
                <wp:positionH relativeFrom="column">
                  <wp:posOffset>3126105</wp:posOffset>
                </wp:positionH>
                <wp:positionV relativeFrom="paragraph">
                  <wp:posOffset>5301615</wp:posOffset>
                </wp:positionV>
                <wp:extent cx="833120" cy="44831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833120" cy="448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C1E8F3">
                            <w:pPr>
                              <w:ind w:left="0" w:leftChars="0" w:firstLine="0" w:firstLineChars="0"/>
                              <w:rPr>
                                <w:rFonts w:hint="default" w:eastAsiaTheme="minorEastAsia"/>
                                <w:b/>
                                <w:bCs/>
                                <w:color w:val="ED03DF"/>
                                <w:sz w:val="21"/>
                                <w:szCs w:val="21"/>
                                <w:lang w:val="en-US" w:eastAsia="zh-CN"/>
                              </w:rPr>
                            </w:pPr>
                            <w:r>
                              <w:rPr>
                                <w:rFonts w:hint="eastAsia"/>
                                <w:b/>
                                <w:bCs/>
                                <w:color w:val="ED03DF"/>
                                <w:sz w:val="21"/>
                                <w:szCs w:val="21"/>
                                <w:lang w:val="en-US" w:eastAsia="zh-CN"/>
                              </w:rPr>
                              <w:t>D2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15pt;margin-top:417.45pt;height:35.3pt;width:65.6pt;z-index:251667456;mso-width-relative:page;mso-height-relative:page;" filled="f" stroked="f" coordsize="21600,21600" o:gfxdata="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h58xJ3QAAAAsBAAAPAAAAAAAAAAEAIAAAACIA&#10;AABkcnMvZG93bnJldi54bWxQSwECFAAUAAAACACHTuJAPhggeD0CAABnBAAADgAAAAAAAAABACAA&#10;AAAsAQAAZHJzL2Uyb0RvYy54bWxQSwUGAAAAAAYABgBZAQAA2wUAAAAA&#10;">
                <v:fill on="f" focussize="0,0"/>
                <v:stroke on="f" weight="0.5pt"/>
                <v:imagedata o:title=""/>
                <o:lock v:ext="edit" aspectratio="f"/>
                <v:textbox>
                  <w:txbxContent>
                    <w:p w14:paraId="61C1E8F3">
                      <w:pPr>
                        <w:ind w:left="0" w:leftChars="0" w:firstLine="0" w:firstLineChars="0"/>
                        <w:rPr>
                          <w:rFonts w:hint="default" w:eastAsiaTheme="minorEastAsia"/>
                          <w:b/>
                          <w:bCs/>
                          <w:color w:val="ED03DF"/>
                          <w:sz w:val="21"/>
                          <w:szCs w:val="21"/>
                          <w:lang w:val="en-US" w:eastAsia="zh-CN"/>
                        </w:rPr>
                      </w:pPr>
                      <w:r>
                        <w:rPr>
                          <w:rFonts w:hint="eastAsia"/>
                          <w:b/>
                          <w:bCs/>
                          <w:color w:val="ED03DF"/>
                          <w:sz w:val="21"/>
                          <w:szCs w:val="21"/>
                          <w:lang w:val="en-US" w:eastAsia="zh-CN"/>
                        </w:rPr>
                        <w:t>D2</w:t>
                      </w:r>
                    </w:p>
                  </w:txbxContent>
                </v:textbox>
              </v:shape>
            </w:pict>
          </mc:Fallback>
        </mc:AlternateContent>
      </w:r>
      <w:r>
        <w:rPr>
          <w:sz w:val="24"/>
          <w:highlight w:val="none"/>
        </w:rPr>
        <mc:AlternateContent>
          <mc:Choice Requires="wps">
            <w:drawing>
              <wp:anchor distT="0" distB="0" distL="114300" distR="114300" simplePos="0" relativeHeight="251666432" behindDoc="0" locked="0" layoutInCell="1" allowOverlap="1">
                <wp:simplePos x="0" y="0"/>
                <wp:positionH relativeFrom="column">
                  <wp:posOffset>1705610</wp:posOffset>
                </wp:positionH>
                <wp:positionV relativeFrom="paragraph">
                  <wp:posOffset>1765935</wp:posOffset>
                </wp:positionV>
                <wp:extent cx="833120" cy="447040"/>
                <wp:effectExtent l="0" t="0" r="0" b="0"/>
                <wp:wrapNone/>
                <wp:docPr id="32" name="文本框 32"/>
                <wp:cNvGraphicFramePr/>
                <a:graphic xmlns:a="http://schemas.openxmlformats.org/drawingml/2006/main">
                  <a:graphicData uri="http://schemas.microsoft.com/office/word/2010/wordprocessingShape">
                    <wps:wsp>
                      <wps:cNvSpPr txBox="1"/>
                      <wps:spPr>
                        <a:xfrm>
                          <a:off x="3345815" y="4428490"/>
                          <a:ext cx="833120" cy="447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B97FD3">
                            <w:pPr>
                              <w:ind w:left="0" w:leftChars="0" w:firstLine="0" w:firstLineChars="0"/>
                              <w:rPr>
                                <w:rFonts w:hint="default" w:eastAsiaTheme="minorEastAsia"/>
                                <w:b/>
                                <w:bCs/>
                                <w:color w:val="ED03DF"/>
                                <w:sz w:val="21"/>
                                <w:szCs w:val="21"/>
                                <w:lang w:val="en-US" w:eastAsia="zh-CN"/>
                              </w:rPr>
                            </w:pPr>
                            <w:r>
                              <w:rPr>
                                <w:rFonts w:hint="eastAsia"/>
                                <w:b/>
                                <w:bCs/>
                                <w:color w:val="ED03DF"/>
                                <w:sz w:val="21"/>
                                <w:szCs w:val="21"/>
                                <w:lang w:val="en-US" w:eastAsia="zh-CN"/>
                              </w:rPr>
                              <w:t>D1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4.3pt;margin-top:139.05pt;height:35.2pt;width:65.6pt;z-index:251666432;mso-width-relative:page;mso-height-relative:page;" filled="f" stroked="f" coordsize="21600,21600" o:gfxdata="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BXfwGNwAAAALAQAADwAAAAAA&#10;AAABACAAAAAiAAAAZHJzL2Rvd25yZXYueG1sUEsBAhQAFAAAAAgAh07iQE/WaRhIAgAAcwQAAA4A&#10;AAAAAAAAAQAgAAAAKwEAAGRycy9lMm9Eb2MueG1sUEsFBgAAAAAGAAYAWQEAAOUFAAAAAA==&#10;">
                <v:fill on="f" focussize="0,0"/>
                <v:stroke on="f" weight="0.5pt"/>
                <v:imagedata o:title=""/>
                <o:lock v:ext="edit" aspectratio="f"/>
                <v:textbox>
                  <w:txbxContent>
                    <w:p w14:paraId="7AB97FD3">
                      <w:pPr>
                        <w:ind w:left="0" w:leftChars="0" w:firstLine="0" w:firstLineChars="0"/>
                        <w:rPr>
                          <w:rFonts w:hint="default" w:eastAsiaTheme="minorEastAsia"/>
                          <w:b/>
                          <w:bCs/>
                          <w:color w:val="ED03DF"/>
                          <w:sz w:val="21"/>
                          <w:szCs w:val="21"/>
                          <w:lang w:val="en-US" w:eastAsia="zh-CN"/>
                        </w:rPr>
                      </w:pPr>
                      <w:r>
                        <w:rPr>
                          <w:rFonts w:hint="eastAsia"/>
                          <w:b/>
                          <w:bCs/>
                          <w:color w:val="ED03DF"/>
                          <w:sz w:val="21"/>
                          <w:szCs w:val="21"/>
                          <w:lang w:val="en-US" w:eastAsia="zh-CN"/>
                        </w:rPr>
                        <w:t>D1</w:t>
                      </w:r>
                    </w:p>
                  </w:txbxContent>
                </v:textbox>
              </v:shape>
            </w:pict>
          </mc:Fallback>
        </mc:AlternateContent>
      </w:r>
      <w:r>
        <w:rPr>
          <w:rFonts w:hint="eastAsia" w:ascii="Times New Roman" w:hAnsi="Times New Roman" w:cs="Times New Roman" w:eastAsiaTheme="minorEastAsia"/>
          <w:highlight w:val="none"/>
          <w:lang w:eastAsia="zh-CN"/>
        </w:rPr>
        <w:drawing>
          <wp:inline distT="0" distB="0" distL="114300" distR="114300">
            <wp:extent cx="4535170" cy="6299200"/>
            <wp:effectExtent l="0" t="0" r="0" b="0"/>
            <wp:docPr id="26" name="图片 26" descr="补充监测断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补充监测断面"/>
                    <pic:cNvPicPr>
                      <a:picLocks noChangeAspect="1"/>
                    </pic:cNvPicPr>
                  </pic:nvPicPr>
                  <pic:blipFill>
                    <a:blip r:embed="rId21"/>
                    <a:srcRect b="1811"/>
                    <a:stretch>
                      <a:fillRect/>
                    </a:stretch>
                  </pic:blipFill>
                  <pic:spPr>
                    <a:xfrm>
                      <a:off x="0" y="0"/>
                      <a:ext cx="4535170" cy="6299200"/>
                    </a:xfrm>
                    <a:prstGeom prst="rect">
                      <a:avLst/>
                    </a:prstGeom>
                  </pic:spPr>
                </pic:pic>
              </a:graphicData>
            </a:graphic>
          </wp:inline>
        </w:drawing>
      </w:r>
    </w:p>
    <w:p w14:paraId="27C8FD4A">
      <w:pPr>
        <w:pStyle w:val="11"/>
        <w:bidi w:val="0"/>
        <w:ind w:left="0" w:leftChars="0" w:firstLine="0" w:firstLineChars="0"/>
        <w:jc w:val="center"/>
        <w:rPr>
          <w:rFonts w:hint="default" w:ascii="Times New Roman" w:hAnsi="Times New Roman" w:cs="Times New Roman" w:eastAsiaTheme="minorEastAsia"/>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10</w:t>
      </w:r>
      <w:r>
        <w:rPr>
          <w:highlight w:val="none"/>
        </w:rPr>
        <w:fldChar w:fldCharType="end"/>
      </w:r>
      <w:r>
        <w:rPr>
          <w:sz w:val="24"/>
          <w:highlight w:val="none"/>
        </w:rPr>
        <mc:AlternateContent>
          <mc:Choice Requires="wps">
            <w:drawing>
              <wp:anchor distT="0" distB="0" distL="114300" distR="114300" simplePos="0" relativeHeight="251665408" behindDoc="0" locked="0" layoutInCell="1" allowOverlap="1">
                <wp:simplePos x="0" y="0"/>
                <wp:positionH relativeFrom="column">
                  <wp:posOffset>3435350</wp:posOffset>
                </wp:positionH>
                <wp:positionV relativeFrom="paragraph">
                  <wp:posOffset>5464175</wp:posOffset>
                </wp:positionV>
                <wp:extent cx="118745" cy="118745"/>
                <wp:effectExtent l="19050" t="21590" r="33655" b="31115"/>
                <wp:wrapNone/>
                <wp:docPr id="31" name="五角星 31"/>
                <wp:cNvGraphicFramePr/>
                <a:graphic xmlns:a="http://schemas.openxmlformats.org/drawingml/2006/main">
                  <a:graphicData uri="http://schemas.microsoft.com/office/word/2010/wordprocessingShape">
                    <wps:wsp>
                      <wps:cNvSpPr/>
                      <wps:spPr>
                        <a:xfrm>
                          <a:off x="0" y="0"/>
                          <a:ext cx="118745" cy="11874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0.5pt;margin-top:430.25pt;height:9.35pt;width:9.35pt;z-index:251665408;v-text-anchor:middle;mso-width-relative:page;mso-height-relative:page;" fillcolor="#FF0000" filled="t" stroked="t" coordsize="118745,118745" o:gfxdata="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1tvGj2AAAAAsBAAAPAAAAAAAAAAEAIAAAACIAAABkcnMvZG93bnJl&#10;di54bWxQSwECFAAUAAAACACHTuJAoWxgqm8CAAD5BAAADgAAAAAAAAABACAAAAAnAQAAZHJzL2Uy&#10;b0RvYy54bWxQSwUGAAAAAAYABgBZAQAACAYAAAAA&#10;" path="m0,45356l45356,45356,59372,0,73388,45356,118744,45356,82050,73388,96066,118744,59372,90712,22678,118744,36694,73388xe">
                <v:path o:connectlocs="59372,0;0,45356;22678,118744;96066,118744;118744,45356" o:connectangles="247,164,82,82,0"/>
                <v:fill on="t" focussize="0,0"/>
                <v:stroke weight="1pt" color="#FF0000 [2404]" miterlimit="8" joinstyle="miter"/>
                <v:imagedata o:title=""/>
                <o:lock v:ext="edit" aspectratio="f"/>
              </v:shape>
            </w:pict>
          </mc:Fallback>
        </mc:AlternateContent>
      </w:r>
      <w:r>
        <w:rPr>
          <w:rFonts w:hint="eastAsia"/>
          <w:highlight w:val="none"/>
          <w:lang w:val="en-US" w:eastAsia="zh-CN"/>
        </w:rPr>
        <w:t xml:space="preserve"> 补充监测断面</w:t>
      </w:r>
    </w:p>
    <w:p w14:paraId="76C4B816">
      <w:pPr>
        <w:bidi w:val="0"/>
        <w:rPr>
          <w:rFonts w:hint="default"/>
          <w:highlight w:val="none"/>
        </w:rPr>
      </w:pPr>
      <w:r>
        <w:rPr>
          <w:rFonts w:hint="default"/>
          <w:highlight w:val="none"/>
          <w:lang w:eastAsia="zh-CN"/>
        </w:rPr>
        <w:t>（</w:t>
      </w:r>
      <w:r>
        <w:rPr>
          <w:rFonts w:hint="default"/>
          <w:highlight w:val="none"/>
          <w:lang w:val="en-US" w:eastAsia="zh-CN"/>
        </w:rPr>
        <w:t>2）</w:t>
      </w:r>
      <w:r>
        <w:rPr>
          <w:rFonts w:hint="default"/>
          <w:highlight w:val="none"/>
        </w:rPr>
        <w:t>监测因子及监测时间：</w:t>
      </w:r>
    </w:p>
    <w:p w14:paraId="49C18F40">
      <w:pPr>
        <w:bidi w:val="0"/>
        <w:rPr>
          <w:rFonts w:hint="default" w:ascii="Times New Roman" w:hAnsi="Times New Roman" w:cs="Times New Roman"/>
          <w:highlight w:val="none"/>
        </w:rPr>
      </w:pPr>
      <w:r>
        <w:rPr>
          <w:rFonts w:hint="default" w:ascii="Times New Roman" w:hAnsi="Times New Roman" w:cs="Times New Roman"/>
          <w:highlight w:val="none"/>
        </w:rPr>
        <w:t>D1</w:t>
      </w:r>
      <w:r>
        <w:rPr>
          <w:rFonts w:hint="default" w:ascii="Times New Roman" w:hAnsi="Times New Roman" w:cs="Times New Roman"/>
          <w:highlight w:val="none"/>
          <w:lang w:eastAsia="zh-CN"/>
        </w:rPr>
        <w:t>：</w:t>
      </w:r>
      <w:r>
        <w:rPr>
          <w:rFonts w:hint="default" w:ascii="Times New Roman" w:hAnsi="Times New Roman" w:cs="Times New Roman"/>
          <w:highlight w:val="none"/>
        </w:rPr>
        <w:t>pH、SS、COD、BOD</w:t>
      </w:r>
      <w:r>
        <w:rPr>
          <w:rFonts w:hint="default" w:ascii="Times New Roman" w:hAnsi="Times New Roman" w:cs="Times New Roman"/>
          <w:highlight w:val="none"/>
          <w:vertAlign w:val="subscript"/>
        </w:rPr>
        <w:t>5</w:t>
      </w:r>
      <w:r>
        <w:rPr>
          <w:rFonts w:hint="default" w:ascii="Times New Roman" w:hAnsi="Times New Roman" w:cs="Times New Roman"/>
          <w:highlight w:val="none"/>
        </w:rPr>
        <w:t>、NH</w:t>
      </w:r>
      <w:r>
        <w:rPr>
          <w:rFonts w:hint="default" w:ascii="Times New Roman" w:hAnsi="Times New Roman" w:cs="Times New Roman"/>
          <w:highlight w:val="none"/>
          <w:vertAlign w:val="subscript"/>
        </w:rPr>
        <w:t>3</w:t>
      </w:r>
      <w:r>
        <w:rPr>
          <w:rFonts w:hint="default" w:ascii="Times New Roman" w:hAnsi="Times New Roman" w:cs="Times New Roman"/>
          <w:highlight w:val="none"/>
        </w:rPr>
        <w:t>-N、TP、TN、石油类；</w:t>
      </w:r>
    </w:p>
    <w:p w14:paraId="6A707833">
      <w:pPr>
        <w:bidi w:val="0"/>
        <w:rPr>
          <w:rFonts w:hint="default" w:ascii="Times New Roman" w:hAnsi="Times New Roman" w:cs="Times New Roman"/>
          <w:highlight w:val="none"/>
        </w:rPr>
      </w:pPr>
      <w:r>
        <w:rPr>
          <w:rFonts w:hint="default" w:ascii="Times New Roman" w:hAnsi="Times New Roman" w:cs="Times New Roman"/>
          <w:highlight w:val="none"/>
        </w:rPr>
        <w:t>D2</w:t>
      </w:r>
      <w:r>
        <w:rPr>
          <w:rFonts w:hint="default" w:ascii="Times New Roman" w:hAnsi="Times New Roman" w:cs="Times New Roman"/>
          <w:highlight w:val="none"/>
          <w:lang w:eastAsia="zh-CN"/>
        </w:rPr>
        <w:t>：</w:t>
      </w:r>
      <w:r>
        <w:rPr>
          <w:rFonts w:hint="default" w:ascii="Times New Roman" w:hAnsi="Times New Roman" w:cs="Times New Roman"/>
          <w:highlight w:val="none"/>
        </w:rPr>
        <w:t>高锰酸盐指数、硫化物、铜、锌、氟化物、硒、砷、汞、镉、六价铬、铅、氰化物、挥发酚、阴离子表面活性剂、粪大肠菌群、氯化物、硫酸盐、硝酸盐、铁、锰等指标，2023年12月14日～16日。</w:t>
      </w:r>
    </w:p>
    <w:p w14:paraId="2451D7D5">
      <w:pPr>
        <w:bidi w:val="0"/>
        <w:rPr>
          <w:rFonts w:hint="eastAsia"/>
          <w:highlight w:val="none"/>
          <w:lang w:val="en-US" w:eastAsia="zh-CN"/>
        </w:rPr>
      </w:pPr>
      <w:r>
        <w:rPr>
          <w:rFonts w:hint="eastAsia"/>
          <w:highlight w:val="none"/>
          <w:lang w:eastAsia="zh-CN"/>
        </w:rPr>
        <w:t>（</w:t>
      </w:r>
      <w:r>
        <w:rPr>
          <w:rFonts w:hint="eastAsia"/>
          <w:highlight w:val="none"/>
          <w:lang w:val="en-US" w:eastAsia="zh-CN"/>
        </w:rPr>
        <w:t>3）评价方法</w:t>
      </w:r>
    </w:p>
    <w:p w14:paraId="1788177B">
      <w:pPr>
        <w:bidi w:val="0"/>
        <w:rPr>
          <w:rFonts w:hint="default" w:cs="Times New Roman"/>
          <w:highlight w:val="none"/>
          <w:lang w:val="en-US" w:eastAsia="zh-CN"/>
        </w:rPr>
      </w:pPr>
      <w:r>
        <w:rPr>
          <w:rFonts w:hint="default" w:cs="Times New Roman"/>
          <w:highlight w:val="none"/>
          <w:lang w:val="en-US" w:eastAsia="zh-CN"/>
        </w:rPr>
        <w:t>采用单因子指数法对水质现状进行评价，具体模式为：</w:t>
      </w:r>
    </w:p>
    <w:p w14:paraId="72C557A7">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①污染程度随浓度增加的因子指数按下式：</w:t>
      </w:r>
    </w:p>
    <w:p w14:paraId="45D36DFC">
      <w:pPr>
        <w:bidi w:val="0"/>
        <w:rPr>
          <w:rFonts w:hint="default" w:cs="Times New Roman"/>
          <w:highlight w:val="none"/>
          <w:lang w:val="en-US" w:eastAsia="zh-CN"/>
        </w:rPr>
      </w:pPr>
      <w:r>
        <w:rPr>
          <w:rFonts w:hint="eastAsia"/>
          <w:position w:val="-11"/>
          <w:highlight w:val="none"/>
          <w:lang w:val="en-US" w:eastAsia="zh-CN"/>
        </w:rPr>
        <w:t xml:space="preserve">                              </w:t>
      </w:r>
      <w:r>
        <w:rPr>
          <w:position w:val="-11"/>
          <w:highlight w:val="none"/>
        </w:rPr>
        <w:drawing>
          <wp:inline distT="0" distB="0" distL="0" distR="0">
            <wp:extent cx="481965" cy="357505"/>
            <wp:effectExtent l="0" t="0" r="13335" b="4445"/>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2"/>
                    <a:stretch>
                      <a:fillRect/>
                    </a:stretch>
                  </pic:blipFill>
                  <pic:spPr>
                    <a:xfrm>
                      <a:off x="0" y="0"/>
                      <a:ext cx="482102" cy="358056"/>
                    </a:xfrm>
                    <a:prstGeom prst="rect">
                      <a:avLst/>
                    </a:prstGeom>
                  </pic:spPr>
                </pic:pic>
              </a:graphicData>
            </a:graphic>
          </wp:inline>
        </w:drawing>
      </w:r>
    </w:p>
    <w:p w14:paraId="51EB6305">
      <w:pPr>
        <w:bidi w:val="0"/>
        <w:rPr>
          <w:rFonts w:hint="default" w:cs="Times New Roman"/>
          <w:highlight w:val="none"/>
          <w:lang w:val="en-US" w:eastAsia="zh-CN"/>
        </w:rPr>
      </w:pPr>
      <w:r>
        <w:rPr>
          <w:rFonts w:hint="default" w:cs="Times New Roman"/>
          <w:highlight w:val="none"/>
          <w:lang w:val="en-US" w:eastAsia="zh-CN"/>
        </w:rPr>
        <w:t>式中：Pi</w:t>
      </w:r>
      <w:r>
        <w:rPr>
          <w:rFonts w:hint="eastAsia" w:cs="Times New Roman"/>
          <w:highlight w:val="none"/>
          <w:lang w:val="en-US" w:eastAsia="zh-CN"/>
        </w:rPr>
        <w:t>--</w:t>
      </w:r>
      <w:r>
        <w:rPr>
          <w:rFonts w:hint="default" w:cs="Times New Roman"/>
          <w:highlight w:val="none"/>
          <w:lang w:val="en-US" w:eastAsia="zh-CN"/>
        </w:rPr>
        <w:t>第i项污染物的污染指数；</w:t>
      </w:r>
    </w:p>
    <w:p w14:paraId="42385B45">
      <w:pPr>
        <w:bidi w:val="0"/>
        <w:ind w:firstLine="1200" w:firstLineChars="500"/>
        <w:rPr>
          <w:rFonts w:hint="default" w:cs="Times New Roman"/>
          <w:highlight w:val="none"/>
          <w:lang w:val="en-US" w:eastAsia="zh-CN"/>
        </w:rPr>
      </w:pPr>
      <w:r>
        <w:rPr>
          <w:rFonts w:hint="default" w:cs="Times New Roman"/>
          <w:highlight w:val="none"/>
          <w:lang w:val="en-US" w:eastAsia="zh-CN"/>
        </w:rPr>
        <w:t>C</w:t>
      </w:r>
      <w:r>
        <w:rPr>
          <w:rFonts w:hint="default" w:cs="Times New Roman"/>
          <w:highlight w:val="none"/>
          <w:vertAlign w:val="subscript"/>
          <w:lang w:val="en-US" w:eastAsia="zh-CN"/>
        </w:rPr>
        <w:t>i</w:t>
      </w:r>
      <w:r>
        <w:rPr>
          <w:rFonts w:hint="eastAsia" w:cs="Times New Roman"/>
          <w:highlight w:val="none"/>
          <w:lang w:val="en-US" w:eastAsia="zh-CN"/>
        </w:rPr>
        <w:t>--</w:t>
      </w:r>
      <w:r>
        <w:rPr>
          <w:rFonts w:hint="default" w:cs="Times New Roman"/>
          <w:highlight w:val="none"/>
          <w:lang w:val="en-US" w:eastAsia="zh-CN"/>
        </w:rPr>
        <w:t>第i项污染物的实测浓度；</w:t>
      </w:r>
    </w:p>
    <w:p w14:paraId="3B3C3744">
      <w:pPr>
        <w:bidi w:val="0"/>
        <w:ind w:firstLine="1200" w:firstLineChars="500"/>
        <w:rPr>
          <w:rFonts w:hint="default" w:cs="Times New Roman"/>
          <w:highlight w:val="none"/>
          <w:lang w:val="en-US" w:eastAsia="zh-CN"/>
        </w:rPr>
      </w:pPr>
      <w:r>
        <w:rPr>
          <w:rFonts w:hint="default" w:cs="Times New Roman"/>
          <w:highlight w:val="none"/>
          <w:lang w:val="en-US" w:eastAsia="zh-CN"/>
        </w:rPr>
        <w:t>C</w:t>
      </w:r>
      <w:r>
        <w:rPr>
          <w:rFonts w:hint="default" w:cs="Times New Roman"/>
          <w:highlight w:val="none"/>
          <w:vertAlign w:val="subscript"/>
          <w:lang w:val="en-US" w:eastAsia="zh-CN"/>
        </w:rPr>
        <w:t>0i</w:t>
      </w:r>
      <w:r>
        <w:rPr>
          <w:rFonts w:hint="eastAsia" w:cs="Times New Roman"/>
          <w:highlight w:val="none"/>
          <w:lang w:val="en-US" w:eastAsia="zh-CN"/>
        </w:rPr>
        <w:t>--</w:t>
      </w:r>
      <w:r>
        <w:rPr>
          <w:rFonts w:hint="default" w:cs="Times New Roman"/>
          <w:highlight w:val="none"/>
          <w:lang w:val="en-US" w:eastAsia="zh-CN"/>
        </w:rPr>
        <w:t>第i项污染物的评价标准。</w:t>
      </w:r>
    </w:p>
    <w:p w14:paraId="0738D69E">
      <w:pPr>
        <w:spacing w:before="37" w:line="212" w:lineRule="auto"/>
        <w:rPr>
          <w:rFonts w:ascii="宋体" w:hAnsi="宋体" w:eastAsia="宋体" w:cs="宋体"/>
          <w:sz w:val="24"/>
          <w:szCs w:val="24"/>
          <w:highlight w:val="none"/>
        </w:rPr>
      </w:pPr>
      <w:r>
        <w:rPr>
          <w:rFonts w:ascii="宋体" w:hAnsi="宋体" w:eastAsia="宋体" w:cs="宋体"/>
          <w:spacing w:val="-1"/>
          <w:sz w:val="24"/>
          <w:szCs w:val="24"/>
          <w:highlight w:val="none"/>
        </w:rPr>
        <w:t>②</w:t>
      </w:r>
      <w:r>
        <w:rPr>
          <w:rFonts w:ascii="Times New Roman" w:hAnsi="Times New Roman" w:eastAsia="Times New Roman" w:cs="Times New Roman"/>
          <w:spacing w:val="-1"/>
          <w:sz w:val="24"/>
          <w:szCs w:val="24"/>
          <w:highlight w:val="none"/>
        </w:rPr>
        <w:t>pH</w:t>
      </w:r>
      <w:r>
        <w:rPr>
          <w:rFonts w:ascii="宋体" w:hAnsi="宋体" w:eastAsia="宋体" w:cs="宋体"/>
          <w:spacing w:val="-1"/>
          <w:sz w:val="24"/>
          <w:szCs w:val="24"/>
          <w:highlight w:val="none"/>
        </w:rPr>
        <w:t>评价指数按下式：</w:t>
      </w:r>
    </w:p>
    <w:p w14:paraId="42A2A6FF">
      <w:pPr>
        <w:spacing w:before="206" w:line="632" w:lineRule="exact"/>
        <w:rPr>
          <w:highlight w:val="none"/>
        </w:rPr>
      </w:pPr>
      <w:r>
        <w:rPr>
          <w:rFonts w:hint="eastAsia"/>
          <w:position w:val="-13"/>
          <w:highlight w:val="none"/>
          <w:lang w:val="en-US" w:eastAsia="zh-CN"/>
        </w:rPr>
        <w:t xml:space="preserve">                   </w:t>
      </w:r>
      <w:r>
        <w:rPr>
          <w:position w:val="-13"/>
          <w:highlight w:val="none"/>
        </w:rPr>
        <w:drawing>
          <wp:inline distT="0" distB="0" distL="0" distR="0">
            <wp:extent cx="1757680" cy="401320"/>
            <wp:effectExtent l="0" t="0" r="13970" b="1778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3"/>
                    <a:stretch>
                      <a:fillRect/>
                    </a:stretch>
                  </pic:blipFill>
                  <pic:spPr>
                    <a:xfrm>
                      <a:off x="0" y="0"/>
                      <a:ext cx="1757714" cy="401395"/>
                    </a:xfrm>
                    <a:prstGeom prst="rect">
                      <a:avLst/>
                    </a:prstGeom>
                  </pic:spPr>
                </pic:pic>
              </a:graphicData>
            </a:graphic>
          </wp:inline>
        </w:drawing>
      </w:r>
    </w:p>
    <w:p w14:paraId="7EB2D36F">
      <w:pPr>
        <w:bidi w:val="0"/>
        <w:ind w:firstLine="1200" w:firstLineChars="500"/>
        <w:rPr>
          <w:position w:val="-12"/>
          <w:highlight w:val="none"/>
        </w:rPr>
      </w:pPr>
      <w:r>
        <w:rPr>
          <w:rFonts w:hint="eastAsia"/>
          <w:position w:val="-12"/>
          <w:highlight w:val="none"/>
          <w:lang w:val="en-US" w:eastAsia="zh-CN"/>
        </w:rPr>
        <w:t xml:space="preserve">             </w:t>
      </w:r>
      <w:r>
        <w:rPr>
          <w:position w:val="-12"/>
          <w:highlight w:val="none"/>
        </w:rPr>
        <w:drawing>
          <wp:inline distT="0" distB="0" distL="0" distR="0">
            <wp:extent cx="1748790" cy="375285"/>
            <wp:effectExtent l="0" t="0" r="3810" b="5715"/>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24"/>
                    <a:stretch>
                      <a:fillRect/>
                    </a:stretch>
                  </pic:blipFill>
                  <pic:spPr>
                    <a:xfrm>
                      <a:off x="0" y="0"/>
                      <a:ext cx="1749357" cy="375379"/>
                    </a:xfrm>
                    <a:prstGeom prst="rect">
                      <a:avLst/>
                    </a:prstGeom>
                  </pic:spPr>
                </pic:pic>
              </a:graphicData>
            </a:graphic>
          </wp:inline>
        </w:drawing>
      </w:r>
    </w:p>
    <w:p w14:paraId="1133619F">
      <w:pPr>
        <w:bidi w:val="0"/>
        <w:rPr>
          <w:rFonts w:hint="default"/>
          <w:position w:val="-12"/>
          <w:highlight w:val="none"/>
          <w:lang w:val="en-US" w:eastAsia="zh-CN"/>
        </w:rPr>
      </w:pPr>
      <w:r>
        <w:rPr>
          <w:rFonts w:hint="default"/>
          <w:position w:val="-12"/>
          <w:highlight w:val="none"/>
          <w:lang w:val="en-US" w:eastAsia="zh-CN"/>
        </w:rPr>
        <w:t>式中：P</w:t>
      </w:r>
      <w:r>
        <w:rPr>
          <w:rFonts w:hint="default"/>
          <w:position w:val="-12"/>
          <w:highlight w:val="none"/>
          <w:vertAlign w:val="subscript"/>
          <w:lang w:val="en-US" w:eastAsia="zh-CN"/>
        </w:rPr>
        <w:t>PH</w:t>
      </w:r>
      <w:r>
        <w:rPr>
          <w:rFonts w:hint="default"/>
          <w:position w:val="-12"/>
          <w:highlight w:val="none"/>
          <w:lang w:val="en-US" w:eastAsia="zh-CN"/>
        </w:rPr>
        <w:t>，j――pH的标准指数，量纲为1；</w:t>
      </w:r>
    </w:p>
    <w:p w14:paraId="5EDDEE98">
      <w:pPr>
        <w:bidi w:val="0"/>
        <w:ind w:firstLine="1200" w:firstLineChars="500"/>
        <w:rPr>
          <w:rFonts w:hint="default"/>
          <w:position w:val="-12"/>
          <w:highlight w:val="none"/>
          <w:lang w:val="en-US" w:eastAsia="zh-CN"/>
        </w:rPr>
      </w:pPr>
      <w:r>
        <w:rPr>
          <w:rFonts w:hint="default"/>
          <w:position w:val="-12"/>
          <w:highlight w:val="none"/>
          <w:lang w:val="en-US" w:eastAsia="zh-CN"/>
        </w:rPr>
        <w:t>pH</w:t>
      </w:r>
      <w:r>
        <w:rPr>
          <w:rFonts w:hint="default"/>
          <w:position w:val="-12"/>
          <w:highlight w:val="none"/>
          <w:vertAlign w:val="subscript"/>
          <w:lang w:val="en-US" w:eastAsia="zh-CN"/>
        </w:rPr>
        <w:t>j</w:t>
      </w:r>
      <w:r>
        <w:rPr>
          <w:rFonts w:hint="default"/>
          <w:position w:val="-12"/>
          <w:highlight w:val="none"/>
          <w:lang w:val="en-US" w:eastAsia="zh-CN"/>
        </w:rPr>
        <w:t>――pH监测值；</w:t>
      </w:r>
    </w:p>
    <w:p w14:paraId="55089B5A">
      <w:pPr>
        <w:bidi w:val="0"/>
        <w:ind w:firstLine="1200" w:firstLineChars="500"/>
        <w:rPr>
          <w:rFonts w:hint="default"/>
          <w:position w:val="-12"/>
          <w:highlight w:val="none"/>
          <w:lang w:val="en-US" w:eastAsia="zh-CN"/>
        </w:rPr>
      </w:pPr>
      <w:r>
        <w:rPr>
          <w:rFonts w:hint="default"/>
          <w:position w:val="-12"/>
          <w:highlight w:val="none"/>
          <w:lang w:val="en-US" w:eastAsia="zh-CN"/>
        </w:rPr>
        <w:t>pH</w:t>
      </w:r>
      <w:r>
        <w:rPr>
          <w:rFonts w:hint="default"/>
          <w:position w:val="-12"/>
          <w:highlight w:val="none"/>
          <w:vertAlign w:val="subscript"/>
          <w:lang w:val="en-US" w:eastAsia="zh-CN"/>
        </w:rPr>
        <w:t>sd</w:t>
      </w:r>
      <w:r>
        <w:rPr>
          <w:rFonts w:hint="default"/>
          <w:position w:val="-12"/>
          <w:highlight w:val="none"/>
          <w:lang w:val="en-US" w:eastAsia="zh-CN"/>
        </w:rPr>
        <w:t>――标准中pH的下限值；pH</w:t>
      </w:r>
      <w:r>
        <w:rPr>
          <w:rFonts w:hint="default"/>
          <w:position w:val="-12"/>
          <w:highlight w:val="none"/>
          <w:vertAlign w:val="subscript"/>
          <w:lang w:val="en-US" w:eastAsia="zh-CN"/>
        </w:rPr>
        <w:t>su</w:t>
      </w:r>
      <w:r>
        <w:rPr>
          <w:rFonts w:hint="default"/>
          <w:position w:val="-12"/>
          <w:highlight w:val="none"/>
          <w:lang w:val="en-US" w:eastAsia="zh-CN"/>
        </w:rPr>
        <w:t>――标准中pH的上限值。</w:t>
      </w:r>
    </w:p>
    <w:p w14:paraId="54FB7E80">
      <w:pPr>
        <w:bidi w:val="0"/>
        <w:rPr>
          <w:rFonts w:ascii="宋体" w:hAnsi="宋体" w:eastAsia="宋体" w:cs="宋体"/>
          <w:spacing w:val="-1"/>
          <w:sz w:val="24"/>
          <w:szCs w:val="24"/>
          <w:highlight w:val="none"/>
        </w:rPr>
      </w:pPr>
      <w:r>
        <w:rPr>
          <w:rFonts w:ascii="宋体" w:hAnsi="宋体" w:eastAsia="宋体" w:cs="宋体"/>
          <w:spacing w:val="-1"/>
          <w:sz w:val="24"/>
          <w:szCs w:val="24"/>
          <w:highlight w:val="none"/>
        </w:rPr>
        <w:t>③</w:t>
      </w:r>
      <w:r>
        <w:rPr>
          <w:rFonts w:ascii="Times New Roman" w:hAnsi="Times New Roman" w:eastAsia="Times New Roman" w:cs="Times New Roman"/>
          <w:spacing w:val="-1"/>
          <w:sz w:val="24"/>
          <w:szCs w:val="24"/>
          <w:highlight w:val="none"/>
        </w:rPr>
        <w:t>DO</w:t>
      </w:r>
      <w:r>
        <w:rPr>
          <w:rFonts w:ascii="宋体" w:hAnsi="宋体" w:eastAsia="宋体" w:cs="宋体"/>
          <w:spacing w:val="-1"/>
          <w:sz w:val="24"/>
          <w:szCs w:val="24"/>
          <w:highlight w:val="none"/>
        </w:rPr>
        <w:t>评价指数按下式：</w:t>
      </w:r>
    </w:p>
    <w:p w14:paraId="24377BDD">
      <w:pPr>
        <w:bidi w:val="0"/>
        <w:ind w:left="0" w:leftChars="0" w:firstLine="0" w:firstLineChars="0"/>
        <w:jc w:val="center"/>
        <w:rPr>
          <w:rFonts w:hint="eastAsia" w:ascii="宋体" w:hAnsi="宋体" w:eastAsia="宋体" w:cs="宋体"/>
          <w:spacing w:val="-1"/>
          <w:sz w:val="24"/>
          <w:szCs w:val="24"/>
          <w:highlight w:val="none"/>
          <w:lang w:eastAsia="zh-CN"/>
        </w:rPr>
      </w:pPr>
      <w:r>
        <w:rPr>
          <w:rFonts w:hint="eastAsia" w:ascii="宋体" w:hAnsi="宋体" w:eastAsia="宋体" w:cs="宋体"/>
          <w:spacing w:val="-1"/>
          <w:sz w:val="24"/>
          <w:szCs w:val="24"/>
          <w:highlight w:val="none"/>
          <w:lang w:eastAsia="zh-CN"/>
        </w:rPr>
        <w:drawing>
          <wp:inline distT="0" distB="0" distL="114300" distR="114300">
            <wp:extent cx="2409190" cy="759460"/>
            <wp:effectExtent l="0" t="0" r="10160" b="2540"/>
            <wp:docPr id="37" name="图片 37" descr="173647344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36473446648"/>
                    <pic:cNvPicPr>
                      <a:picLocks noChangeAspect="1"/>
                    </pic:cNvPicPr>
                  </pic:nvPicPr>
                  <pic:blipFill>
                    <a:blip r:embed="rId25"/>
                    <a:stretch>
                      <a:fillRect/>
                    </a:stretch>
                  </pic:blipFill>
                  <pic:spPr>
                    <a:xfrm>
                      <a:off x="0" y="0"/>
                      <a:ext cx="2409190" cy="759460"/>
                    </a:xfrm>
                    <a:prstGeom prst="rect">
                      <a:avLst/>
                    </a:prstGeom>
                  </pic:spPr>
                </pic:pic>
              </a:graphicData>
            </a:graphic>
          </wp:inline>
        </w:drawing>
      </w:r>
    </w:p>
    <w:p w14:paraId="77827F82">
      <w:pPr>
        <w:bidi w:val="0"/>
        <w:ind w:left="1194" w:leftChars="200" w:hanging="714" w:hangingChars="300"/>
        <w:rPr>
          <w:rFonts w:hint="default" w:ascii="Times New Roman" w:hAnsi="Times New Roman" w:eastAsia="宋体" w:cs="Times New Roman"/>
          <w:spacing w:val="-1"/>
          <w:sz w:val="24"/>
          <w:szCs w:val="24"/>
          <w:highlight w:val="none"/>
          <w:lang w:val="en-US" w:eastAsia="zh-CN"/>
        </w:rPr>
      </w:pPr>
      <w:r>
        <w:rPr>
          <w:rFonts w:hint="default" w:ascii="Times New Roman" w:hAnsi="Times New Roman" w:eastAsia="宋体" w:cs="Times New Roman"/>
          <w:spacing w:val="-1"/>
          <w:sz w:val="24"/>
          <w:szCs w:val="24"/>
          <w:highlight w:val="none"/>
          <w:lang w:val="en-US" w:eastAsia="zh-CN"/>
        </w:rPr>
        <w:t>式中：S</w:t>
      </w:r>
      <w:r>
        <w:rPr>
          <w:rFonts w:hint="default" w:ascii="Times New Roman" w:hAnsi="Times New Roman" w:eastAsia="宋体" w:cs="Times New Roman"/>
          <w:spacing w:val="-1"/>
          <w:sz w:val="24"/>
          <w:szCs w:val="24"/>
          <w:highlight w:val="none"/>
          <w:vertAlign w:val="subscript"/>
          <w:lang w:val="en-US" w:eastAsia="zh-CN"/>
        </w:rPr>
        <w:t>DO</w:t>
      </w:r>
      <w:r>
        <w:rPr>
          <w:rFonts w:hint="default" w:ascii="Times New Roman" w:hAnsi="Times New Roman" w:eastAsia="宋体" w:cs="Times New Roman"/>
          <w:spacing w:val="-1"/>
          <w:sz w:val="24"/>
          <w:szCs w:val="24"/>
          <w:highlight w:val="none"/>
          <w:lang w:val="en-US" w:eastAsia="zh-CN"/>
        </w:rPr>
        <w:t>，j――溶解氧的标准指数，大于1表明该水质因子超标；DO</w:t>
      </w:r>
      <w:r>
        <w:rPr>
          <w:rFonts w:hint="default" w:ascii="Times New Roman" w:hAnsi="Times New Roman" w:eastAsia="宋体" w:cs="Times New Roman"/>
          <w:spacing w:val="-1"/>
          <w:sz w:val="24"/>
          <w:szCs w:val="24"/>
          <w:highlight w:val="none"/>
          <w:vertAlign w:val="subscript"/>
          <w:lang w:val="en-US" w:eastAsia="zh-CN"/>
        </w:rPr>
        <w:t>j</w:t>
      </w:r>
      <w:r>
        <w:rPr>
          <w:rFonts w:hint="default" w:ascii="Times New Roman" w:hAnsi="Times New Roman" w:eastAsia="宋体" w:cs="Times New Roman"/>
          <w:spacing w:val="-1"/>
          <w:sz w:val="24"/>
          <w:szCs w:val="24"/>
          <w:highlight w:val="none"/>
          <w:lang w:val="en-US" w:eastAsia="zh-CN"/>
        </w:rPr>
        <w:t>――溶解氧在j点的实测统计代表值，mg/L；</w:t>
      </w:r>
    </w:p>
    <w:p w14:paraId="79F320AE">
      <w:pPr>
        <w:bidi w:val="0"/>
        <w:ind w:firstLine="1190" w:firstLineChars="500"/>
        <w:rPr>
          <w:rFonts w:hint="default" w:ascii="Times New Roman" w:hAnsi="Times New Roman" w:eastAsia="宋体" w:cs="Times New Roman"/>
          <w:spacing w:val="-1"/>
          <w:sz w:val="24"/>
          <w:szCs w:val="24"/>
          <w:highlight w:val="none"/>
          <w:lang w:val="en-US" w:eastAsia="zh-CN"/>
        </w:rPr>
      </w:pPr>
      <w:r>
        <w:rPr>
          <w:rFonts w:hint="default" w:ascii="Times New Roman" w:hAnsi="Times New Roman" w:eastAsia="宋体" w:cs="Times New Roman"/>
          <w:spacing w:val="-1"/>
          <w:sz w:val="24"/>
          <w:szCs w:val="24"/>
          <w:highlight w:val="none"/>
          <w:lang w:val="en-US" w:eastAsia="zh-CN"/>
        </w:rPr>
        <w:t>DOs――溶解氧的水质评价标准限值，mg/L；</w:t>
      </w:r>
    </w:p>
    <w:p w14:paraId="0C58DC41">
      <w:pPr>
        <w:bidi w:val="0"/>
        <w:ind w:left="1200" w:leftChars="500" w:firstLine="0" w:firstLineChars="0"/>
        <w:rPr>
          <w:rFonts w:hint="default" w:ascii="Times New Roman" w:hAnsi="Times New Roman" w:eastAsia="宋体" w:cs="Times New Roman"/>
          <w:spacing w:val="-1"/>
          <w:sz w:val="24"/>
          <w:szCs w:val="24"/>
          <w:highlight w:val="none"/>
          <w:lang w:val="en-US" w:eastAsia="zh-CN"/>
        </w:rPr>
      </w:pPr>
      <w:r>
        <w:rPr>
          <w:rFonts w:hint="default" w:ascii="Times New Roman" w:hAnsi="Times New Roman" w:eastAsia="宋体" w:cs="Times New Roman"/>
          <w:spacing w:val="-1"/>
          <w:sz w:val="24"/>
          <w:szCs w:val="24"/>
          <w:highlight w:val="none"/>
          <w:lang w:val="en-US" w:eastAsia="zh-CN"/>
        </w:rPr>
        <w:t>DO</w:t>
      </w:r>
      <w:r>
        <w:rPr>
          <w:rFonts w:hint="default" w:ascii="Times New Roman" w:hAnsi="Times New Roman" w:eastAsia="宋体" w:cs="Times New Roman"/>
          <w:spacing w:val="-1"/>
          <w:sz w:val="24"/>
          <w:szCs w:val="24"/>
          <w:highlight w:val="none"/>
          <w:vertAlign w:val="subscript"/>
          <w:lang w:val="en-US" w:eastAsia="zh-CN"/>
        </w:rPr>
        <w:t>f</w:t>
      </w:r>
      <w:r>
        <w:rPr>
          <w:rFonts w:hint="default" w:ascii="Times New Roman" w:hAnsi="Times New Roman" w:eastAsia="宋体" w:cs="Times New Roman"/>
          <w:spacing w:val="-1"/>
          <w:sz w:val="24"/>
          <w:szCs w:val="24"/>
          <w:highlight w:val="none"/>
          <w:lang w:val="en-US" w:eastAsia="zh-CN"/>
        </w:rPr>
        <w:t>――饱和溶解氧浓度，mg/L，对于河流，DO</w:t>
      </w:r>
      <w:r>
        <w:rPr>
          <w:rFonts w:hint="default" w:ascii="Times New Roman" w:hAnsi="Times New Roman" w:eastAsia="宋体" w:cs="Times New Roman"/>
          <w:spacing w:val="-1"/>
          <w:sz w:val="24"/>
          <w:szCs w:val="24"/>
          <w:highlight w:val="none"/>
          <w:vertAlign w:val="subscript"/>
          <w:lang w:val="en-US" w:eastAsia="zh-CN"/>
        </w:rPr>
        <w:t>f</w:t>
      </w:r>
      <w:r>
        <w:rPr>
          <w:rFonts w:hint="default" w:ascii="Times New Roman" w:hAnsi="Times New Roman" w:eastAsia="宋体" w:cs="Times New Roman"/>
          <w:spacing w:val="-1"/>
          <w:sz w:val="24"/>
          <w:szCs w:val="24"/>
          <w:highlight w:val="none"/>
          <w:lang w:val="en-US" w:eastAsia="zh-CN"/>
        </w:rPr>
        <w:t>=468/</w:t>
      </w:r>
      <w:r>
        <w:rPr>
          <w:rFonts w:hint="eastAsia"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highlight w:val="none"/>
          <w:lang w:val="en-US" w:eastAsia="zh-CN"/>
        </w:rPr>
        <w:t>31.6+T</w:t>
      </w:r>
      <w:r>
        <w:rPr>
          <w:rFonts w:hint="eastAsia"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highlight w:val="none"/>
          <w:lang w:val="en-US" w:eastAsia="zh-CN"/>
        </w:rPr>
        <w:t>；S――实用盐度符号，量纲1；</w:t>
      </w:r>
    </w:p>
    <w:p w14:paraId="4AD8F715">
      <w:pPr>
        <w:bidi w:val="0"/>
        <w:ind w:firstLine="1190" w:firstLineChars="500"/>
        <w:rPr>
          <w:rFonts w:hint="default" w:ascii="Times New Roman" w:hAnsi="Times New Roman" w:eastAsia="宋体" w:cs="Times New Roman"/>
          <w:spacing w:val="-1"/>
          <w:sz w:val="24"/>
          <w:szCs w:val="24"/>
          <w:highlight w:val="none"/>
          <w:lang w:val="en-US" w:eastAsia="zh-CN"/>
        </w:rPr>
      </w:pPr>
      <w:r>
        <w:rPr>
          <w:rFonts w:hint="default" w:ascii="Times New Roman" w:hAnsi="Times New Roman" w:eastAsia="宋体" w:cs="Times New Roman"/>
          <w:spacing w:val="-1"/>
          <w:sz w:val="24"/>
          <w:szCs w:val="24"/>
          <w:highlight w:val="none"/>
          <w:lang w:val="en-US" w:eastAsia="zh-CN"/>
        </w:rPr>
        <w:t>T――水温，℃。</w:t>
      </w:r>
    </w:p>
    <w:p w14:paraId="54B04053">
      <w:pPr>
        <w:bidi w:val="0"/>
        <w:rPr>
          <w:rFonts w:hint="default" w:ascii="宋体" w:hAnsi="宋体" w:eastAsia="宋体" w:cs="宋体"/>
          <w:spacing w:val="-1"/>
          <w:sz w:val="24"/>
          <w:szCs w:val="24"/>
          <w:highlight w:val="none"/>
          <w:lang w:val="en-US" w:eastAsia="zh-CN"/>
        </w:rPr>
      </w:pPr>
      <w:r>
        <w:rPr>
          <w:rFonts w:hint="default" w:ascii="Times New Roman" w:hAnsi="Times New Roman" w:eastAsia="宋体" w:cs="Times New Roman"/>
          <w:spacing w:val="-1"/>
          <w:sz w:val="24"/>
          <w:szCs w:val="24"/>
          <w:highlight w:val="none"/>
          <w:lang w:val="en-US" w:eastAsia="zh-CN"/>
        </w:rPr>
        <w:t>若水质参数的标准指数＞1，则表明该水质参数超过规定的水质标准，已经不能满足使用要求。</w:t>
      </w:r>
    </w:p>
    <w:p w14:paraId="4C64068F">
      <w:pPr>
        <w:bidi w:val="0"/>
        <w:rPr>
          <w:rFonts w:hint="default"/>
          <w:highlight w:val="none"/>
        </w:rPr>
      </w:pPr>
      <w:r>
        <w:rPr>
          <w:rFonts w:hint="default"/>
          <w:highlight w:val="none"/>
          <w:lang w:eastAsia="zh-CN"/>
        </w:rPr>
        <w:t>（</w:t>
      </w:r>
      <w:r>
        <w:rPr>
          <w:rFonts w:hint="eastAsia"/>
          <w:highlight w:val="none"/>
          <w:lang w:val="en-US" w:eastAsia="zh-CN"/>
        </w:rPr>
        <w:t>4</w:t>
      </w:r>
      <w:r>
        <w:rPr>
          <w:rFonts w:hint="default"/>
          <w:highlight w:val="none"/>
          <w:lang w:val="en-US" w:eastAsia="zh-CN"/>
        </w:rPr>
        <w:t>）</w:t>
      </w:r>
      <w:r>
        <w:rPr>
          <w:rFonts w:hint="default"/>
          <w:highlight w:val="none"/>
        </w:rPr>
        <w:t>监测结果及评价</w:t>
      </w:r>
    </w:p>
    <w:p w14:paraId="1628BA7C">
      <w:pPr>
        <w:bidi w:val="0"/>
        <w:rPr>
          <w:rFonts w:hint="default" w:ascii="Times New Roman" w:hAnsi="Times New Roman" w:cs="Times New Roman"/>
          <w:highlight w:val="none"/>
        </w:rPr>
      </w:pPr>
      <w:r>
        <w:rPr>
          <w:rFonts w:hint="default" w:ascii="Times New Roman" w:hAnsi="Times New Roman" w:cs="Times New Roman"/>
          <w:highlight w:val="none"/>
        </w:rPr>
        <w:t>冷龙沟现状水质为</w:t>
      </w:r>
      <w:r>
        <w:rPr>
          <w:rFonts w:hint="default" w:ascii="Times New Roman" w:hAnsi="Times New Roman" w:eastAsia="微软雅黑" w:cs="Times New Roman"/>
          <w:highlight w:val="none"/>
        </w:rPr>
        <w:t>Ⅱ</w:t>
      </w:r>
      <w:r>
        <w:rPr>
          <w:rFonts w:hint="default" w:ascii="Times New Roman" w:hAnsi="Times New Roman" w:cs="Times New Roman"/>
          <w:highlight w:val="none"/>
        </w:rPr>
        <w:t>类，监测断面各污染物标准指数计算结果见下</w:t>
      </w:r>
      <w:r>
        <w:rPr>
          <w:rFonts w:hint="default" w:ascii="Times New Roman" w:hAnsi="Times New Roman" w:cs="Times New Roman"/>
          <w:highlight w:val="none"/>
          <w:lang w:eastAsia="zh-CN"/>
        </w:rPr>
        <w:fldChar w:fldCharType="begin"/>
      </w:r>
      <w:r>
        <w:rPr>
          <w:rFonts w:hint="default" w:ascii="Times New Roman" w:hAnsi="Times New Roman" w:cs="Times New Roman"/>
          <w:highlight w:val="none"/>
          <w:lang w:eastAsia="zh-CN"/>
        </w:rPr>
        <w:instrText xml:space="preserve"> REF _Ref3739 \h </w:instrText>
      </w:r>
      <w:r>
        <w:rPr>
          <w:rFonts w:hint="default" w:ascii="Times New Roman" w:hAnsi="Times New Roman" w:cs="Times New Roman"/>
          <w:highlight w:val="none"/>
          <w:lang w:eastAsia="zh-CN"/>
        </w:rPr>
        <w:fldChar w:fldCharType="separate"/>
      </w:r>
      <w:r>
        <w:rPr>
          <w:rFonts w:hint="default" w:ascii="Times New Roman" w:hAnsi="Times New Roman" w:cs="Times New Roman"/>
          <w:highlight w:val="none"/>
        </w:rPr>
        <w:t>表 22</w:t>
      </w:r>
      <w:r>
        <w:rPr>
          <w:rFonts w:hint="default" w:ascii="Times New Roman" w:hAnsi="Times New Roman" w:cs="Times New Roman"/>
          <w:highlight w:val="none"/>
          <w:lang w:eastAsia="zh-CN"/>
        </w:rPr>
        <w:fldChar w:fldCharType="end"/>
      </w:r>
      <w:r>
        <w:rPr>
          <w:rFonts w:hint="default" w:ascii="Times New Roman" w:hAnsi="Times New Roman" w:cs="Times New Roman"/>
          <w:highlight w:val="none"/>
        </w:rPr>
        <w:t>。</w:t>
      </w:r>
    </w:p>
    <w:p w14:paraId="17F19198">
      <w:pPr>
        <w:pStyle w:val="11"/>
        <w:jc w:val="center"/>
        <w:rPr>
          <w:rFonts w:hint="default" w:ascii="Times New Roman" w:hAnsi="Times New Roman" w:cs="Times New Roman"/>
          <w:color w:val="000000" w:themeColor="text1"/>
          <w:highlight w:val="none"/>
          <w14:textFill>
            <w14:solidFill>
              <w14:schemeClr w14:val="tx1"/>
            </w14:solidFill>
          </w14:textFill>
        </w:rPr>
      </w:pPr>
      <w:bookmarkStart w:id="41" w:name="_Ref3739"/>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22</w:t>
      </w:r>
      <w:r>
        <w:rPr>
          <w:rFonts w:hint="default" w:ascii="Times New Roman" w:hAnsi="Times New Roman" w:cs="Times New Roman"/>
          <w:highlight w:val="none"/>
        </w:rPr>
        <w:fldChar w:fldCharType="end"/>
      </w:r>
      <w:bookmarkEnd w:id="41"/>
      <w:r>
        <w:rPr>
          <w:rFonts w:hint="default" w:ascii="Times New Roman" w:hAnsi="Times New Roman" w:cs="Times New Roman"/>
          <w:highlight w:val="none"/>
          <w:lang w:val="en-US" w:eastAsia="zh-CN"/>
        </w:rPr>
        <w:t xml:space="preserve"> </w:t>
      </w:r>
      <w:r>
        <w:rPr>
          <w:rFonts w:hint="default" w:ascii="Times New Roman" w:hAnsi="Times New Roman" w:cs="Times New Roman"/>
          <w:color w:val="000000" w:themeColor="text1"/>
          <w:highlight w:val="none"/>
          <w14:textFill>
            <w14:solidFill>
              <w14:schemeClr w14:val="tx1"/>
            </w14:solidFill>
          </w14:textFill>
        </w:rPr>
        <w:t>地表水监测指标（2023年12月）结果表</w:t>
      </w:r>
    </w:p>
    <w:tbl>
      <w:tblPr>
        <w:tblStyle w:val="19"/>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2078"/>
        <w:gridCol w:w="1182"/>
        <w:gridCol w:w="1833"/>
        <w:gridCol w:w="1694"/>
        <w:gridCol w:w="1228"/>
      </w:tblGrid>
      <w:tr w14:paraId="028D2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restart"/>
            <w:vAlign w:val="center"/>
          </w:tcPr>
          <w:p w14:paraId="4E283E61">
            <w:pPr>
              <w:pStyle w:val="22"/>
              <w:bidi w:val="0"/>
              <w:rPr>
                <w:rFonts w:hint="default" w:ascii="Times New Roman" w:hAnsi="Times New Roman" w:cs="Times New Roman"/>
                <w:highlight w:val="none"/>
              </w:rPr>
            </w:pPr>
            <w:r>
              <w:rPr>
                <w:rFonts w:hint="default" w:ascii="Times New Roman" w:hAnsi="Times New Roman" w:cs="Times New Roman"/>
                <w:highlight w:val="none"/>
              </w:rPr>
              <w:t>监测断面</w:t>
            </w:r>
          </w:p>
        </w:tc>
        <w:tc>
          <w:tcPr>
            <w:tcW w:w="2078" w:type="dxa"/>
            <w:vMerge w:val="restart"/>
            <w:vAlign w:val="center"/>
          </w:tcPr>
          <w:p w14:paraId="6E1E23A4">
            <w:pPr>
              <w:pStyle w:val="22"/>
              <w:bidi w:val="0"/>
              <w:rPr>
                <w:rFonts w:hint="default" w:ascii="Times New Roman" w:hAnsi="Times New Roman" w:cs="Times New Roman"/>
                <w:highlight w:val="none"/>
              </w:rPr>
            </w:pPr>
            <w:r>
              <w:rPr>
                <w:rFonts w:hint="default" w:ascii="Times New Roman" w:hAnsi="Times New Roman" w:cs="Times New Roman"/>
                <w:highlight w:val="none"/>
              </w:rPr>
              <w:t>检测项目</w:t>
            </w:r>
          </w:p>
        </w:tc>
        <w:tc>
          <w:tcPr>
            <w:tcW w:w="1182" w:type="dxa"/>
            <w:vMerge w:val="restart"/>
            <w:vAlign w:val="center"/>
          </w:tcPr>
          <w:p w14:paraId="0AA5B111">
            <w:pPr>
              <w:pStyle w:val="22"/>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4755" w:type="dxa"/>
            <w:gridSpan w:val="3"/>
            <w:vAlign w:val="center"/>
          </w:tcPr>
          <w:p w14:paraId="2F2E5061">
            <w:pPr>
              <w:pStyle w:val="22"/>
              <w:bidi w:val="0"/>
              <w:rPr>
                <w:rFonts w:hint="default" w:ascii="Times New Roman" w:hAnsi="Times New Roman" w:cs="Times New Roman"/>
                <w:highlight w:val="none"/>
              </w:rPr>
            </w:pPr>
            <w:r>
              <w:rPr>
                <w:rFonts w:hint="default" w:ascii="Times New Roman" w:hAnsi="Times New Roman" w:cs="Times New Roman"/>
                <w:highlight w:val="none"/>
              </w:rPr>
              <w:t>检测结果</w:t>
            </w:r>
          </w:p>
        </w:tc>
      </w:tr>
      <w:tr w14:paraId="04A39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4EDBDD1C">
            <w:pPr>
              <w:pStyle w:val="22"/>
              <w:bidi w:val="0"/>
              <w:rPr>
                <w:rFonts w:hint="default" w:ascii="Times New Roman" w:hAnsi="Times New Roman" w:cs="Times New Roman"/>
                <w:highlight w:val="none"/>
              </w:rPr>
            </w:pPr>
          </w:p>
        </w:tc>
        <w:tc>
          <w:tcPr>
            <w:tcW w:w="2078" w:type="dxa"/>
            <w:vMerge w:val="continue"/>
            <w:vAlign w:val="center"/>
          </w:tcPr>
          <w:p w14:paraId="7C0E269E">
            <w:pPr>
              <w:pStyle w:val="22"/>
              <w:bidi w:val="0"/>
              <w:rPr>
                <w:rFonts w:hint="default" w:ascii="Times New Roman" w:hAnsi="Times New Roman" w:cs="Times New Roman"/>
                <w:highlight w:val="none"/>
              </w:rPr>
            </w:pPr>
          </w:p>
        </w:tc>
        <w:tc>
          <w:tcPr>
            <w:tcW w:w="1182" w:type="dxa"/>
            <w:vMerge w:val="continue"/>
            <w:vAlign w:val="center"/>
          </w:tcPr>
          <w:p w14:paraId="4A048FDF">
            <w:pPr>
              <w:pStyle w:val="22"/>
              <w:bidi w:val="0"/>
              <w:rPr>
                <w:rFonts w:hint="default" w:ascii="Times New Roman" w:hAnsi="Times New Roman" w:cs="Times New Roman"/>
                <w:highlight w:val="none"/>
              </w:rPr>
            </w:pPr>
          </w:p>
        </w:tc>
        <w:tc>
          <w:tcPr>
            <w:tcW w:w="1833" w:type="dxa"/>
            <w:vAlign w:val="center"/>
          </w:tcPr>
          <w:p w14:paraId="7EF2E1E3">
            <w:pPr>
              <w:pStyle w:val="22"/>
              <w:bidi w:val="0"/>
              <w:rPr>
                <w:rFonts w:hint="default" w:ascii="Times New Roman" w:hAnsi="Times New Roman" w:cs="Times New Roman"/>
                <w:highlight w:val="none"/>
              </w:rPr>
            </w:pPr>
            <w:r>
              <w:rPr>
                <w:rFonts w:hint="default" w:ascii="Times New Roman" w:hAnsi="Times New Roman" w:cs="Times New Roman"/>
                <w:highlight w:val="none"/>
              </w:rPr>
              <w:t>12月14日</w:t>
            </w:r>
          </w:p>
        </w:tc>
        <w:tc>
          <w:tcPr>
            <w:tcW w:w="1694" w:type="dxa"/>
            <w:vAlign w:val="center"/>
          </w:tcPr>
          <w:p w14:paraId="191F17F6">
            <w:pPr>
              <w:pStyle w:val="22"/>
              <w:bidi w:val="0"/>
              <w:rPr>
                <w:rFonts w:hint="default" w:ascii="Times New Roman" w:hAnsi="Times New Roman" w:cs="Times New Roman"/>
                <w:highlight w:val="none"/>
              </w:rPr>
            </w:pPr>
            <w:r>
              <w:rPr>
                <w:rFonts w:hint="default" w:ascii="Times New Roman" w:hAnsi="Times New Roman" w:cs="Times New Roman"/>
                <w:highlight w:val="none"/>
              </w:rPr>
              <w:t>12月15日</w:t>
            </w:r>
          </w:p>
        </w:tc>
        <w:tc>
          <w:tcPr>
            <w:tcW w:w="1228" w:type="dxa"/>
            <w:vAlign w:val="center"/>
          </w:tcPr>
          <w:p w14:paraId="72207219">
            <w:pPr>
              <w:pStyle w:val="22"/>
              <w:bidi w:val="0"/>
              <w:rPr>
                <w:rFonts w:hint="default" w:ascii="Times New Roman" w:hAnsi="Times New Roman" w:cs="Times New Roman"/>
                <w:highlight w:val="none"/>
              </w:rPr>
            </w:pPr>
            <w:r>
              <w:rPr>
                <w:rFonts w:hint="default" w:ascii="Times New Roman" w:hAnsi="Times New Roman" w:cs="Times New Roman"/>
                <w:highlight w:val="none"/>
              </w:rPr>
              <w:t>12月16日</w:t>
            </w:r>
          </w:p>
        </w:tc>
      </w:tr>
      <w:tr w14:paraId="30AB9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restart"/>
            <w:vAlign w:val="center"/>
          </w:tcPr>
          <w:p w14:paraId="0808AF20">
            <w:pPr>
              <w:pStyle w:val="22"/>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1#取水口</w:t>
            </w:r>
            <w:r>
              <w:rPr>
                <w:rFonts w:hint="default" w:ascii="Times New Roman" w:hAnsi="Times New Roman" w:cs="Times New Roman"/>
                <w:highlight w:val="none"/>
              </w:rPr>
              <w:t>上游200m处</w:t>
            </w:r>
          </w:p>
        </w:tc>
        <w:tc>
          <w:tcPr>
            <w:tcW w:w="2078" w:type="dxa"/>
            <w:vAlign w:val="center"/>
          </w:tcPr>
          <w:p w14:paraId="45FFE1F4">
            <w:pPr>
              <w:pStyle w:val="22"/>
              <w:bidi w:val="0"/>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pH</w:t>
            </w:r>
          </w:p>
        </w:tc>
        <w:tc>
          <w:tcPr>
            <w:tcW w:w="1182" w:type="dxa"/>
            <w:vAlign w:val="center"/>
          </w:tcPr>
          <w:p w14:paraId="71F835C6">
            <w:pPr>
              <w:pStyle w:val="22"/>
              <w:bidi w:val="0"/>
              <w:rPr>
                <w:rFonts w:hint="default" w:ascii="Times New Roman" w:hAnsi="Times New Roman" w:cs="Times New Roman"/>
                <w:highlight w:val="none"/>
              </w:rPr>
            </w:pPr>
            <w:r>
              <w:rPr>
                <w:rFonts w:hint="default" w:ascii="Times New Roman" w:hAnsi="Times New Roman" w:cs="Times New Roman"/>
                <w:highlight w:val="none"/>
              </w:rPr>
              <w:t>无量纲</w:t>
            </w:r>
          </w:p>
        </w:tc>
        <w:tc>
          <w:tcPr>
            <w:tcW w:w="1833" w:type="dxa"/>
            <w:vAlign w:val="center"/>
          </w:tcPr>
          <w:p w14:paraId="0E6343F2">
            <w:pPr>
              <w:pStyle w:val="22"/>
              <w:bidi w:val="0"/>
              <w:rPr>
                <w:rFonts w:hint="default" w:ascii="Times New Roman" w:hAnsi="Times New Roman" w:cs="Times New Roman"/>
                <w:highlight w:val="none"/>
              </w:rPr>
            </w:pPr>
            <w:r>
              <w:rPr>
                <w:rFonts w:hint="default" w:ascii="Times New Roman" w:hAnsi="Times New Roman" w:cs="Times New Roman"/>
                <w:highlight w:val="none"/>
              </w:rPr>
              <w:t>7.8</w:t>
            </w:r>
          </w:p>
        </w:tc>
        <w:tc>
          <w:tcPr>
            <w:tcW w:w="1694" w:type="dxa"/>
            <w:vAlign w:val="center"/>
          </w:tcPr>
          <w:p w14:paraId="2C0E8C88">
            <w:pPr>
              <w:pStyle w:val="22"/>
              <w:bidi w:val="0"/>
              <w:rPr>
                <w:rFonts w:hint="default" w:ascii="Times New Roman" w:hAnsi="Times New Roman" w:cs="Times New Roman"/>
                <w:highlight w:val="none"/>
              </w:rPr>
            </w:pPr>
            <w:r>
              <w:rPr>
                <w:rFonts w:hint="default" w:ascii="Times New Roman" w:hAnsi="Times New Roman" w:cs="Times New Roman"/>
                <w:highlight w:val="none"/>
              </w:rPr>
              <w:t>7.4</w:t>
            </w:r>
          </w:p>
        </w:tc>
        <w:tc>
          <w:tcPr>
            <w:tcW w:w="1228" w:type="dxa"/>
            <w:vAlign w:val="center"/>
          </w:tcPr>
          <w:p w14:paraId="6F6D5FF2">
            <w:pPr>
              <w:pStyle w:val="22"/>
              <w:bidi w:val="0"/>
              <w:rPr>
                <w:rFonts w:hint="default" w:ascii="Times New Roman" w:hAnsi="Times New Roman" w:cs="Times New Roman"/>
                <w:highlight w:val="none"/>
              </w:rPr>
            </w:pPr>
            <w:r>
              <w:rPr>
                <w:rFonts w:hint="default" w:ascii="Times New Roman" w:hAnsi="Times New Roman" w:cs="Times New Roman"/>
                <w:highlight w:val="none"/>
              </w:rPr>
              <w:t>7.9</w:t>
            </w:r>
          </w:p>
        </w:tc>
      </w:tr>
      <w:tr w14:paraId="1DA0B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6651284C">
            <w:pPr>
              <w:pStyle w:val="22"/>
              <w:bidi w:val="0"/>
              <w:rPr>
                <w:rFonts w:hint="default" w:ascii="Times New Roman" w:hAnsi="Times New Roman" w:cs="Times New Roman"/>
                <w:highlight w:val="none"/>
              </w:rPr>
            </w:pPr>
          </w:p>
        </w:tc>
        <w:tc>
          <w:tcPr>
            <w:tcW w:w="2078" w:type="dxa"/>
            <w:vAlign w:val="center"/>
          </w:tcPr>
          <w:p w14:paraId="0BD87291">
            <w:pPr>
              <w:pStyle w:val="22"/>
              <w:bidi w:val="0"/>
              <w:rPr>
                <w:rFonts w:hint="default" w:ascii="Times New Roman" w:hAnsi="Times New Roman" w:cs="Times New Roman"/>
                <w:highlight w:val="none"/>
              </w:rPr>
            </w:pPr>
            <w:r>
              <w:rPr>
                <w:rFonts w:hint="default" w:ascii="Times New Roman" w:hAnsi="Times New Roman" w:cs="Times New Roman"/>
                <w:highlight w:val="none"/>
              </w:rPr>
              <w:t>溶解氧</w:t>
            </w:r>
          </w:p>
        </w:tc>
        <w:tc>
          <w:tcPr>
            <w:tcW w:w="1182" w:type="dxa"/>
            <w:vAlign w:val="center"/>
          </w:tcPr>
          <w:p w14:paraId="2D6D343E">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15FA8989">
            <w:pPr>
              <w:pStyle w:val="22"/>
              <w:bidi w:val="0"/>
              <w:rPr>
                <w:rFonts w:hint="default" w:ascii="Times New Roman" w:hAnsi="Times New Roman" w:cs="Times New Roman"/>
                <w:highlight w:val="none"/>
              </w:rPr>
            </w:pPr>
            <w:r>
              <w:rPr>
                <w:rFonts w:hint="default" w:ascii="Times New Roman" w:hAnsi="Times New Roman" w:cs="Times New Roman"/>
                <w:highlight w:val="none"/>
              </w:rPr>
              <w:t>6.1</w:t>
            </w:r>
          </w:p>
        </w:tc>
        <w:tc>
          <w:tcPr>
            <w:tcW w:w="1694" w:type="dxa"/>
            <w:vAlign w:val="center"/>
          </w:tcPr>
          <w:p w14:paraId="1B468DA0">
            <w:pPr>
              <w:pStyle w:val="22"/>
              <w:bidi w:val="0"/>
              <w:rPr>
                <w:rFonts w:hint="default" w:ascii="Times New Roman" w:hAnsi="Times New Roman" w:cs="Times New Roman"/>
                <w:highlight w:val="none"/>
              </w:rPr>
            </w:pPr>
            <w:r>
              <w:rPr>
                <w:rFonts w:hint="default" w:ascii="Times New Roman" w:hAnsi="Times New Roman" w:cs="Times New Roman"/>
                <w:highlight w:val="none"/>
              </w:rPr>
              <w:t>6.8</w:t>
            </w:r>
          </w:p>
        </w:tc>
        <w:tc>
          <w:tcPr>
            <w:tcW w:w="1228" w:type="dxa"/>
            <w:vAlign w:val="center"/>
          </w:tcPr>
          <w:p w14:paraId="353F280B">
            <w:pPr>
              <w:pStyle w:val="22"/>
              <w:bidi w:val="0"/>
              <w:rPr>
                <w:rFonts w:hint="default" w:ascii="Times New Roman" w:hAnsi="Times New Roman" w:cs="Times New Roman"/>
                <w:highlight w:val="none"/>
              </w:rPr>
            </w:pPr>
            <w:r>
              <w:rPr>
                <w:rFonts w:hint="default" w:ascii="Times New Roman" w:hAnsi="Times New Roman" w:cs="Times New Roman"/>
                <w:highlight w:val="none"/>
              </w:rPr>
              <w:t>6.2</w:t>
            </w:r>
          </w:p>
        </w:tc>
      </w:tr>
      <w:tr w14:paraId="449C1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7B872F70">
            <w:pPr>
              <w:pStyle w:val="22"/>
              <w:bidi w:val="0"/>
              <w:rPr>
                <w:rFonts w:hint="default" w:ascii="Times New Roman" w:hAnsi="Times New Roman" w:cs="Times New Roman"/>
                <w:highlight w:val="none"/>
              </w:rPr>
            </w:pPr>
          </w:p>
        </w:tc>
        <w:tc>
          <w:tcPr>
            <w:tcW w:w="2078" w:type="dxa"/>
            <w:vAlign w:val="center"/>
          </w:tcPr>
          <w:p w14:paraId="775A77FF">
            <w:pPr>
              <w:pStyle w:val="22"/>
              <w:bidi w:val="0"/>
              <w:rPr>
                <w:rFonts w:hint="default" w:ascii="Times New Roman" w:hAnsi="Times New Roman" w:cs="Times New Roman"/>
                <w:highlight w:val="none"/>
              </w:rPr>
            </w:pPr>
            <w:r>
              <w:rPr>
                <w:rFonts w:hint="default" w:ascii="Times New Roman" w:hAnsi="Times New Roman" w:cs="Times New Roman"/>
                <w:highlight w:val="none"/>
              </w:rPr>
              <w:t>水温</w:t>
            </w:r>
          </w:p>
        </w:tc>
        <w:tc>
          <w:tcPr>
            <w:tcW w:w="1182" w:type="dxa"/>
            <w:vAlign w:val="center"/>
          </w:tcPr>
          <w:p w14:paraId="64714E0D">
            <w:pPr>
              <w:pStyle w:val="22"/>
              <w:bidi w:val="0"/>
              <w:rPr>
                <w:rFonts w:hint="default" w:ascii="Times New Roman" w:hAnsi="Times New Roman" w:cs="Times New Roman"/>
                <w:highlight w:val="none"/>
              </w:rPr>
            </w:pPr>
            <w:r>
              <w:rPr>
                <w:rFonts w:hint="default" w:ascii="Times New Roman" w:hAnsi="Times New Roman" w:cs="Times New Roman"/>
                <w:highlight w:val="none"/>
              </w:rPr>
              <w:t>°C</w:t>
            </w:r>
          </w:p>
        </w:tc>
        <w:tc>
          <w:tcPr>
            <w:tcW w:w="1833" w:type="dxa"/>
            <w:vAlign w:val="center"/>
          </w:tcPr>
          <w:p w14:paraId="7392641D">
            <w:pPr>
              <w:pStyle w:val="22"/>
              <w:bidi w:val="0"/>
              <w:rPr>
                <w:rFonts w:hint="default" w:ascii="Times New Roman" w:hAnsi="Times New Roman" w:cs="Times New Roman"/>
                <w:highlight w:val="none"/>
              </w:rPr>
            </w:pPr>
            <w:r>
              <w:rPr>
                <w:rFonts w:hint="default" w:ascii="Times New Roman" w:hAnsi="Times New Roman" w:cs="Times New Roman"/>
                <w:highlight w:val="none"/>
              </w:rPr>
              <w:t>2.7</w:t>
            </w:r>
          </w:p>
        </w:tc>
        <w:tc>
          <w:tcPr>
            <w:tcW w:w="1694" w:type="dxa"/>
            <w:vAlign w:val="center"/>
          </w:tcPr>
          <w:p w14:paraId="06F29EC6">
            <w:pPr>
              <w:pStyle w:val="22"/>
              <w:bidi w:val="0"/>
              <w:rPr>
                <w:rFonts w:hint="default" w:ascii="Times New Roman" w:hAnsi="Times New Roman" w:cs="Times New Roman"/>
                <w:highlight w:val="none"/>
              </w:rPr>
            </w:pPr>
            <w:r>
              <w:rPr>
                <w:rFonts w:hint="default" w:ascii="Times New Roman" w:hAnsi="Times New Roman" w:cs="Times New Roman"/>
                <w:highlight w:val="none"/>
              </w:rPr>
              <w:t>3.6</w:t>
            </w:r>
          </w:p>
        </w:tc>
        <w:tc>
          <w:tcPr>
            <w:tcW w:w="1228" w:type="dxa"/>
            <w:vAlign w:val="center"/>
          </w:tcPr>
          <w:p w14:paraId="45431447">
            <w:pPr>
              <w:pStyle w:val="22"/>
              <w:bidi w:val="0"/>
              <w:rPr>
                <w:rFonts w:hint="default" w:ascii="Times New Roman" w:hAnsi="Times New Roman" w:cs="Times New Roman"/>
                <w:highlight w:val="none"/>
              </w:rPr>
            </w:pPr>
            <w:r>
              <w:rPr>
                <w:rFonts w:hint="default" w:ascii="Times New Roman" w:hAnsi="Times New Roman" w:cs="Times New Roman"/>
                <w:highlight w:val="none"/>
              </w:rPr>
              <w:t>2.9</w:t>
            </w:r>
          </w:p>
        </w:tc>
      </w:tr>
      <w:tr w14:paraId="19917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3C39DCDF">
            <w:pPr>
              <w:pStyle w:val="22"/>
              <w:bidi w:val="0"/>
              <w:rPr>
                <w:rFonts w:hint="default" w:ascii="Times New Roman" w:hAnsi="Times New Roman" w:cs="Times New Roman"/>
                <w:highlight w:val="none"/>
              </w:rPr>
            </w:pPr>
          </w:p>
        </w:tc>
        <w:tc>
          <w:tcPr>
            <w:tcW w:w="2078" w:type="dxa"/>
            <w:vAlign w:val="center"/>
          </w:tcPr>
          <w:p w14:paraId="5024597D">
            <w:pPr>
              <w:pStyle w:val="22"/>
              <w:bidi w:val="0"/>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1182" w:type="dxa"/>
            <w:vAlign w:val="center"/>
          </w:tcPr>
          <w:p w14:paraId="692A5664">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4B8E1D73">
            <w:pPr>
              <w:pStyle w:val="22"/>
              <w:bidi w:val="0"/>
              <w:rPr>
                <w:rFonts w:hint="default" w:ascii="Times New Roman" w:hAnsi="Times New Roman" w:cs="Times New Roman"/>
                <w:highlight w:val="none"/>
              </w:rPr>
            </w:pPr>
            <w:r>
              <w:rPr>
                <w:rFonts w:hint="default" w:ascii="Times New Roman" w:hAnsi="Times New Roman" w:cs="Times New Roman"/>
                <w:highlight w:val="none"/>
              </w:rPr>
              <w:t>10</w:t>
            </w:r>
          </w:p>
        </w:tc>
        <w:tc>
          <w:tcPr>
            <w:tcW w:w="1694" w:type="dxa"/>
            <w:vAlign w:val="center"/>
          </w:tcPr>
          <w:p w14:paraId="1F1CFD16">
            <w:pPr>
              <w:pStyle w:val="22"/>
              <w:bidi w:val="0"/>
              <w:rPr>
                <w:rFonts w:hint="default" w:ascii="Times New Roman" w:hAnsi="Times New Roman" w:cs="Times New Roman"/>
                <w:highlight w:val="none"/>
              </w:rPr>
            </w:pPr>
            <w:r>
              <w:rPr>
                <w:rFonts w:hint="default" w:ascii="Times New Roman" w:hAnsi="Times New Roman" w:cs="Times New Roman"/>
                <w:highlight w:val="none"/>
              </w:rPr>
              <w:t>9</w:t>
            </w:r>
          </w:p>
        </w:tc>
        <w:tc>
          <w:tcPr>
            <w:tcW w:w="1228" w:type="dxa"/>
            <w:vAlign w:val="center"/>
          </w:tcPr>
          <w:p w14:paraId="4A8D2A18">
            <w:pPr>
              <w:pStyle w:val="22"/>
              <w:bidi w:val="0"/>
              <w:rPr>
                <w:rFonts w:hint="default" w:ascii="Times New Roman" w:hAnsi="Times New Roman" w:cs="Times New Roman"/>
                <w:highlight w:val="none"/>
              </w:rPr>
            </w:pPr>
            <w:r>
              <w:rPr>
                <w:rFonts w:hint="default" w:ascii="Times New Roman" w:hAnsi="Times New Roman" w:cs="Times New Roman"/>
                <w:highlight w:val="none"/>
              </w:rPr>
              <w:t>8</w:t>
            </w:r>
          </w:p>
        </w:tc>
      </w:tr>
      <w:tr w14:paraId="3CEF9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C80D689">
            <w:pPr>
              <w:pStyle w:val="22"/>
              <w:bidi w:val="0"/>
              <w:rPr>
                <w:rFonts w:hint="default" w:ascii="Times New Roman" w:hAnsi="Times New Roman" w:cs="Times New Roman"/>
                <w:highlight w:val="none"/>
              </w:rPr>
            </w:pPr>
          </w:p>
        </w:tc>
        <w:tc>
          <w:tcPr>
            <w:tcW w:w="2078" w:type="dxa"/>
            <w:vAlign w:val="center"/>
          </w:tcPr>
          <w:p w14:paraId="518B1D50">
            <w:pPr>
              <w:pStyle w:val="22"/>
              <w:bidi w:val="0"/>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1182" w:type="dxa"/>
            <w:vAlign w:val="center"/>
          </w:tcPr>
          <w:p w14:paraId="63782FB4">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6A913934">
            <w:pPr>
              <w:pStyle w:val="22"/>
              <w:bidi w:val="0"/>
              <w:rPr>
                <w:rFonts w:hint="default" w:ascii="Times New Roman" w:hAnsi="Times New Roman" w:cs="Times New Roman"/>
                <w:highlight w:val="none"/>
              </w:rPr>
            </w:pPr>
            <w:r>
              <w:rPr>
                <w:rFonts w:hint="default" w:ascii="Times New Roman" w:hAnsi="Times New Roman" w:cs="Times New Roman"/>
                <w:highlight w:val="none"/>
              </w:rPr>
              <w:t>1.1</w:t>
            </w:r>
          </w:p>
        </w:tc>
        <w:tc>
          <w:tcPr>
            <w:tcW w:w="1694" w:type="dxa"/>
            <w:vAlign w:val="center"/>
          </w:tcPr>
          <w:p w14:paraId="4EF6AFF3">
            <w:pPr>
              <w:pStyle w:val="22"/>
              <w:bidi w:val="0"/>
              <w:rPr>
                <w:rFonts w:hint="default" w:ascii="Times New Roman" w:hAnsi="Times New Roman" w:cs="Times New Roman"/>
                <w:highlight w:val="none"/>
              </w:rPr>
            </w:pPr>
            <w:r>
              <w:rPr>
                <w:rFonts w:hint="default" w:ascii="Times New Roman" w:hAnsi="Times New Roman" w:cs="Times New Roman"/>
                <w:highlight w:val="none"/>
              </w:rPr>
              <w:t>1.2</w:t>
            </w:r>
          </w:p>
        </w:tc>
        <w:tc>
          <w:tcPr>
            <w:tcW w:w="1228" w:type="dxa"/>
            <w:vAlign w:val="center"/>
          </w:tcPr>
          <w:p w14:paraId="46B6EFFF">
            <w:pPr>
              <w:pStyle w:val="22"/>
              <w:bidi w:val="0"/>
              <w:rPr>
                <w:rFonts w:hint="default" w:ascii="Times New Roman" w:hAnsi="Times New Roman" w:cs="Times New Roman"/>
                <w:highlight w:val="none"/>
              </w:rPr>
            </w:pPr>
            <w:r>
              <w:rPr>
                <w:rFonts w:hint="default" w:ascii="Times New Roman" w:hAnsi="Times New Roman" w:cs="Times New Roman"/>
                <w:highlight w:val="none"/>
              </w:rPr>
              <w:t>1.0</w:t>
            </w:r>
          </w:p>
        </w:tc>
      </w:tr>
      <w:tr w14:paraId="04BF0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46243CAB">
            <w:pPr>
              <w:pStyle w:val="22"/>
              <w:bidi w:val="0"/>
              <w:rPr>
                <w:rFonts w:hint="default" w:ascii="Times New Roman" w:hAnsi="Times New Roman" w:cs="Times New Roman"/>
                <w:highlight w:val="none"/>
              </w:rPr>
            </w:pPr>
          </w:p>
        </w:tc>
        <w:tc>
          <w:tcPr>
            <w:tcW w:w="2078" w:type="dxa"/>
            <w:vAlign w:val="center"/>
          </w:tcPr>
          <w:p w14:paraId="28031A1A">
            <w:pPr>
              <w:pStyle w:val="22"/>
              <w:bidi w:val="0"/>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1182" w:type="dxa"/>
            <w:vAlign w:val="center"/>
          </w:tcPr>
          <w:p w14:paraId="2E4BA7FC">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0ED11B50">
            <w:pPr>
              <w:pStyle w:val="22"/>
              <w:bidi w:val="0"/>
              <w:rPr>
                <w:rFonts w:hint="default" w:ascii="Times New Roman" w:hAnsi="Times New Roman" w:cs="Times New Roman"/>
                <w:highlight w:val="none"/>
              </w:rPr>
            </w:pPr>
            <w:r>
              <w:rPr>
                <w:rFonts w:hint="default" w:ascii="Times New Roman" w:hAnsi="Times New Roman" w:cs="Times New Roman"/>
                <w:highlight w:val="none"/>
              </w:rPr>
              <w:t>2.6</w:t>
            </w:r>
          </w:p>
        </w:tc>
        <w:tc>
          <w:tcPr>
            <w:tcW w:w="1694" w:type="dxa"/>
            <w:vAlign w:val="center"/>
          </w:tcPr>
          <w:p w14:paraId="327C0CE6">
            <w:pPr>
              <w:pStyle w:val="22"/>
              <w:bidi w:val="0"/>
              <w:rPr>
                <w:rFonts w:hint="default" w:ascii="Times New Roman" w:hAnsi="Times New Roman" w:cs="Times New Roman"/>
                <w:highlight w:val="none"/>
              </w:rPr>
            </w:pPr>
            <w:r>
              <w:rPr>
                <w:rFonts w:hint="default" w:ascii="Times New Roman" w:hAnsi="Times New Roman" w:cs="Times New Roman"/>
                <w:highlight w:val="none"/>
              </w:rPr>
              <w:t>2.4</w:t>
            </w:r>
          </w:p>
        </w:tc>
        <w:tc>
          <w:tcPr>
            <w:tcW w:w="1228" w:type="dxa"/>
            <w:vAlign w:val="center"/>
          </w:tcPr>
          <w:p w14:paraId="62F00945">
            <w:pPr>
              <w:pStyle w:val="22"/>
              <w:bidi w:val="0"/>
              <w:rPr>
                <w:rFonts w:hint="default" w:ascii="Times New Roman" w:hAnsi="Times New Roman" w:cs="Times New Roman"/>
                <w:highlight w:val="none"/>
              </w:rPr>
            </w:pPr>
            <w:r>
              <w:rPr>
                <w:rFonts w:hint="default" w:ascii="Times New Roman" w:hAnsi="Times New Roman" w:cs="Times New Roman"/>
                <w:highlight w:val="none"/>
              </w:rPr>
              <w:t>2.3</w:t>
            </w:r>
          </w:p>
        </w:tc>
      </w:tr>
      <w:tr w14:paraId="4E2C6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1B7C39E2">
            <w:pPr>
              <w:pStyle w:val="22"/>
              <w:bidi w:val="0"/>
              <w:rPr>
                <w:rFonts w:hint="default" w:ascii="Times New Roman" w:hAnsi="Times New Roman" w:cs="Times New Roman"/>
                <w:highlight w:val="none"/>
              </w:rPr>
            </w:pPr>
          </w:p>
        </w:tc>
        <w:tc>
          <w:tcPr>
            <w:tcW w:w="2078" w:type="dxa"/>
            <w:vAlign w:val="center"/>
          </w:tcPr>
          <w:p w14:paraId="143C3DFF">
            <w:pPr>
              <w:pStyle w:val="22"/>
              <w:bidi w:val="0"/>
              <w:rPr>
                <w:rFonts w:hint="default" w:ascii="Times New Roman" w:hAnsi="Times New Roman" w:cs="Times New Roman"/>
                <w:highlight w:val="none"/>
              </w:rPr>
            </w:pPr>
            <w:r>
              <w:rPr>
                <w:rFonts w:hint="default" w:ascii="Times New Roman" w:hAnsi="Times New Roman" w:cs="Times New Roman"/>
                <w:highlight w:val="none"/>
              </w:rPr>
              <w:t>氨氮</w:t>
            </w:r>
          </w:p>
        </w:tc>
        <w:tc>
          <w:tcPr>
            <w:tcW w:w="1182" w:type="dxa"/>
            <w:vAlign w:val="center"/>
          </w:tcPr>
          <w:p w14:paraId="433B74F2">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3E6406B6">
            <w:pPr>
              <w:pStyle w:val="22"/>
              <w:bidi w:val="0"/>
              <w:rPr>
                <w:rFonts w:hint="default" w:ascii="Times New Roman" w:hAnsi="Times New Roman" w:cs="Times New Roman"/>
                <w:highlight w:val="none"/>
              </w:rPr>
            </w:pPr>
            <w:r>
              <w:rPr>
                <w:rFonts w:hint="default" w:ascii="Times New Roman" w:hAnsi="Times New Roman" w:cs="Times New Roman"/>
                <w:highlight w:val="none"/>
              </w:rPr>
              <w:t>0.094</w:t>
            </w:r>
          </w:p>
        </w:tc>
        <w:tc>
          <w:tcPr>
            <w:tcW w:w="1694" w:type="dxa"/>
            <w:vAlign w:val="center"/>
          </w:tcPr>
          <w:p w14:paraId="7A4A0507">
            <w:pPr>
              <w:pStyle w:val="22"/>
              <w:bidi w:val="0"/>
              <w:rPr>
                <w:rFonts w:hint="default" w:ascii="Times New Roman" w:hAnsi="Times New Roman" w:cs="Times New Roman"/>
                <w:highlight w:val="none"/>
              </w:rPr>
            </w:pPr>
            <w:r>
              <w:rPr>
                <w:rFonts w:hint="default" w:ascii="Times New Roman" w:hAnsi="Times New Roman" w:cs="Times New Roman"/>
                <w:highlight w:val="none"/>
              </w:rPr>
              <w:t>0.077</w:t>
            </w:r>
          </w:p>
        </w:tc>
        <w:tc>
          <w:tcPr>
            <w:tcW w:w="1228" w:type="dxa"/>
            <w:vAlign w:val="center"/>
          </w:tcPr>
          <w:p w14:paraId="73CD439E">
            <w:pPr>
              <w:pStyle w:val="22"/>
              <w:bidi w:val="0"/>
              <w:rPr>
                <w:rFonts w:hint="default" w:ascii="Times New Roman" w:hAnsi="Times New Roman" w:cs="Times New Roman"/>
                <w:highlight w:val="none"/>
              </w:rPr>
            </w:pPr>
            <w:r>
              <w:rPr>
                <w:rFonts w:hint="default" w:ascii="Times New Roman" w:hAnsi="Times New Roman" w:cs="Times New Roman"/>
                <w:highlight w:val="none"/>
              </w:rPr>
              <w:t>0.110</w:t>
            </w:r>
          </w:p>
        </w:tc>
      </w:tr>
      <w:tr w14:paraId="3E305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783D1518">
            <w:pPr>
              <w:pStyle w:val="22"/>
              <w:bidi w:val="0"/>
              <w:rPr>
                <w:rFonts w:hint="default" w:ascii="Times New Roman" w:hAnsi="Times New Roman" w:cs="Times New Roman"/>
                <w:highlight w:val="none"/>
              </w:rPr>
            </w:pPr>
          </w:p>
        </w:tc>
        <w:tc>
          <w:tcPr>
            <w:tcW w:w="2078" w:type="dxa"/>
            <w:vAlign w:val="center"/>
          </w:tcPr>
          <w:p w14:paraId="2A0EA57C">
            <w:pPr>
              <w:pStyle w:val="22"/>
              <w:bidi w:val="0"/>
              <w:rPr>
                <w:rFonts w:hint="default" w:ascii="Times New Roman" w:hAnsi="Times New Roman" w:cs="Times New Roman"/>
                <w:highlight w:val="none"/>
              </w:rPr>
            </w:pPr>
            <w:r>
              <w:rPr>
                <w:rFonts w:hint="default" w:ascii="Times New Roman" w:hAnsi="Times New Roman" w:cs="Times New Roman"/>
                <w:highlight w:val="none"/>
              </w:rPr>
              <w:t>总磷</w:t>
            </w:r>
          </w:p>
        </w:tc>
        <w:tc>
          <w:tcPr>
            <w:tcW w:w="1182" w:type="dxa"/>
            <w:vAlign w:val="center"/>
          </w:tcPr>
          <w:p w14:paraId="7882B35E">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1FAF8907">
            <w:pPr>
              <w:pStyle w:val="22"/>
              <w:bidi w:val="0"/>
              <w:rPr>
                <w:rFonts w:hint="default" w:ascii="Times New Roman" w:hAnsi="Times New Roman" w:cs="Times New Roman"/>
                <w:highlight w:val="none"/>
              </w:rPr>
            </w:pPr>
            <w:r>
              <w:rPr>
                <w:rFonts w:hint="default" w:ascii="Times New Roman" w:hAnsi="Times New Roman" w:cs="Times New Roman"/>
                <w:highlight w:val="none"/>
              </w:rPr>
              <w:t>0.02</w:t>
            </w:r>
          </w:p>
        </w:tc>
        <w:tc>
          <w:tcPr>
            <w:tcW w:w="1694" w:type="dxa"/>
            <w:vAlign w:val="center"/>
          </w:tcPr>
          <w:p w14:paraId="1B8DE781">
            <w:pPr>
              <w:pStyle w:val="22"/>
              <w:bidi w:val="0"/>
              <w:rPr>
                <w:rFonts w:hint="default" w:ascii="Times New Roman" w:hAnsi="Times New Roman" w:cs="Times New Roman"/>
                <w:highlight w:val="none"/>
              </w:rPr>
            </w:pPr>
            <w:r>
              <w:rPr>
                <w:rFonts w:hint="default" w:ascii="Times New Roman" w:hAnsi="Times New Roman" w:cs="Times New Roman"/>
                <w:highlight w:val="none"/>
              </w:rPr>
              <w:t>0.02</w:t>
            </w:r>
          </w:p>
        </w:tc>
        <w:tc>
          <w:tcPr>
            <w:tcW w:w="1228" w:type="dxa"/>
            <w:vAlign w:val="center"/>
          </w:tcPr>
          <w:p w14:paraId="3D3490E7">
            <w:pPr>
              <w:pStyle w:val="22"/>
              <w:bidi w:val="0"/>
              <w:rPr>
                <w:rFonts w:hint="default" w:ascii="Times New Roman" w:hAnsi="Times New Roman" w:cs="Times New Roman"/>
                <w:highlight w:val="none"/>
              </w:rPr>
            </w:pPr>
            <w:r>
              <w:rPr>
                <w:rFonts w:hint="default" w:ascii="Times New Roman" w:hAnsi="Times New Roman" w:cs="Times New Roman"/>
                <w:highlight w:val="none"/>
              </w:rPr>
              <w:t>0.01</w:t>
            </w:r>
          </w:p>
        </w:tc>
      </w:tr>
      <w:tr w14:paraId="0BBB8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8D118E1">
            <w:pPr>
              <w:pStyle w:val="22"/>
              <w:bidi w:val="0"/>
              <w:rPr>
                <w:rFonts w:hint="default" w:ascii="Times New Roman" w:hAnsi="Times New Roman" w:cs="Times New Roman"/>
                <w:highlight w:val="none"/>
              </w:rPr>
            </w:pPr>
          </w:p>
        </w:tc>
        <w:tc>
          <w:tcPr>
            <w:tcW w:w="2078" w:type="dxa"/>
            <w:vAlign w:val="center"/>
          </w:tcPr>
          <w:p w14:paraId="4B7425DC">
            <w:pPr>
              <w:pStyle w:val="22"/>
              <w:bidi w:val="0"/>
              <w:rPr>
                <w:rFonts w:hint="default" w:ascii="Times New Roman" w:hAnsi="Times New Roman" w:cs="Times New Roman"/>
                <w:highlight w:val="none"/>
              </w:rPr>
            </w:pPr>
            <w:r>
              <w:rPr>
                <w:rFonts w:hint="default" w:ascii="Times New Roman" w:hAnsi="Times New Roman" w:cs="Times New Roman"/>
                <w:highlight w:val="none"/>
              </w:rPr>
              <w:t>总氮</w:t>
            </w:r>
          </w:p>
        </w:tc>
        <w:tc>
          <w:tcPr>
            <w:tcW w:w="1182" w:type="dxa"/>
            <w:vAlign w:val="center"/>
          </w:tcPr>
          <w:p w14:paraId="63471CFA">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707FA2C5">
            <w:pPr>
              <w:pStyle w:val="22"/>
              <w:bidi w:val="0"/>
              <w:rPr>
                <w:rFonts w:hint="default" w:ascii="Times New Roman" w:hAnsi="Times New Roman" w:cs="Times New Roman"/>
                <w:highlight w:val="none"/>
              </w:rPr>
            </w:pPr>
            <w:r>
              <w:rPr>
                <w:rFonts w:hint="default" w:ascii="Times New Roman" w:hAnsi="Times New Roman" w:cs="Times New Roman"/>
                <w:highlight w:val="none"/>
              </w:rPr>
              <w:t>0.37</w:t>
            </w:r>
          </w:p>
        </w:tc>
        <w:tc>
          <w:tcPr>
            <w:tcW w:w="1694" w:type="dxa"/>
            <w:vAlign w:val="center"/>
          </w:tcPr>
          <w:p w14:paraId="40FFE46E">
            <w:pPr>
              <w:pStyle w:val="22"/>
              <w:bidi w:val="0"/>
              <w:rPr>
                <w:rFonts w:hint="default" w:ascii="Times New Roman" w:hAnsi="Times New Roman" w:cs="Times New Roman"/>
                <w:highlight w:val="none"/>
              </w:rPr>
            </w:pPr>
            <w:r>
              <w:rPr>
                <w:rFonts w:hint="default" w:ascii="Times New Roman" w:hAnsi="Times New Roman" w:cs="Times New Roman"/>
                <w:highlight w:val="none"/>
              </w:rPr>
              <w:t>0.45</w:t>
            </w:r>
          </w:p>
        </w:tc>
        <w:tc>
          <w:tcPr>
            <w:tcW w:w="1228" w:type="dxa"/>
            <w:vAlign w:val="center"/>
          </w:tcPr>
          <w:p w14:paraId="24C020E7">
            <w:pPr>
              <w:pStyle w:val="22"/>
              <w:bidi w:val="0"/>
              <w:rPr>
                <w:rFonts w:hint="default" w:ascii="Times New Roman" w:hAnsi="Times New Roman" w:cs="Times New Roman"/>
                <w:highlight w:val="none"/>
              </w:rPr>
            </w:pPr>
            <w:r>
              <w:rPr>
                <w:rFonts w:hint="default" w:ascii="Times New Roman" w:hAnsi="Times New Roman" w:cs="Times New Roman"/>
                <w:highlight w:val="none"/>
              </w:rPr>
              <w:t>0.43</w:t>
            </w:r>
          </w:p>
        </w:tc>
      </w:tr>
      <w:tr w14:paraId="3A664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4DFB89E">
            <w:pPr>
              <w:pStyle w:val="22"/>
              <w:bidi w:val="0"/>
              <w:rPr>
                <w:rFonts w:hint="default" w:ascii="Times New Roman" w:hAnsi="Times New Roman" w:cs="Times New Roman"/>
                <w:highlight w:val="none"/>
              </w:rPr>
            </w:pPr>
          </w:p>
        </w:tc>
        <w:tc>
          <w:tcPr>
            <w:tcW w:w="2078" w:type="dxa"/>
            <w:vAlign w:val="center"/>
          </w:tcPr>
          <w:p w14:paraId="1018191F">
            <w:pPr>
              <w:pStyle w:val="22"/>
              <w:bidi w:val="0"/>
              <w:rPr>
                <w:rFonts w:hint="default" w:ascii="Times New Roman" w:hAnsi="Times New Roman" w:cs="Times New Roman"/>
                <w:highlight w:val="none"/>
              </w:rPr>
            </w:pPr>
            <w:r>
              <w:rPr>
                <w:rFonts w:hint="default" w:ascii="Times New Roman" w:hAnsi="Times New Roman" w:cs="Times New Roman"/>
                <w:highlight w:val="none"/>
              </w:rPr>
              <w:t>挥发酚</w:t>
            </w:r>
          </w:p>
        </w:tc>
        <w:tc>
          <w:tcPr>
            <w:tcW w:w="1182" w:type="dxa"/>
            <w:vAlign w:val="center"/>
          </w:tcPr>
          <w:p w14:paraId="09D0484A">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32C06A8C">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3716A46E">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128B84CF">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0E053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4ABF5BC0">
            <w:pPr>
              <w:pStyle w:val="22"/>
              <w:bidi w:val="0"/>
              <w:rPr>
                <w:rFonts w:hint="default" w:ascii="Times New Roman" w:hAnsi="Times New Roman" w:cs="Times New Roman"/>
                <w:highlight w:val="none"/>
              </w:rPr>
            </w:pPr>
          </w:p>
        </w:tc>
        <w:tc>
          <w:tcPr>
            <w:tcW w:w="2078" w:type="dxa"/>
            <w:vAlign w:val="center"/>
          </w:tcPr>
          <w:p w14:paraId="523E69D1">
            <w:pPr>
              <w:pStyle w:val="22"/>
              <w:bidi w:val="0"/>
              <w:rPr>
                <w:rFonts w:hint="default" w:ascii="Times New Roman" w:hAnsi="Times New Roman" w:cs="Times New Roman"/>
                <w:highlight w:val="none"/>
              </w:rPr>
            </w:pPr>
            <w:r>
              <w:rPr>
                <w:rFonts w:hint="default" w:ascii="Times New Roman" w:hAnsi="Times New Roman" w:cs="Times New Roman"/>
                <w:highlight w:val="none"/>
              </w:rPr>
              <w:t>氰化物</w:t>
            </w:r>
          </w:p>
        </w:tc>
        <w:tc>
          <w:tcPr>
            <w:tcW w:w="1182" w:type="dxa"/>
            <w:vAlign w:val="center"/>
          </w:tcPr>
          <w:p w14:paraId="1EF8A66B">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048BF8AF">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5A5BCA0F">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2A51842C">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7881F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21F86C07">
            <w:pPr>
              <w:pStyle w:val="22"/>
              <w:bidi w:val="0"/>
              <w:rPr>
                <w:rFonts w:hint="default" w:ascii="Times New Roman" w:hAnsi="Times New Roman" w:cs="Times New Roman"/>
                <w:highlight w:val="none"/>
              </w:rPr>
            </w:pPr>
          </w:p>
        </w:tc>
        <w:tc>
          <w:tcPr>
            <w:tcW w:w="2078" w:type="dxa"/>
            <w:vAlign w:val="center"/>
          </w:tcPr>
          <w:p w14:paraId="2F3BF8DE">
            <w:pPr>
              <w:pStyle w:val="22"/>
              <w:bidi w:val="0"/>
              <w:rPr>
                <w:rFonts w:hint="default" w:ascii="Times New Roman" w:hAnsi="Times New Roman" w:cs="Times New Roman"/>
                <w:highlight w:val="none"/>
              </w:rPr>
            </w:pPr>
            <w:r>
              <w:rPr>
                <w:rFonts w:hint="default" w:ascii="Times New Roman" w:hAnsi="Times New Roman" w:cs="Times New Roman"/>
                <w:highlight w:val="none"/>
              </w:rPr>
              <w:t>阴离子表面活性剂</w:t>
            </w:r>
          </w:p>
        </w:tc>
        <w:tc>
          <w:tcPr>
            <w:tcW w:w="1182" w:type="dxa"/>
            <w:vAlign w:val="center"/>
          </w:tcPr>
          <w:p w14:paraId="1634EA49">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38CD3703">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0F231A43">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5C0D2B66">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20039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308A7509">
            <w:pPr>
              <w:pStyle w:val="22"/>
              <w:bidi w:val="0"/>
              <w:rPr>
                <w:rFonts w:hint="default" w:ascii="Times New Roman" w:hAnsi="Times New Roman" w:cs="Times New Roman"/>
                <w:highlight w:val="none"/>
              </w:rPr>
            </w:pPr>
          </w:p>
        </w:tc>
        <w:tc>
          <w:tcPr>
            <w:tcW w:w="2078" w:type="dxa"/>
            <w:vAlign w:val="center"/>
          </w:tcPr>
          <w:p w14:paraId="6D9498BB">
            <w:pPr>
              <w:pStyle w:val="22"/>
              <w:bidi w:val="0"/>
              <w:rPr>
                <w:rFonts w:hint="default" w:ascii="Times New Roman" w:hAnsi="Times New Roman" w:cs="Times New Roman"/>
                <w:highlight w:val="none"/>
              </w:rPr>
            </w:pPr>
            <w:r>
              <w:rPr>
                <w:rFonts w:hint="default" w:ascii="Times New Roman" w:hAnsi="Times New Roman" w:cs="Times New Roman"/>
                <w:highlight w:val="none"/>
              </w:rPr>
              <w:t>石油类</w:t>
            </w:r>
          </w:p>
        </w:tc>
        <w:tc>
          <w:tcPr>
            <w:tcW w:w="1182" w:type="dxa"/>
            <w:vAlign w:val="center"/>
          </w:tcPr>
          <w:p w14:paraId="48C44D70">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4D97D027">
            <w:pPr>
              <w:pStyle w:val="22"/>
              <w:bidi w:val="0"/>
              <w:rPr>
                <w:rFonts w:hint="default" w:ascii="Times New Roman" w:hAnsi="Times New Roman" w:cs="Times New Roman"/>
                <w:highlight w:val="none"/>
              </w:rPr>
            </w:pPr>
            <w:r>
              <w:rPr>
                <w:rFonts w:hint="default" w:ascii="Times New Roman" w:hAnsi="Times New Roman" w:cs="Times New Roman"/>
                <w:highlight w:val="none"/>
              </w:rPr>
              <w:t>0.01</w:t>
            </w:r>
          </w:p>
        </w:tc>
        <w:tc>
          <w:tcPr>
            <w:tcW w:w="1694" w:type="dxa"/>
            <w:vAlign w:val="center"/>
          </w:tcPr>
          <w:p w14:paraId="3513F214">
            <w:pPr>
              <w:pStyle w:val="22"/>
              <w:bidi w:val="0"/>
              <w:rPr>
                <w:rFonts w:hint="default" w:ascii="Times New Roman" w:hAnsi="Times New Roman" w:cs="Times New Roman"/>
                <w:highlight w:val="none"/>
              </w:rPr>
            </w:pPr>
            <w:r>
              <w:rPr>
                <w:rFonts w:hint="default" w:ascii="Times New Roman" w:hAnsi="Times New Roman" w:cs="Times New Roman"/>
                <w:highlight w:val="none"/>
              </w:rPr>
              <w:t>0.01</w:t>
            </w:r>
          </w:p>
        </w:tc>
        <w:tc>
          <w:tcPr>
            <w:tcW w:w="1228" w:type="dxa"/>
            <w:vAlign w:val="center"/>
          </w:tcPr>
          <w:p w14:paraId="3ECF96FB">
            <w:pPr>
              <w:pStyle w:val="22"/>
              <w:bidi w:val="0"/>
              <w:rPr>
                <w:rFonts w:hint="default" w:ascii="Times New Roman" w:hAnsi="Times New Roman" w:cs="Times New Roman"/>
                <w:highlight w:val="none"/>
              </w:rPr>
            </w:pPr>
            <w:r>
              <w:rPr>
                <w:rFonts w:hint="default" w:ascii="Times New Roman" w:hAnsi="Times New Roman" w:cs="Times New Roman"/>
                <w:highlight w:val="none"/>
              </w:rPr>
              <w:t>0.01</w:t>
            </w:r>
          </w:p>
        </w:tc>
      </w:tr>
      <w:tr w14:paraId="5D769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E368562">
            <w:pPr>
              <w:pStyle w:val="22"/>
              <w:bidi w:val="0"/>
              <w:rPr>
                <w:rFonts w:hint="default" w:ascii="Times New Roman" w:hAnsi="Times New Roman" w:cs="Times New Roman"/>
                <w:highlight w:val="none"/>
              </w:rPr>
            </w:pPr>
          </w:p>
        </w:tc>
        <w:tc>
          <w:tcPr>
            <w:tcW w:w="2078" w:type="dxa"/>
            <w:vAlign w:val="center"/>
          </w:tcPr>
          <w:p w14:paraId="2FFD0531">
            <w:pPr>
              <w:pStyle w:val="22"/>
              <w:bidi w:val="0"/>
              <w:rPr>
                <w:rFonts w:hint="default" w:ascii="Times New Roman" w:hAnsi="Times New Roman" w:cs="Times New Roman"/>
                <w:highlight w:val="none"/>
              </w:rPr>
            </w:pPr>
            <w:r>
              <w:rPr>
                <w:rFonts w:hint="default" w:ascii="Times New Roman" w:hAnsi="Times New Roman" w:cs="Times New Roman"/>
                <w:highlight w:val="none"/>
              </w:rPr>
              <w:t>六价铬</w:t>
            </w:r>
          </w:p>
        </w:tc>
        <w:tc>
          <w:tcPr>
            <w:tcW w:w="1182" w:type="dxa"/>
            <w:vAlign w:val="center"/>
          </w:tcPr>
          <w:p w14:paraId="55D32B10">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64E9C753">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636EA959">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3A2D92A1">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2E430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6FC128AF">
            <w:pPr>
              <w:pStyle w:val="22"/>
              <w:bidi w:val="0"/>
              <w:rPr>
                <w:rFonts w:hint="default" w:ascii="Times New Roman" w:hAnsi="Times New Roman" w:cs="Times New Roman"/>
                <w:highlight w:val="none"/>
              </w:rPr>
            </w:pPr>
          </w:p>
        </w:tc>
        <w:tc>
          <w:tcPr>
            <w:tcW w:w="2078" w:type="dxa"/>
            <w:vAlign w:val="center"/>
          </w:tcPr>
          <w:p w14:paraId="5DA45360">
            <w:pPr>
              <w:pStyle w:val="22"/>
              <w:bidi w:val="0"/>
              <w:rPr>
                <w:rFonts w:hint="default" w:ascii="Times New Roman" w:hAnsi="Times New Roman" w:cs="Times New Roman"/>
                <w:highlight w:val="none"/>
              </w:rPr>
            </w:pPr>
            <w:r>
              <w:rPr>
                <w:rFonts w:hint="default" w:ascii="Times New Roman" w:hAnsi="Times New Roman" w:cs="Times New Roman"/>
                <w:highlight w:val="none"/>
              </w:rPr>
              <w:t>硫化物</w:t>
            </w:r>
          </w:p>
        </w:tc>
        <w:tc>
          <w:tcPr>
            <w:tcW w:w="1182" w:type="dxa"/>
            <w:vAlign w:val="center"/>
          </w:tcPr>
          <w:p w14:paraId="159233A2">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172884C0">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0B81C062">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70C22A0A">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113B3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2ABDA963">
            <w:pPr>
              <w:pStyle w:val="22"/>
              <w:bidi w:val="0"/>
              <w:rPr>
                <w:rFonts w:hint="default" w:ascii="Times New Roman" w:hAnsi="Times New Roman" w:cs="Times New Roman"/>
                <w:highlight w:val="none"/>
              </w:rPr>
            </w:pPr>
          </w:p>
        </w:tc>
        <w:tc>
          <w:tcPr>
            <w:tcW w:w="2078" w:type="dxa"/>
            <w:vAlign w:val="center"/>
          </w:tcPr>
          <w:p w14:paraId="1F3250FD">
            <w:pPr>
              <w:pStyle w:val="22"/>
              <w:bidi w:val="0"/>
              <w:rPr>
                <w:rFonts w:hint="default" w:ascii="Times New Roman" w:hAnsi="Times New Roman" w:cs="Times New Roman"/>
                <w:highlight w:val="none"/>
              </w:rPr>
            </w:pPr>
            <w:r>
              <w:rPr>
                <w:rFonts w:hint="default" w:ascii="Times New Roman" w:hAnsi="Times New Roman" w:cs="Times New Roman"/>
                <w:highlight w:val="none"/>
              </w:rPr>
              <w:t>叶绿素a</w:t>
            </w:r>
          </w:p>
        </w:tc>
        <w:tc>
          <w:tcPr>
            <w:tcW w:w="1182" w:type="dxa"/>
            <w:vAlign w:val="center"/>
          </w:tcPr>
          <w:p w14:paraId="3C56BCB2">
            <w:pPr>
              <w:pStyle w:val="22"/>
              <w:bidi w:val="0"/>
              <w:rPr>
                <w:rFonts w:hint="default" w:ascii="Times New Roman" w:hAnsi="Times New Roman" w:cs="Times New Roman"/>
                <w:highlight w:val="none"/>
              </w:rPr>
            </w:pPr>
            <w:r>
              <w:rPr>
                <w:rFonts w:hint="default" w:ascii="Times New Roman" w:hAnsi="Times New Roman" w:cs="Times New Roman"/>
                <w:highlight w:val="none"/>
              </w:rPr>
              <w:t>μg/L</w:t>
            </w:r>
          </w:p>
        </w:tc>
        <w:tc>
          <w:tcPr>
            <w:tcW w:w="1833" w:type="dxa"/>
            <w:vAlign w:val="center"/>
          </w:tcPr>
          <w:p w14:paraId="66670039">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5E046598">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3599DC6B">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43E52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3D3A0223">
            <w:pPr>
              <w:pStyle w:val="22"/>
              <w:bidi w:val="0"/>
              <w:rPr>
                <w:rFonts w:hint="default" w:ascii="Times New Roman" w:hAnsi="Times New Roman" w:cs="Times New Roman"/>
                <w:highlight w:val="none"/>
              </w:rPr>
            </w:pPr>
          </w:p>
        </w:tc>
        <w:tc>
          <w:tcPr>
            <w:tcW w:w="2078" w:type="dxa"/>
            <w:vAlign w:val="center"/>
          </w:tcPr>
          <w:p w14:paraId="4BE4F4E2">
            <w:pPr>
              <w:pStyle w:val="22"/>
              <w:bidi w:val="0"/>
              <w:rPr>
                <w:rFonts w:hint="default" w:ascii="Times New Roman" w:hAnsi="Times New Roman" w:cs="Times New Roman"/>
                <w:highlight w:val="none"/>
              </w:rPr>
            </w:pPr>
            <w:r>
              <w:rPr>
                <w:rFonts w:hint="default" w:ascii="Times New Roman" w:hAnsi="Times New Roman" w:cs="Times New Roman"/>
                <w:highlight w:val="none"/>
              </w:rPr>
              <w:t>氟化物</w:t>
            </w:r>
          </w:p>
        </w:tc>
        <w:tc>
          <w:tcPr>
            <w:tcW w:w="1182" w:type="dxa"/>
            <w:vAlign w:val="center"/>
          </w:tcPr>
          <w:p w14:paraId="09BBD30C">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68A5F449">
            <w:pPr>
              <w:pStyle w:val="22"/>
              <w:bidi w:val="0"/>
              <w:rPr>
                <w:rFonts w:hint="default" w:ascii="Times New Roman" w:hAnsi="Times New Roman" w:cs="Times New Roman"/>
                <w:highlight w:val="none"/>
              </w:rPr>
            </w:pPr>
            <w:r>
              <w:rPr>
                <w:rFonts w:hint="default" w:ascii="Times New Roman" w:hAnsi="Times New Roman" w:cs="Times New Roman"/>
                <w:highlight w:val="none"/>
              </w:rPr>
              <w:t>0.182</w:t>
            </w:r>
          </w:p>
        </w:tc>
        <w:tc>
          <w:tcPr>
            <w:tcW w:w="1694" w:type="dxa"/>
            <w:vAlign w:val="center"/>
          </w:tcPr>
          <w:p w14:paraId="419D0598">
            <w:pPr>
              <w:pStyle w:val="22"/>
              <w:bidi w:val="0"/>
              <w:rPr>
                <w:rFonts w:hint="default" w:ascii="Times New Roman" w:hAnsi="Times New Roman" w:cs="Times New Roman"/>
                <w:highlight w:val="none"/>
              </w:rPr>
            </w:pPr>
            <w:r>
              <w:rPr>
                <w:rFonts w:hint="default" w:ascii="Times New Roman" w:hAnsi="Times New Roman" w:cs="Times New Roman"/>
                <w:highlight w:val="none"/>
              </w:rPr>
              <w:t>0.185</w:t>
            </w:r>
          </w:p>
        </w:tc>
        <w:tc>
          <w:tcPr>
            <w:tcW w:w="1228" w:type="dxa"/>
            <w:vAlign w:val="center"/>
          </w:tcPr>
          <w:p w14:paraId="30DF5495">
            <w:pPr>
              <w:pStyle w:val="22"/>
              <w:bidi w:val="0"/>
              <w:rPr>
                <w:rFonts w:hint="default" w:ascii="Times New Roman" w:hAnsi="Times New Roman" w:cs="Times New Roman"/>
                <w:highlight w:val="none"/>
              </w:rPr>
            </w:pPr>
            <w:r>
              <w:rPr>
                <w:rFonts w:hint="default" w:ascii="Times New Roman" w:hAnsi="Times New Roman" w:cs="Times New Roman"/>
                <w:highlight w:val="none"/>
              </w:rPr>
              <w:t>0.189</w:t>
            </w:r>
          </w:p>
        </w:tc>
      </w:tr>
      <w:tr w14:paraId="4649B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1F9F2752">
            <w:pPr>
              <w:pStyle w:val="22"/>
              <w:bidi w:val="0"/>
              <w:rPr>
                <w:rFonts w:hint="default" w:ascii="Times New Roman" w:hAnsi="Times New Roman" w:cs="Times New Roman"/>
                <w:highlight w:val="none"/>
              </w:rPr>
            </w:pPr>
          </w:p>
        </w:tc>
        <w:tc>
          <w:tcPr>
            <w:tcW w:w="2078" w:type="dxa"/>
            <w:vAlign w:val="center"/>
          </w:tcPr>
          <w:p w14:paraId="36854EA4">
            <w:pPr>
              <w:pStyle w:val="22"/>
              <w:bidi w:val="0"/>
              <w:rPr>
                <w:rFonts w:hint="default" w:ascii="Times New Roman" w:hAnsi="Times New Roman" w:cs="Times New Roman"/>
                <w:highlight w:val="none"/>
              </w:rPr>
            </w:pPr>
            <w:r>
              <w:rPr>
                <w:rFonts w:hint="default" w:ascii="Times New Roman" w:hAnsi="Times New Roman" w:cs="Times New Roman"/>
                <w:highlight w:val="none"/>
              </w:rPr>
              <w:t>硝酸根</w:t>
            </w:r>
          </w:p>
        </w:tc>
        <w:tc>
          <w:tcPr>
            <w:tcW w:w="1182" w:type="dxa"/>
            <w:vAlign w:val="center"/>
          </w:tcPr>
          <w:p w14:paraId="199BEF5F">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083F9937">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133ACD64">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4D4F76CD">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6750D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276A7A66">
            <w:pPr>
              <w:pStyle w:val="22"/>
              <w:bidi w:val="0"/>
              <w:rPr>
                <w:rFonts w:hint="default" w:ascii="Times New Roman" w:hAnsi="Times New Roman" w:cs="Times New Roman"/>
                <w:highlight w:val="none"/>
              </w:rPr>
            </w:pPr>
          </w:p>
        </w:tc>
        <w:tc>
          <w:tcPr>
            <w:tcW w:w="2078" w:type="dxa"/>
            <w:vAlign w:val="center"/>
          </w:tcPr>
          <w:p w14:paraId="6F74B13D">
            <w:pPr>
              <w:pStyle w:val="22"/>
              <w:bidi w:val="0"/>
              <w:rPr>
                <w:rFonts w:hint="default" w:ascii="Times New Roman" w:hAnsi="Times New Roman" w:cs="Times New Roman"/>
                <w:highlight w:val="none"/>
              </w:rPr>
            </w:pPr>
            <w:r>
              <w:rPr>
                <w:rFonts w:hint="default" w:ascii="Times New Roman" w:hAnsi="Times New Roman" w:cs="Times New Roman"/>
                <w:highlight w:val="none"/>
              </w:rPr>
              <w:t>汞</w:t>
            </w:r>
          </w:p>
        </w:tc>
        <w:tc>
          <w:tcPr>
            <w:tcW w:w="1182" w:type="dxa"/>
            <w:vAlign w:val="center"/>
          </w:tcPr>
          <w:p w14:paraId="7D0B1642">
            <w:pPr>
              <w:pStyle w:val="22"/>
              <w:bidi w:val="0"/>
              <w:rPr>
                <w:rFonts w:hint="default" w:ascii="Times New Roman" w:hAnsi="Times New Roman" w:cs="Times New Roman"/>
                <w:highlight w:val="none"/>
              </w:rPr>
            </w:pPr>
            <w:r>
              <w:rPr>
                <w:rFonts w:hint="default" w:ascii="Times New Roman" w:hAnsi="Times New Roman" w:cs="Times New Roman"/>
                <w:highlight w:val="none"/>
              </w:rPr>
              <w:t>μg/L</w:t>
            </w:r>
          </w:p>
        </w:tc>
        <w:tc>
          <w:tcPr>
            <w:tcW w:w="1833" w:type="dxa"/>
            <w:vAlign w:val="center"/>
          </w:tcPr>
          <w:p w14:paraId="5C2E1975">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10025FB9">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1018E73E">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664D0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0F1915F7">
            <w:pPr>
              <w:pStyle w:val="22"/>
              <w:bidi w:val="0"/>
              <w:rPr>
                <w:rFonts w:hint="default" w:ascii="Times New Roman" w:hAnsi="Times New Roman" w:cs="Times New Roman"/>
                <w:highlight w:val="none"/>
              </w:rPr>
            </w:pPr>
          </w:p>
        </w:tc>
        <w:tc>
          <w:tcPr>
            <w:tcW w:w="2078" w:type="dxa"/>
            <w:vAlign w:val="center"/>
          </w:tcPr>
          <w:p w14:paraId="51871BD3">
            <w:pPr>
              <w:pStyle w:val="22"/>
              <w:bidi w:val="0"/>
              <w:rPr>
                <w:rFonts w:hint="default" w:ascii="Times New Roman" w:hAnsi="Times New Roman" w:cs="Times New Roman"/>
                <w:highlight w:val="none"/>
              </w:rPr>
            </w:pPr>
            <w:r>
              <w:rPr>
                <w:rFonts w:hint="default" w:ascii="Times New Roman" w:hAnsi="Times New Roman" w:cs="Times New Roman"/>
                <w:highlight w:val="none"/>
              </w:rPr>
              <w:t>砷</w:t>
            </w:r>
          </w:p>
        </w:tc>
        <w:tc>
          <w:tcPr>
            <w:tcW w:w="1182" w:type="dxa"/>
            <w:vAlign w:val="center"/>
          </w:tcPr>
          <w:p w14:paraId="70AB6485">
            <w:pPr>
              <w:pStyle w:val="22"/>
              <w:bidi w:val="0"/>
              <w:rPr>
                <w:rFonts w:hint="default" w:ascii="Times New Roman" w:hAnsi="Times New Roman" w:cs="Times New Roman"/>
                <w:highlight w:val="none"/>
              </w:rPr>
            </w:pPr>
            <w:r>
              <w:rPr>
                <w:rFonts w:hint="default" w:ascii="Times New Roman" w:hAnsi="Times New Roman" w:cs="Times New Roman"/>
                <w:highlight w:val="none"/>
              </w:rPr>
              <w:t>μg/L</w:t>
            </w:r>
          </w:p>
        </w:tc>
        <w:tc>
          <w:tcPr>
            <w:tcW w:w="1833" w:type="dxa"/>
            <w:vAlign w:val="center"/>
          </w:tcPr>
          <w:p w14:paraId="7781775B">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28BB3B29">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3BD20F8A">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133C5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7EEF3CF">
            <w:pPr>
              <w:pStyle w:val="22"/>
              <w:bidi w:val="0"/>
              <w:rPr>
                <w:rFonts w:hint="default" w:ascii="Times New Roman" w:hAnsi="Times New Roman" w:cs="Times New Roman"/>
                <w:highlight w:val="none"/>
              </w:rPr>
            </w:pPr>
          </w:p>
        </w:tc>
        <w:tc>
          <w:tcPr>
            <w:tcW w:w="2078" w:type="dxa"/>
            <w:vAlign w:val="center"/>
          </w:tcPr>
          <w:p w14:paraId="611876B2">
            <w:pPr>
              <w:pStyle w:val="22"/>
              <w:bidi w:val="0"/>
              <w:rPr>
                <w:rFonts w:hint="default" w:ascii="Times New Roman" w:hAnsi="Times New Roman" w:cs="Times New Roman"/>
                <w:highlight w:val="none"/>
              </w:rPr>
            </w:pPr>
            <w:r>
              <w:rPr>
                <w:rFonts w:hint="default" w:ascii="Times New Roman" w:hAnsi="Times New Roman" w:cs="Times New Roman"/>
                <w:highlight w:val="none"/>
              </w:rPr>
              <w:t>硒</w:t>
            </w:r>
          </w:p>
        </w:tc>
        <w:tc>
          <w:tcPr>
            <w:tcW w:w="1182" w:type="dxa"/>
            <w:vAlign w:val="center"/>
          </w:tcPr>
          <w:p w14:paraId="00B9FF7E">
            <w:pPr>
              <w:pStyle w:val="22"/>
              <w:bidi w:val="0"/>
              <w:rPr>
                <w:rFonts w:hint="default" w:ascii="Times New Roman" w:hAnsi="Times New Roman" w:cs="Times New Roman"/>
                <w:highlight w:val="none"/>
              </w:rPr>
            </w:pPr>
            <w:r>
              <w:rPr>
                <w:rFonts w:hint="default" w:ascii="Times New Roman" w:hAnsi="Times New Roman" w:cs="Times New Roman"/>
                <w:highlight w:val="none"/>
              </w:rPr>
              <w:t>μg/L</w:t>
            </w:r>
          </w:p>
        </w:tc>
        <w:tc>
          <w:tcPr>
            <w:tcW w:w="1833" w:type="dxa"/>
            <w:vAlign w:val="center"/>
          </w:tcPr>
          <w:p w14:paraId="796B7C17">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4DB0C6B0">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49C95CAD">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18E7F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0F060E25">
            <w:pPr>
              <w:pStyle w:val="22"/>
              <w:bidi w:val="0"/>
              <w:rPr>
                <w:rFonts w:hint="default" w:ascii="Times New Roman" w:hAnsi="Times New Roman" w:cs="Times New Roman"/>
                <w:highlight w:val="none"/>
              </w:rPr>
            </w:pPr>
          </w:p>
        </w:tc>
        <w:tc>
          <w:tcPr>
            <w:tcW w:w="2078" w:type="dxa"/>
            <w:vAlign w:val="center"/>
          </w:tcPr>
          <w:p w14:paraId="01BFFBD4">
            <w:pPr>
              <w:pStyle w:val="22"/>
              <w:bidi w:val="0"/>
              <w:rPr>
                <w:rFonts w:hint="default" w:ascii="Times New Roman" w:hAnsi="Times New Roman" w:cs="Times New Roman"/>
                <w:highlight w:val="none"/>
              </w:rPr>
            </w:pPr>
            <w:r>
              <w:rPr>
                <w:rFonts w:hint="default" w:ascii="Times New Roman" w:hAnsi="Times New Roman" w:cs="Times New Roman"/>
                <w:highlight w:val="none"/>
              </w:rPr>
              <w:t>铅</w:t>
            </w:r>
          </w:p>
        </w:tc>
        <w:tc>
          <w:tcPr>
            <w:tcW w:w="1182" w:type="dxa"/>
            <w:vAlign w:val="center"/>
          </w:tcPr>
          <w:p w14:paraId="531B99D4">
            <w:pPr>
              <w:pStyle w:val="22"/>
              <w:bidi w:val="0"/>
              <w:rPr>
                <w:rFonts w:hint="default" w:ascii="Times New Roman" w:hAnsi="Times New Roman" w:cs="Times New Roman"/>
                <w:highlight w:val="none"/>
              </w:rPr>
            </w:pPr>
            <w:r>
              <w:rPr>
                <w:rFonts w:hint="default" w:ascii="Times New Roman" w:hAnsi="Times New Roman" w:cs="Times New Roman"/>
                <w:highlight w:val="none"/>
              </w:rPr>
              <w:t>μg/L</w:t>
            </w:r>
          </w:p>
        </w:tc>
        <w:tc>
          <w:tcPr>
            <w:tcW w:w="1833" w:type="dxa"/>
            <w:vAlign w:val="center"/>
          </w:tcPr>
          <w:p w14:paraId="004D431E">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6D36BF68">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6BA679E5">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50960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034DD1A7">
            <w:pPr>
              <w:pStyle w:val="22"/>
              <w:bidi w:val="0"/>
              <w:rPr>
                <w:rFonts w:hint="default" w:ascii="Times New Roman" w:hAnsi="Times New Roman" w:cs="Times New Roman"/>
                <w:highlight w:val="none"/>
              </w:rPr>
            </w:pPr>
          </w:p>
        </w:tc>
        <w:tc>
          <w:tcPr>
            <w:tcW w:w="2078" w:type="dxa"/>
            <w:vAlign w:val="center"/>
          </w:tcPr>
          <w:p w14:paraId="39C8C28D">
            <w:pPr>
              <w:pStyle w:val="22"/>
              <w:bidi w:val="0"/>
              <w:rPr>
                <w:rFonts w:hint="default" w:ascii="Times New Roman" w:hAnsi="Times New Roman" w:cs="Times New Roman"/>
                <w:highlight w:val="none"/>
              </w:rPr>
            </w:pPr>
            <w:r>
              <w:rPr>
                <w:rFonts w:hint="default" w:ascii="Times New Roman" w:hAnsi="Times New Roman" w:cs="Times New Roman"/>
                <w:highlight w:val="none"/>
              </w:rPr>
              <w:t>镉</w:t>
            </w:r>
          </w:p>
        </w:tc>
        <w:tc>
          <w:tcPr>
            <w:tcW w:w="1182" w:type="dxa"/>
            <w:vAlign w:val="center"/>
          </w:tcPr>
          <w:p w14:paraId="14EC7783">
            <w:pPr>
              <w:pStyle w:val="22"/>
              <w:bidi w:val="0"/>
              <w:rPr>
                <w:rFonts w:hint="default" w:ascii="Times New Roman" w:hAnsi="Times New Roman" w:cs="Times New Roman"/>
                <w:highlight w:val="none"/>
              </w:rPr>
            </w:pPr>
            <w:r>
              <w:rPr>
                <w:rFonts w:hint="default" w:ascii="Times New Roman" w:hAnsi="Times New Roman" w:cs="Times New Roman"/>
                <w:highlight w:val="none"/>
              </w:rPr>
              <w:t>μg/L</w:t>
            </w:r>
          </w:p>
        </w:tc>
        <w:tc>
          <w:tcPr>
            <w:tcW w:w="1833" w:type="dxa"/>
            <w:vAlign w:val="center"/>
          </w:tcPr>
          <w:p w14:paraId="56E747BD">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52AC9895">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296177B6">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23CA0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3D51CB6A">
            <w:pPr>
              <w:pStyle w:val="22"/>
              <w:bidi w:val="0"/>
              <w:rPr>
                <w:rFonts w:hint="default" w:ascii="Times New Roman" w:hAnsi="Times New Roman" w:cs="Times New Roman"/>
                <w:highlight w:val="none"/>
              </w:rPr>
            </w:pPr>
          </w:p>
        </w:tc>
        <w:tc>
          <w:tcPr>
            <w:tcW w:w="2078" w:type="dxa"/>
            <w:vAlign w:val="center"/>
          </w:tcPr>
          <w:p w14:paraId="4B39A24F">
            <w:pPr>
              <w:pStyle w:val="22"/>
              <w:bidi w:val="0"/>
              <w:rPr>
                <w:rFonts w:hint="default" w:ascii="Times New Roman" w:hAnsi="Times New Roman" w:cs="Times New Roman"/>
                <w:highlight w:val="none"/>
              </w:rPr>
            </w:pPr>
            <w:r>
              <w:rPr>
                <w:rFonts w:hint="default" w:ascii="Times New Roman" w:hAnsi="Times New Roman" w:cs="Times New Roman"/>
                <w:highlight w:val="none"/>
              </w:rPr>
              <w:t>铁</w:t>
            </w:r>
          </w:p>
        </w:tc>
        <w:tc>
          <w:tcPr>
            <w:tcW w:w="1182" w:type="dxa"/>
            <w:vAlign w:val="center"/>
          </w:tcPr>
          <w:p w14:paraId="5C3CE0CD">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5A247EBA">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71130CE2">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0910566A">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61E83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18BAAFB5">
            <w:pPr>
              <w:pStyle w:val="22"/>
              <w:bidi w:val="0"/>
              <w:rPr>
                <w:rFonts w:hint="default" w:ascii="Times New Roman" w:hAnsi="Times New Roman" w:cs="Times New Roman"/>
                <w:highlight w:val="none"/>
              </w:rPr>
            </w:pPr>
          </w:p>
        </w:tc>
        <w:tc>
          <w:tcPr>
            <w:tcW w:w="2078" w:type="dxa"/>
            <w:vAlign w:val="center"/>
          </w:tcPr>
          <w:p w14:paraId="0D050B43">
            <w:pPr>
              <w:pStyle w:val="22"/>
              <w:bidi w:val="0"/>
              <w:rPr>
                <w:rFonts w:hint="default" w:ascii="Times New Roman" w:hAnsi="Times New Roman" w:cs="Times New Roman"/>
                <w:highlight w:val="none"/>
              </w:rPr>
            </w:pPr>
            <w:r>
              <w:rPr>
                <w:rFonts w:hint="default" w:ascii="Times New Roman" w:hAnsi="Times New Roman" w:cs="Times New Roman"/>
                <w:highlight w:val="none"/>
              </w:rPr>
              <w:t>锰</w:t>
            </w:r>
          </w:p>
        </w:tc>
        <w:tc>
          <w:tcPr>
            <w:tcW w:w="1182" w:type="dxa"/>
            <w:vAlign w:val="center"/>
          </w:tcPr>
          <w:p w14:paraId="4A7ACEC1">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4DB17276">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3002BA6C">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378DEF4F">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43B2C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161F484A">
            <w:pPr>
              <w:pStyle w:val="22"/>
              <w:bidi w:val="0"/>
              <w:rPr>
                <w:rFonts w:hint="default" w:ascii="Times New Roman" w:hAnsi="Times New Roman" w:cs="Times New Roman"/>
                <w:highlight w:val="none"/>
              </w:rPr>
            </w:pPr>
          </w:p>
        </w:tc>
        <w:tc>
          <w:tcPr>
            <w:tcW w:w="2078" w:type="dxa"/>
            <w:vAlign w:val="center"/>
          </w:tcPr>
          <w:p w14:paraId="2AD67022">
            <w:pPr>
              <w:pStyle w:val="22"/>
              <w:bidi w:val="0"/>
              <w:rPr>
                <w:rFonts w:hint="default" w:ascii="Times New Roman" w:hAnsi="Times New Roman" w:cs="Times New Roman"/>
                <w:highlight w:val="none"/>
              </w:rPr>
            </w:pPr>
            <w:r>
              <w:rPr>
                <w:rFonts w:hint="default" w:ascii="Times New Roman" w:hAnsi="Times New Roman" w:cs="Times New Roman"/>
                <w:highlight w:val="none"/>
              </w:rPr>
              <w:t>铜</w:t>
            </w:r>
          </w:p>
        </w:tc>
        <w:tc>
          <w:tcPr>
            <w:tcW w:w="1182" w:type="dxa"/>
            <w:vAlign w:val="center"/>
          </w:tcPr>
          <w:p w14:paraId="7F33F945">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08943E48">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2B1F4696">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35BE16AB">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69B1D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577DD7F">
            <w:pPr>
              <w:pStyle w:val="22"/>
              <w:bidi w:val="0"/>
              <w:rPr>
                <w:rFonts w:hint="default" w:ascii="Times New Roman" w:hAnsi="Times New Roman" w:cs="Times New Roman"/>
                <w:highlight w:val="none"/>
              </w:rPr>
            </w:pPr>
          </w:p>
        </w:tc>
        <w:tc>
          <w:tcPr>
            <w:tcW w:w="2078" w:type="dxa"/>
            <w:vAlign w:val="center"/>
          </w:tcPr>
          <w:p w14:paraId="39A082EA">
            <w:pPr>
              <w:pStyle w:val="22"/>
              <w:bidi w:val="0"/>
              <w:rPr>
                <w:rFonts w:hint="default" w:ascii="Times New Roman" w:hAnsi="Times New Roman" w:cs="Times New Roman"/>
                <w:highlight w:val="none"/>
              </w:rPr>
            </w:pPr>
            <w:r>
              <w:rPr>
                <w:rFonts w:hint="default" w:ascii="Times New Roman" w:hAnsi="Times New Roman" w:cs="Times New Roman"/>
                <w:highlight w:val="none"/>
              </w:rPr>
              <w:t>锌</w:t>
            </w:r>
          </w:p>
        </w:tc>
        <w:tc>
          <w:tcPr>
            <w:tcW w:w="1182" w:type="dxa"/>
            <w:vAlign w:val="center"/>
          </w:tcPr>
          <w:p w14:paraId="716D77AB">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4CC282E9">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4C542E8D">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71C49B2B">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r w14:paraId="2C932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1F74569F">
            <w:pPr>
              <w:pStyle w:val="22"/>
              <w:bidi w:val="0"/>
              <w:rPr>
                <w:rFonts w:hint="default" w:ascii="Times New Roman" w:hAnsi="Times New Roman" w:cs="Times New Roman"/>
                <w:highlight w:val="none"/>
              </w:rPr>
            </w:pPr>
          </w:p>
        </w:tc>
        <w:tc>
          <w:tcPr>
            <w:tcW w:w="2078" w:type="dxa"/>
            <w:vAlign w:val="center"/>
          </w:tcPr>
          <w:p w14:paraId="26DB1339">
            <w:pPr>
              <w:pStyle w:val="22"/>
              <w:bidi w:val="0"/>
              <w:rPr>
                <w:rFonts w:hint="default" w:ascii="Times New Roman" w:hAnsi="Times New Roman" w:cs="Times New Roman"/>
                <w:highlight w:val="none"/>
              </w:rPr>
            </w:pPr>
            <w:r>
              <w:rPr>
                <w:rFonts w:hint="default" w:ascii="Times New Roman" w:hAnsi="Times New Roman" w:cs="Times New Roman"/>
                <w:highlight w:val="none"/>
              </w:rPr>
              <w:t>粪大肠菌群</w:t>
            </w:r>
          </w:p>
        </w:tc>
        <w:tc>
          <w:tcPr>
            <w:tcW w:w="1182" w:type="dxa"/>
            <w:vAlign w:val="center"/>
          </w:tcPr>
          <w:p w14:paraId="5557B468">
            <w:pPr>
              <w:pStyle w:val="22"/>
              <w:bidi w:val="0"/>
              <w:rPr>
                <w:rFonts w:hint="default" w:ascii="Times New Roman" w:hAnsi="Times New Roman" w:cs="Times New Roman"/>
                <w:highlight w:val="none"/>
              </w:rPr>
            </w:pPr>
            <w:r>
              <w:rPr>
                <w:rFonts w:hint="default" w:ascii="Times New Roman" w:hAnsi="Times New Roman" w:cs="Times New Roman"/>
                <w:highlight w:val="none"/>
              </w:rPr>
              <w:t>MPN/L</w:t>
            </w:r>
          </w:p>
        </w:tc>
        <w:tc>
          <w:tcPr>
            <w:tcW w:w="1833" w:type="dxa"/>
            <w:vAlign w:val="center"/>
          </w:tcPr>
          <w:p w14:paraId="66A6A309">
            <w:pPr>
              <w:pStyle w:val="22"/>
              <w:bidi w:val="0"/>
              <w:rPr>
                <w:rFonts w:hint="default" w:ascii="Times New Roman" w:hAnsi="Times New Roman" w:cs="Times New Roman"/>
                <w:highlight w:val="none"/>
              </w:rPr>
            </w:pPr>
            <w:r>
              <w:rPr>
                <w:rFonts w:hint="default" w:ascii="Times New Roman" w:hAnsi="Times New Roman" w:cs="Times New Roman"/>
                <w:highlight w:val="none"/>
              </w:rPr>
              <w:t>192</w:t>
            </w:r>
          </w:p>
        </w:tc>
        <w:tc>
          <w:tcPr>
            <w:tcW w:w="1694" w:type="dxa"/>
            <w:vAlign w:val="center"/>
          </w:tcPr>
          <w:p w14:paraId="2046C56F">
            <w:pPr>
              <w:pStyle w:val="22"/>
              <w:bidi w:val="0"/>
              <w:rPr>
                <w:rFonts w:hint="default" w:ascii="Times New Roman" w:hAnsi="Times New Roman" w:cs="Times New Roman"/>
                <w:highlight w:val="none"/>
              </w:rPr>
            </w:pPr>
            <w:r>
              <w:rPr>
                <w:rFonts w:hint="default" w:ascii="Times New Roman" w:hAnsi="Times New Roman" w:cs="Times New Roman"/>
                <w:highlight w:val="none"/>
              </w:rPr>
              <w:t>160</w:t>
            </w:r>
          </w:p>
        </w:tc>
        <w:tc>
          <w:tcPr>
            <w:tcW w:w="1228" w:type="dxa"/>
            <w:vAlign w:val="center"/>
          </w:tcPr>
          <w:p w14:paraId="2A0A5A92">
            <w:pPr>
              <w:pStyle w:val="22"/>
              <w:bidi w:val="0"/>
              <w:rPr>
                <w:rFonts w:hint="default" w:ascii="Times New Roman" w:hAnsi="Times New Roman" w:cs="Times New Roman"/>
                <w:highlight w:val="none"/>
              </w:rPr>
            </w:pPr>
            <w:r>
              <w:rPr>
                <w:rFonts w:hint="default" w:ascii="Times New Roman" w:hAnsi="Times New Roman" w:cs="Times New Roman"/>
                <w:highlight w:val="none"/>
              </w:rPr>
              <w:t>200</w:t>
            </w:r>
          </w:p>
        </w:tc>
      </w:tr>
      <w:tr w14:paraId="0CCD5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restart"/>
            <w:vAlign w:val="center"/>
          </w:tcPr>
          <w:p w14:paraId="704BF204">
            <w:pPr>
              <w:pStyle w:val="22"/>
              <w:bidi w:val="0"/>
              <w:rPr>
                <w:rFonts w:hint="default" w:ascii="Times New Roman" w:hAnsi="Times New Roman" w:cs="Times New Roman"/>
                <w:highlight w:val="none"/>
              </w:rPr>
            </w:pPr>
            <w:r>
              <w:rPr>
                <w:rFonts w:hint="default" w:ascii="Times New Roman" w:hAnsi="Times New Roman" w:cs="Times New Roman"/>
                <w:highlight w:val="none"/>
              </w:rPr>
              <w:t>2#冷龙沟与硕曲汇合处下游200m</w:t>
            </w:r>
          </w:p>
        </w:tc>
        <w:tc>
          <w:tcPr>
            <w:tcW w:w="2078" w:type="dxa"/>
            <w:vAlign w:val="center"/>
          </w:tcPr>
          <w:p w14:paraId="1C7787C3">
            <w:pPr>
              <w:pStyle w:val="22"/>
              <w:bidi w:val="0"/>
              <w:rPr>
                <w:rFonts w:hint="default" w:ascii="Times New Roman" w:hAnsi="Times New Roman" w:cs="Times New Roman"/>
                <w:highlight w:val="none"/>
              </w:rPr>
            </w:pPr>
            <w:r>
              <w:rPr>
                <w:rFonts w:hint="default" w:ascii="Times New Roman" w:hAnsi="Times New Roman" w:cs="Times New Roman"/>
                <w:highlight w:val="none"/>
              </w:rPr>
              <w:t>pH</w:t>
            </w:r>
          </w:p>
        </w:tc>
        <w:tc>
          <w:tcPr>
            <w:tcW w:w="1182" w:type="dxa"/>
            <w:vAlign w:val="center"/>
          </w:tcPr>
          <w:p w14:paraId="71CA91FC">
            <w:pPr>
              <w:pStyle w:val="22"/>
              <w:bidi w:val="0"/>
              <w:rPr>
                <w:rFonts w:hint="default" w:ascii="Times New Roman" w:hAnsi="Times New Roman" w:cs="Times New Roman"/>
                <w:highlight w:val="none"/>
              </w:rPr>
            </w:pPr>
            <w:r>
              <w:rPr>
                <w:rFonts w:hint="default" w:ascii="Times New Roman" w:hAnsi="Times New Roman" w:cs="Times New Roman"/>
                <w:highlight w:val="none"/>
              </w:rPr>
              <w:t>无量纲</w:t>
            </w:r>
          </w:p>
        </w:tc>
        <w:tc>
          <w:tcPr>
            <w:tcW w:w="1833" w:type="dxa"/>
            <w:vAlign w:val="center"/>
          </w:tcPr>
          <w:p w14:paraId="733ABB59">
            <w:pPr>
              <w:pStyle w:val="22"/>
              <w:bidi w:val="0"/>
              <w:rPr>
                <w:rFonts w:hint="default" w:ascii="Times New Roman" w:hAnsi="Times New Roman" w:cs="Times New Roman"/>
                <w:highlight w:val="none"/>
              </w:rPr>
            </w:pPr>
            <w:r>
              <w:rPr>
                <w:rFonts w:hint="default" w:ascii="Times New Roman" w:hAnsi="Times New Roman" w:cs="Times New Roman"/>
                <w:highlight w:val="none"/>
              </w:rPr>
              <w:t>7.7</w:t>
            </w:r>
          </w:p>
        </w:tc>
        <w:tc>
          <w:tcPr>
            <w:tcW w:w="1694" w:type="dxa"/>
            <w:vAlign w:val="center"/>
          </w:tcPr>
          <w:p w14:paraId="5FAC712C">
            <w:pPr>
              <w:pStyle w:val="22"/>
              <w:bidi w:val="0"/>
              <w:rPr>
                <w:rFonts w:hint="default" w:ascii="Times New Roman" w:hAnsi="Times New Roman" w:cs="Times New Roman"/>
                <w:highlight w:val="none"/>
              </w:rPr>
            </w:pPr>
            <w:r>
              <w:rPr>
                <w:rFonts w:hint="default" w:ascii="Times New Roman" w:hAnsi="Times New Roman" w:cs="Times New Roman"/>
                <w:highlight w:val="none"/>
              </w:rPr>
              <w:t>7.3</w:t>
            </w:r>
          </w:p>
        </w:tc>
        <w:tc>
          <w:tcPr>
            <w:tcW w:w="1228" w:type="dxa"/>
            <w:vAlign w:val="center"/>
          </w:tcPr>
          <w:p w14:paraId="6C63E814">
            <w:pPr>
              <w:pStyle w:val="22"/>
              <w:bidi w:val="0"/>
              <w:rPr>
                <w:rFonts w:hint="default" w:ascii="Times New Roman" w:hAnsi="Times New Roman" w:cs="Times New Roman"/>
                <w:highlight w:val="none"/>
              </w:rPr>
            </w:pPr>
            <w:r>
              <w:rPr>
                <w:rFonts w:hint="default" w:ascii="Times New Roman" w:hAnsi="Times New Roman" w:cs="Times New Roman"/>
                <w:highlight w:val="none"/>
              </w:rPr>
              <w:t>7.5</w:t>
            </w:r>
          </w:p>
        </w:tc>
      </w:tr>
      <w:tr w14:paraId="55F7C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477D2DA4">
            <w:pPr>
              <w:pStyle w:val="22"/>
              <w:bidi w:val="0"/>
              <w:rPr>
                <w:rFonts w:hint="default" w:ascii="Times New Roman" w:hAnsi="Times New Roman" w:cs="Times New Roman"/>
                <w:highlight w:val="none"/>
              </w:rPr>
            </w:pPr>
          </w:p>
        </w:tc>
        <w:tc>
          <w:tcPr>
            <w:tcW w:w="2078" w:type="dxa"/>
            <w:vAlign w:val="center"/>
          </w:tcPr>
          <w:p w14:paraId="78F19405">
            <w:pPr>
              <w:pStyle w:val="22"/>
              <w:bidi w:val="0"/>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1182" w:type="dxa"/>
            <w:vAlign w:val="center"/>
          </w:tcPr>
          <w:p w14:paraId="7910126D">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2C568EA1">
            <w:pPr>
              <w:pStyle w:val="22"/>
              <w:bidi w:val="0"/>
              <w:rPr>
                <w:rFonts w:hint="default" w:ascii="Times New Roman" w:hAnsi="Times New Roman" w:cs="Times New Roman"/>
                <w:highlight w:val="none"/>
              </w:rPr>
            </w:pPr>
            <w:r>
              <w:rPr>
                <w:rFonts w:hint="default" w:ascii="Times New Roman" w:hAnsi="Times New Roman" w:cs="Times New Roman"/>
                <w:highlight w:val="none"/>
              </w:rPr>
              <w:t>13</w:t>
            </w:r>
          </w:p>
        </w:tc>
        <w:tc>
          <w:tcPr>
            <w:tcW w:w="1694" w:type="dxa"/>
            <w:vAlign w:val="center"/>
          </w:tcPr>
          <w:p w14:paraId="66133391">
            <w:pPr>
              <w:pStyle w:val="22"/>
              <w:bidi w:val="0"/>
              <w:rPr>
                <w:rFonts w:hint="default" w:ascii="Times New Roman" w:hAnsi="Times New Roman" w:cs="Times New Roman"/>
                <w:highlight w:val="none"/>
              </w:rPr>
            </w:pPr>
            <w:r>
              <w:rPr>
                <w:rFonts w:hint="default" w:ascii="Times New Roman" w:hAnsi="Times New Roman" w:cs="Times New Roman"/>
                <w:highlight w:val="none"/>
              </w:rPr>
              <w:t>10</w:t>
            </w:r>
          </w:p>
        </w:tc>
        <w:tc>
          <w:tcPr>
            <w:tcW w:w="1228" w:type="dxa"/>
            <w:vAlign w:val="center"/>
          </w:tcPr>
          <w:p w14:paraId="7C268D5F">
            <w:pPr>
              <w:pStyle w:val="22"/>
              <w:bidi w:val="0"/>
              <w:rPr>
                <w:rFonts w:hint="default" w:ascii="Times New Roman" w:hAnsi="Times New Roman" w:cs="Times New Roman"/>
                <w:highlight w:val="none"/>
              </w:rPr>
            </w:pPr>
            <w:r>
              <w:rPr>
                <w:rFonts w:hint="default" w:ascii="Times New Roman" w:hAnsi="Times New Roman" w:cs="Times New Roman"/>
                <w:highlight w:val="none"/>
              </w:rPr>
              <w:t>12</w:t>
            </w:r>
          </w:p>
        </w:tc>
      </w:tr>
      <w:tr w14:paraId="2AB49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500730E">
            <w:pPr>
              <w:pStyle w:val="22"/>
              <w:bidi w:val="0"/>
              <w:rPr>
                <w:rFonts w:hint="default" w:ascii="Times New Roman" w:hAnsi="Times New Roman" w:cs="Times New Roman"/>
                <w:highlight w:val="none"/>
              </w:rPr>
            </w:pPr>
          </w:p>
        </w:tc>
        <w:tc>
          <w:tcPr>
            <w:tcW w:w="2078" w:type="dxa"/>
            <w:vAlign w:val="center"/>
          </w:tcPr>
          <w:p w14:paraId="5A9D0EBF">
            <w:pPr>
              <w:pStyle w:val="22"/>
              <w:bidi w:val="0"/>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1182" w:type="dxa"/>
            <w:vAlign w:val="center"/>
          </w:tcPr>
          <w:p w14:paraId="45E1E780">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1376E7F7">
            <w:pPr>
              <w:pStyle w:val="22"/>
              <w:bidi w:val="0"/>
              <w:rPr>
                <w:rFonts w:hint="default" w:ascii="Times New Roman" w:hAnsi="Times New Roman" w:cs="Times New Roman"/>
                <w:highlight w:val="none"/>
              </w:rPr>
            </w:pPr>
            <w:r>
              <w:rPr>
                <w:rFonts w:hint="default" w:ascii="Times New Roman" w:hAnsi="Times New Roman" w:cs="Times New Roman"/>
                <w:highlight w:val="none"/>
              </w:rPr>
              <w:t>2.8</w:t>
            </w:r>
          </w:p>
        </w:tc>
        <w:tc>
          <w:tcPr>
            <w:tcW w:w="1694" w:type="dxa"/>
            <w:vAlign w:val="center"/>
          </w:tcPr>
          <w:p w14:paraId="140A3457">
            <w:pPr>
              <w:pStyle w:val="22"/>
              <w:bidi w:val="0"/>
              <w:rPr>
                <w:rFonts w:hint="default" w:ascii="Times New Roman" w:hAnsi="Times New Roman" w:cs="Times New Roman"/>
                <w:highlight w:val="none"/>
              </w:rPr>
            </w:pPr>
            <w:r>
              <w:rPr>
                <w:rFonts w:hint="default" w:ascii="Times New Roman" w:hAnsi="Times New Roman" w:cs="Times New Roman"/>
                <w:highlight w:val="none"/>
              </w:rPr>
              <w:t>2.7</w:t>
            </w:r>
          </w:p>
        </w:tc>
        <w:tc>
          <w:tcPr>
            <w:tcW w:w="1228" w:type="dxa"/>
            <w:vAlign w:val="center"/>
          </w:tcPr>
          <w:p w14:paraId="46812378">
            <w:pPr>
              <w:pStyle w:val="22"/>
              <w:bidi w:val="0"/>
              <w:rPr>
                <w:rFonts w:hint="default" w:ascii="Times New Roman" w:hAnsi="Times New Roman" w:cs="Times New Roman"/>
                <w:highlight w:val="none"/>
              </w:rPr>
            </w:pPr>
            <w:r>
              <w:rPr>
                <w:rFonts w:hint="default" w:ascii="Times New Roman" w:hAnsi="Times New Roman" w:cs="Times New Roman"/>
                <w:highlight w:val="none"/>
              </w:rPr>
              <w:t>2.6</w:t>
            </w:r>
          </w:p>
        </w:tc>
      </w:tr>
      <w:tr w14:paraId="0BE6C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5CB31AAE">
            <w:pPr>
              <w:pStyle w:val="22"/>
              <w:bidi w:val="0"/>
              <w:rPr>
                <w:rFonts w:hint="default" w:ascii="Times New Roman" w:hAnsi="Times New Roman" w:cs="Times New Roman"/>
                <w:highlight w:val="none"/>
              </w:rPr>
            </w:pPr>
          </w:p>
        </w:tc>
        <w:tc>
          <w:tcPr>
            <w:tcW w:w="2078" w:type="dxa"/>
            <w:vAlign w:val="center"/>
          </w:tcPr>
          <w:p w14:paraId="1DFC60BF">
            <w:pPr>
              <w:pStyle w:val="22"/>
              <w:bidi w:val="0"/>
              <w:rPr>
                <w:rFonts w:hint="default" w:ascii="Times New Roman" w:hAnsi="Times New Roman" w:cs="Times New Roman"/>
                <w:highlight w:val="none"/>
              </w:rPr>
            </w:pPr>
            <w:r>
              <w:rPr>
                <w:rFonts w:hint="default" w:ascii="Times New Roman" w:hAnsi="Times New Roman" w:cs="Times New Roman"/>
                <w:highlight w:val="none"/>
              </w:rPr>
              <w:t>氨氮</w:t>
            </w:r>
          </w:p>
        </w:tc>
        <w:tc>
          <w:tcPr>
            <w:tcW w:w="1182" w:type="dxa"/>
            <w:vAlign w:val="center"/>
          </w:tcPr>
          <w:p w14:paraId="08D2995B">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1B3149F2">
            <w:pPr>
              <w:pStyle w:val="22"/>
              <w:bidi w:val="0"/>
              <w:rPr>
                <w:rFonts w:hint="default" w:ascii="Times New Roman" w:hAnsi="Times New Roman" w:cs="Times New Roman"/>
                <w:highlight w:val="none"/>
              </w:rPr>
            </w:pPr>
            <w:r>
              <w:rPr>
                <w:rFonts w:hint="default" w:ascii="Times New Roman" w:hAnsi="Times New Roman" w:cs="Times New Roman"/>
                <w:highlight w:val="none"/>
              </w:rPr>
              <w:t>0.143</w:t>
            </w:r>
          </w:p>
        </w:tc>
        <w:tc>
          <w:tcPr>
            <w:tcW w:w="1694" w:type="dxa"/>
            <w:vAlign w:val="center"/>
          </w:tcPr>
          <w:p w14:paraId="151A3BE2">
            <w:pPr>
              <w:pStyle w:val="22"/>
              <w:bidi w:val="0"/>
              <w:rPr>
                <w:rFonts w:hint="default" w:ascii="Times New Roman" w:hAnsi="Times New Roman" w:cs="Times New Roman"/>
                <w:highlight w:val="none"/>
              </w:rPr>
            </w:pPr>
            <w:r>
              <w:rPr>
                <w:rFonts w:hint="default" w:ascii="Times New Roman" w:hAnsi="Times New Roman" w:cs="Times New Roman"/>
                <w:highlight w:val="none"/>
              </w:rPr>
              <w:t>0.127</w:t>
            </w:r>
          </w:p>
        </w:tc>
        <w:tc>
          <w:tcPr>
            <w:tcW w:w="1228" w:type="dxa"/>
            <w:vAlign w:val="center"/>
          </w:tcPr>
          <w:p w14:paraId="47667656">
            <w:pPr>
              <w:pStyle w:val="22"/>
              <w:bidi w:val="0"/>
              <w:rPr>
                <w:rFonts w:hint="default" w:ascii="Times New Roman" w:hAnsi="Times New Roman" w:cs="Times New Roman"/>
                <w:highlight w:val="none"/>
              </w:rPr>
            </w:pPr>
            <w:r>
              <w:rPr>
                <w:rFonts w:hint="default" w:ascii="Times New Roman" w:hAnsi="Times New Roman" w:cs="Times New Roman"/>
                <w:highlight w:val="none"/>
              </w:rPr>
              <w:t>0.159</w:t>
            </w:r>
          </w:p>
        </w:tc>
      </w:tr>
      <w:tr w14:paraId="06A8C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477163B5">
            <w:pPr>
              <w:pStyle w:val="22"/>
              <w:bidi w:val="0"/>
              <w:rPr>
                <w:rFonts w:hint="default" w:ascii="Times New Roman" w:hAnsi="Times New Roman" w:cs="Times New Roman"/>
                <w:highlight w:val="none"/>
              </w:rPr>
            </w:pPr>
          </w:p>
        </w:tc>
        <w:tc>
          <w:tcPr>
            <w:tcW w:w="2078" w:type="dxa"/>
            <w:vAlign w:val="center"/>
          </w:tcPr>
          <w:p w14:paraId="21488592">
            <w:pPr>
              <w:pStyle w:val="22"/>
              <w:bidi w:val="0"/>
              <w:rPr>
                <w:rFonts w:hint="default" w:ascii="Times New Roman" w:hAnsi="Times New Roman" w:cs="Times New Roman"/>
                <w:highlight w:val="none"/>
              </w:rPr>
            </w:pPr>
            <w:r>
              <w:rPr>
                <w:rFonts w:hint="default" w:ascii="Times New Roman" w:hAnsi="Times New Roman" w:cs="Times New Roman"/>
                <w:highlight w:val="none"/>
              </w:rPr>
              <w:t>总磷</w:t>
            </w:r>
          </w:p>
        </w:tc>
        <w:tc>
          <w:tcPr>
            <w:tcW w:w="1182" w:type="dxa"/>
            <w:vAlign w:val="center"/>
          </w:tcPr>
          <w:p w14:paraId="2C2E9CA1">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20CFEF0D">
            <w:pPr>
              <w:pStyle w:val="22"/>
              <w:bidi w:val="0"/>
              <w:rPr>
                <w:rFonts w:hint="default" w:ascii="Times New Roman" w:hAnsi="Times New Roman" w:cs="Times New Roman"/>
                <w:highlight w:val="none"/>
              </w:rPr>
            </w:pPr>
            <w:r>
              <w:rPr>
                <w:rFonts w:hint="default" w:ascii="Times New Roman" w:hAnsi="Times New Roman" w:cs="Times New Roman"/>
                <w:highlight w:val="none"/>
              </w:rPr>
              <w:t>0.01</w:t>
            </w:r>
          </w:p>
        </w:tc>
        <w:tc>
          <w:tcPr>
            <w:tcW w:w="1694" w:type="dxa"/>
            <w:vAlign w:val="center"/>
          </w:tcPr>
          <w:p w14:paraId="4CD26DD4">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538C0386">
            <w:pPr>
              <w:pStyle w:val="22"/>
              <w:bidi w:val="0"/>
              <w:rPr>
                <w:rFonts w:hint="default" w:ascii="Times New Roman" w:hAnsi="Times New Roman" w:cs="Times New Roman"/>
                <w:highlight w:val="none"/>
              </w:rPr>
            </w:pPr>
            <w:r>
              <w:rPr>
                <w:rFonts w:hint="default" w:ascii="Times New Roman" w:hAnsi="Times New Roman" w:cs="Times New Roman"/>
                <w:highlight w:val="none"/>
              </w:rPr>
              <w:t>0.02</w:t>
            </w:r>
          </w:p>
        </w:tc>
      </w:tr>
      <w:tr w14:paraId="1903F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1" w:type="dxa"/>
            <w:vMerge w:val="continue"/>
            <w:vAlign w:val="center"/>
          </w:tcPr>
          <w:p w14:paraId="0BF5C764">
            <w:pPr>
              <w:pStyle w:val="22"/>
              <w:bidi w:val="0"/>
              <w:rPr>
                <w:rFonts w:hint="default" w:ascii="Times New Roman" w:hAnsi="Times New Roman" w:cs="Times New Roman"/>
                <w:highlight w:val="none"/>
              </w:rPr>
            </w:pPr>
          </w:p>
        </w:tc>
        <w:tc>
          <w:tcPr>
            <w:tcW w:w="2078" w:type="dxa"/>
            <w:vAlign w:val="center"/>
          </w:tcPr>
          <w:p w14:paraId="1A42EA78">
            <w:pPr>
              <w:pStyle w:val="22"/>
              <w:bidi w:val="0"/>
              <w:rPr>
                <w:rFonts w:hint="default" w:ascii="Times New Roman" w:hAnsi="Times New Roman" w:cs="Times New Roman"/>
                <w:highlight w:val="none"/>
              </w:rPr>
            </w:pPr>
            <w:r>
              <w:rPr>
                <w:rFonts w:hint="default" w:ascii="Times New Roman" w:hAnsi="Times New Roman" w:cs="Times New Roman"/>
                <w:highlight w:val="none"/>
              </w:rPr>
              <w:t>石油类</w:t>
            </w:r>
          </w:p>
        </w:tc>
        <w:tc>
          <w:tcPr>
            <w:tcW w:w="1182" w:type="dxa"/>
            <w:vAlign w:val="center"/>
          </w:tcPr>
          <w:p w14:paraId="527FCA9C">
            <w:pPr>
              <w:pStyle w:val="22"/>
              <w:bidi w:val="0"/>
              <w:rPr>
                <w:rFonts w:hint="default" w:ascii="Times New Roman" w:hAnsi="Times New Roman" w:cs="Times New Roman"/>
                <w:highlight w:val="none"/>
              </w:rPr>
            </w:pPr>
            <w:r>
              <w:rPr>
                <w:rFonts w:hint="default" w:ascii="Times New Roman" w:hAnsi="Times New Roman" w:cs="Times New Roman"/>
                <w:highlight w:val="none"/>
              </w:rPr>
              <w:t>mg/L</w:t>
            </w:r>
          </w:p>
        </w:tc>
        <w:tc>
          <w:tcPr>
            <w:tcW w:w="1833" w:type="dxa"/>
            <w:vAlign w:val="center"/>
          </w:tcPr>
          <w:p w14:paraId="0BC344CB">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694" w:type="dxa"/>
            <w:vAlign w:val="center"/>
          </w:tcPr>
          <w:p w14:paraId="152ABD31">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c>
          <w:tcPr>
            <w:tcW w:w="1228" w:type="dxa"/>
            <w:vAlign w:val="center"/>
          </w:tcPr>
          <w:p w14:paraId="19CCEEAE">
            <w:pPr>
              <w:pStyle w:val="22"/>
              <w:bidi w:val="0"/>
              <w:rPr>
                <w:rFonts w:hint="default" w:ascii="Times New Roman" w:hAnsi="Times New Roman" w:cs="Times New Roman"/>
                <w:highlight w:val="none"/>
              </w:rPr>
            </w:pPr>
            <w:r>
              <w:rPr>
                <w:rFonts w:hint="default" w:ascii="Times New Roman" w:hAnsi="Times New Roman" w:cs="Times New Roman"/>
                <w:highlight w:val="none"/>
              </w:rPr>
              <w:t>未检出</w:t>
            </w:r>
          </w:p>
        </w:tc>
      </w:tr>
    </w:tbl>
    <w:p w14:paraId="74E9CA41">
      <w:pPr>
        <w:rPr>
          <w:rFonts w:hint="default" w:ascii="Times New Roman" w:hAnsi="Times New Roman" w:cs="Times New Roman"/>
          <w:color w:val="000000" w:themeColor="text1"/>
          <w:highlight w:val="none"/>
          <w14:textFill>
            <w14:solidFill>
              <w14:schemeClr w14:val="tx1"/>
            </w14:solidFill>
          </w14:textFill>
        </w:rPr>
      </w:pPr>
    </w:p>
    <w:p w14:paraId="2A7D1FC7">
      <w:pP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根据监测结果可知，河段水质满足</w:t>
      </w:r>
      <w:r>
        <w:rPr>
          <w:rFonts w:hint="default" w:ascii="Times New Roman" w:hAnsi="Times New Roman" w:eastAsia="微软雅黑" w:cs="Times New Roman"/>
          <w:highlight w:val="none"/>
        </w:rPr>
        <w:t>Ⅱ</w:t>
      </w:r>
      <w:r>
        <w:rPr>
          <w:rFonts w:hint="default" w:ascii="Times New Roman" w:hAnsi="Times New Roman" w:cs="Times New Roman"/>
          <w:color w:val="000000" w:themeColor="text1"/>
          <w:sz w:val="24"/>
          <w:highlight w:val="none"/>
          <w14:textFill>
            <w14:solidFill>
              <w14:schemeClr w14:val="tx1"/>
            </w14:solidFill>
          </w14:textFill>
        </w:rPr>
        <w:t>类水质及地表水水源地补充项目标准限值要求，水质较好。</w:t>
      </w:r>
    </w:p>
    <w:p w14:paraId="0C08E58C">
      <w:pPr>
        <w:pStyle w:val="5"/>
        <w:bidi w:val="0"/>
        <w:rPr>
          <w:rFonts w:hint="default"/>
          <w:highlight w:val="none"/>
          <w:lang w:val="en-US" w:eastAsia="zh-CN"/>
        </w:rPr>
      </w:pPr>
      <w:r>
        <w:rPr>
          <w:rFonts w:hint="default"/>
          <w:highlight w:val="none"/>
          <w:lang w:val="en-US" w:eastAsia="zh-CN"/>
        </w:rPr>
        <w:t>地下水</w:t>
      </w:r>
    </w:p>
    <w:p w14:paraId="0118CD7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本流域范围内及流域周边无地下水常规监测点，区域未开展地下水开采等及利用的活动。流域区域不具备监测条件，本规划环评未开展地下水水质监测。</w:t>
      </w:r>
    </w:p>
    <w:p w14:paraId="4638EAE4">
      <w:pPr>
        <w:pStyle w:val="5"/>
        <w:bidi w:val="0"/>
        <w:rPr>
          <w:rFonts w:hint="default"/>
          <w:highlight w:val="none"/>
          <w:lang w:val="en-US" w:eastAsia="zh-CN"/>
        </w:rPr>
      </w:pPr>
      <w:r>
        <w:rPr>
          <w:rFonts w:hint="eastAsia"/>
          <w:highlight w:val="none"/>
          <w:lang w:val="en-US" w:eastAsia="zh-CN"/>
        </w:rPr>
        <w:t>流域水环境质量小结</w:t>
      </w:r>
    </w:p>
    <w:p w14:paraId="7FB3934E">
      <w:pPr>
        <w:spacing w:before="35" w:line="219" w:lineRule="auto"/>
        <w:ind w:left="0" w:leftChars="0" w:firstLine="476" w:firstLineChars="200"/>
        <w:rPr>
          <w:rFonts w:ascii="宋体" w:hAnsi="宋体" w:eastAsia="宋体" w:cs="宋体"/>
          <w:sz w:val="24"/>
          <w:szCs w:val="24"/>
          <w:highlight w:val="none"/>
        </w:rPr>
      </w:pPr>
      <w:r>
        <w:rPr>
          <w:rFonts w:ascii="宋体" w:hAnsi="宋体" w:eastAsia="宋体" w:cs="宋体"/>
          <w:spacing w:val="-1"/>
          <w:sz w:val="24"/>
          <w:szCs w:val="24"/>
          <w:highlight w:val="none"/>
        </w:rPr>
        <w:t>流域水环境质量现状小节见</w:t>
      </w:r>
      <w:r>
        <w:rPr>
          <w:rFonts w:hint="default" w:ascii="宋体" w:hAnsi="宋体" w:eastAsia="宋体" w:cs="宋体"/>
          <w:spacing w:val="-1"/>
          <w:sz w:val="24"/>
          <w:szCs w:val="24"/>
          <w:highlight w:val="none"/>
          <w:lang w:val="en-US"/>
        </w:rPr>
        <w:fldChar w:fldCharType="begin"/>
      </w:r>
      <w:r>
        <w:rPr>
          <w:rFonts w:hint="default" w:ascii="宋体" w:hAnsi="宋体" w:eastAsia="宋体" w:cs="宋体"/>
          <w:spacing w:val="-1"/>
          <w:sz w:val="24"/>
          <w:szCs w:val="24"/>
          <w:highlight w:val="none"/>
          <w:lang w:val="en-US"/>
        </w:rPr>
        <w:instrText xml:space="preserve"> REF _Ref24441 \h </w:instrText>
      </w:r>
      <w:r>
        <w:rPr>
          <w:rFonts w:hint="default" w:ascii="宋体" w:hAnsi="宋体" w:eastAsia="宋体" w:cs="宋体"/>
          <w:spacing w:val="-1"/>
          <w:sz w:val="24"/>
          <w:szCs w:val="24"/>
          <w:highlight w:val="none"/>
          <w:lang w:val="en-US"/>
        </w:rPr>
        <w:fldChar w:fldCharType="separate"/>
      </w:r>
      <w:r>
        <w:rPr>
          <w:highlight w:val="none"/>
        </w:rPr>
        <w:t>表 23</w:t>
      </w:r>
      <w:r>
        <w:rPr>
          <w:rFonts w:hint="default" w:ascii="宋体" w:hAnsi="宋体" w:eastAsia="宋体" w:cs="宋体"/>
          <w:spacing w:val="-1"/>
          <w:sz w:val="24"/>
          <w:szCs w:val="24"/>
          <w:highlight w:val="none"/>
          <w:lang w:val="en-US"/>
        </w:rPr>
        <w:fldChar w:fldCharType="end"/>
      </w:r>
      <w:r>
        <w:rPr>
          <w:rFonts w:ascii="宋体" w:hAnsi="宋体" w:eastAsia="宋体" w:cs="宋体"/>
          <w:spacing w:val="-1"/>
          <w:sz w:val="24"/>
          <w:szCs w:val="24"/>
          <w:highlight w:val="none"/>
        </w:rPr>
        <w:t>。</w:t>
      </w:r>
    </w:p>
    <w:p w14:paraId="0A3F32AE">
      <w:pPr>
        <w:pStyle w:val="11"/>
        <w:bidi w:val="0"/>
        <w:rPr>
          <w:highlight w:val="none"/>
        </w:rPr>
      </w:pPr>
      <w:bookmarkStart w:id="42" w:name="_Ref24441"/>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23</w:t>
      </w:r>
      <w:r>
        <w:rPr>
          <w:highlight w:val="none"/>
        </w:rPr>
        <w:fldChar w:fldCharType="end"/>
      </w:r>
      <w:bookmarkEnd w:id="42"/>
      <w:r>
        <w:rPr>
          <w:highlight w:val="none"/>
        </w:rPr>
        <w:t xml:space="preserve"> 水质现状评价结果一览表</w:t>
      </w:r>
    </w:p>
    <w:p w14:paraId="055DCC85">
      <w:pPr>
        <w:spacing w:line="66" w:lineRule="exact"/>
        <w:rPr>
          <w:highlight w:val="none"/>
        </w:rPr>
      </w:pPr>
    </w:p>
    <w:tbl>
      <w:tblPr>
        <w:tblStyle w:val="24"/>
        <w:tblW w:w="836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86"/>
        <w:gridCol w:w="2903"/>
        <w:gridCol w:w="4977"/>
      </w:tblGrid>
      <w:tr w14:paraId="221FD3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2" w:hRule="atLeast"/>
        </w:trPr>
        <w:tc>
          <w:tcPr>
            <w:tcW w:w="486" w:type="dxa"/>
            <w:vAlign w:val="center"/>
          </w:tcPr>
          <w:p w14:paraId="798BF7BF">
            <w:pPr>
              <w:pStyle w:val="22"/>
              <w:bidi w:val="0"/>
              <w:jc w:val="center"/>
              <w:rPr>
                <w:highlight w:val="none"/>
              </w:rPr>
            </w:pPr>
            <w:r>
              <w:rPr>
                <w:highlight w:val="none"/>
              </w:rPr>
              <w:t>序号</w:t>
            </w:r>
          </w:p>
        </w:tc>
        <w:tc>
          <w:tcPr>
            <w:tcW w:w="2903" w:type="dxa"/>
            <w:vAlign w:val="center"/>
          </w:tcPr>
          <w:p w14:paraId="021DEE87">
            <w:pPr>
              <w:pStyle w:val="22"/>
              <w:bidi w:val="0"/>
              <w:jc w:val="center"/>
              <w:rPr>
                <w:highlight w:val="none"/>
              </w:rPr>
            </w:pPr>
            <w:r>
              <w:rPr>
                <w:highlight w:val="none"/>
              </w:rPr>
              <w:t>断面</w:t>
            </w:r>
          </w:p>
        </w:tc>
        <w:tc>
          <w:tcPr>
            <w:tcW w:w="4977" w:type="dxa"/>
            <w:vAlign w:val="center"/>
          </w:tcPr>
          <w:p w14:paraId="7A43A3A4">
            <w:pPr>
              <w:pStyle w:val="22"/>
              <w:bidi w:val="0"/>
              <w:jc w:val="center"/>
              <w:rPr>
                <w:highlight w:val="none"/>
              </w:rPr>
            </w:pPr>
            <w:r>
              <w:rPr>
                <w:highlight w:val="none"/>
              </w:rPr>
              <w:t>现状评价</w:t>
            </w:r>
          </w:p>
        </w:tc>
      </w:tr>
      <w:tr w14:paraId="75783F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486" w:type="dxa"/>
            <w:vAlign w:val="center"/>
          </w:tcPr>
          <w:p w14:paraId="16E109D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2903" w:type="dxa"/>
            <w:vAlign w:val="center"/>
          </w:tcPr>
          <w:p w14:paraId="5E78EDC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D1坝址处上游200m（冷龙沟）</w:t>
            </w:r>
          </w:p>
        </w:tc>
        <w:tc>
          <w:tcPr>
            <w:tcW w:w="4977" w:type="dxa"/>
            <w:vAlign w:val="center"/>
          </w:tcPr>
          <w:p w14:paraId="650ABD1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所有监测项目Pi均小于1，符合</w:t>
            </w:r>
            <w:r>
              <w:rPr>
                <w:rFonts w:hint="default" w:ascii="Times New Roman" w:hAnsi="Times New Roman" w:eastAsia="微软雅黑" w:cs="Times New Roman"/>
                <w:highlight w:val="none"/>
              </w:rPr>
              <w:t>Ⅱ</w:t>
            </w:r>
            <w:r>
              <w:rPr>
                <w:rFonts w:hint="default" w:ascii="Times New Roman" w:hAnsi="Times New Roman" w:cs="Times New Roman"/>
                <w:highlight w:val="none"/>
              </w:rPr>
              <w:t>类水质要求。</w:t>
            </w:r>
          </w:p>
        </w:tc>
      </w:tr>
      <w:tr w14:paraId="1CC74F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486" w:type="dxa"/>
            <w:vAlign w:val="center"/>
          </w:tcPr>
          <w:p w14:paraId="49964F8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2903" w:type="dxa"/>
            <w:vAlign w:val="center"/>
          </w:tcPr>
          <w:p w14:paraId="76B6B8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D2冷龙沟与硕曲汇合口下游200m</w:t>
            </w:r>
          </w:p>
        </w:tc>
        <w:tc>
          <w:tcPr>
            <w:tcW w:w="4977" w:type="dxa"/>
            <w:vAlign w:val="center"/>
          </w:tcPr>
          <w:p w14:paraId="3403119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所有监测项目Pi均小于1，符合</w:t>
            </w:r>
            <w:r>
              <w:rPr>
                <w:rFonts w:hint="default" w:ascii="Times New Roman" w:hAnsi="Times New Roman" w:eastAsia="微软雅黑" w:cs="Times New Roman"/>
                <w:highlight w:val="none"/>
              </w:rPr>
              <w:t>Ⅱ</w:t>
            </w:r>
            <w:r>
              <w:rPr>
                <w:rFonts w:hint="default" w:ascii="Times New Roman" w:hAnsi="Times New Roman" w:cs="Times New Roman"/>
                <w:highlight w:val="none"/>
              </w:rPr>
              <w:t>类水质要求。</w:t>
            </w:r>
          </w:p>
        </w:tc>
      </w:tr>
      <w:tr w14:paraId="7BB563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486" w:type="dxa"/>
            <w:vAlign w:val="center"/>
          </w:tcPr>
          <w:p w14:paraId="6FD96470">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3</w:t>
            </w:r>
          </w:p>
        </w:tc>
        <w:tc>
          <w:tcPr>
            <w:tcW w:w="2903" w:type="dxa"/>
            <w:vAlign w:val="center"/>
          </w:tcPr>
          <w:p w14:paraId="4DD75330">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地表水饮用水源地</w:t>
            </w:r>
          </w:p>
        </w:tc>
        <w:tc>
          <w:tcPr>
            <w:tcW w:w="4977" w:type="dxa"/>
            <w:vAlign w:val="center"/>
          </w:tcPr>
          <w:p w14:paraId="27A1984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所有监测项目Pi均小于1，符合</w:t>
            </w:r>
            <w:r>
              <w:rPr>
                <w:rFonts w:hint="default" w:ascii="Times New Roman" w:hAnsi="Times New Roman" w:eastAsia="微软雅黑" w:cs="Times New Roman"/>
                <w:highlight w:val="none"/>
              </w:rPr>
              <w:t>Ⅱ</w:t>
            </w:r>
            <w:r>
              <w:rPr>
                <w:rFonts w:hint="default" w:ascii="Times New Roman" w:hAnsi="Times New Roman" w:cs="Times New Roman"/>
                <w:highlight w:val="none"/>
              </w:rPr>
              <w:t>类水质要求。</w:t>
            </w:r>
          </w:p>
        </w:tc>
      </w:tr>
    </w:tbl>
    <w:p w14:paraId="158A5877">
      <w:pPr>
        <w:bidi w:val="0"/>
        <w:rPr>
          <w:rFonts w:hint="default"/>
          <w:highlight w:val="none"/>
          <w:lang w:val="en-US" w:eastAsia="zh-CN"/>
        </w:rPr>
      </w:pPr>
      <w:r>
        <w:rPr>
          <w:rFonts w:hint="default"/>
          <w:highlight w:val="none"/>
          <w:lang w:val="en-US" w:eastAsia="zh-CN"/>
        </w:rPr>
        <w:t>（1）河流断面水质现状小</w:t>
      </w:r>
      <w:r>
        <w:rPr>
          <w:rFonts w:hint="eastAsia"/>
          <w:highlight w:val="none"/>
          <w:lang w:val="en-US" w:eastAsia="zh-CN"/>
        </w:rPr>
        <w:t>结</w:t>
      </w:r>
    </w:p>
    <w:p w14:paraId="51D31B8F">
      <w:pPr>
        <w:rPr>
          <w:rFonts w:hint="default"/>
          <w:highlight w:val="none"/>
          <w:lang w:val="en-US" w:eastAsia="zh-CN"/>
        </w:rPr>
      </w:pPr>
      <w:r>
        <w:rPr>
          <w:rFonts w:hint="default"/>
          <w:highlight w:val="none"/>
          <w:lang w:val="en-US" w:eastAsia="zh-CN"/>
        </w:rPr>
        <w:t>本次</w:t>
      </w:r>
      <w:r>
        <w:rPr>
          <w:rFonts w:hint="eastAsia"/>
          <w:highlight w:val="none"/>
          <w:lang w:val="en-US" w:eastAsia="zh-CN"/>
        </w:rPr>
        <w:t>冷龙沟</w:t>
      </w:r>
      <w:r>
        <w:rPr>
          <w:rFonts w:hint="default"/>
          <w:highlight w:val="none"/>
          <w:lang w:val="en-US" w:eastAsia="zh-CN"/>
        </w:rPr>
        <w:t>流域，1#-</w:t>
      </w:r>
      <w:r>
        <w:rPr>
          <w:rFonts w:hint="eastAsia"/>
          <w:highlight w:val="none"/>
          <w:lang w:val="en-US" w:eastAsia="zh-CN"/>
        </w:rPr>
        <w:t>2</w:t>
      </w:r>
      <w:r>
        <w:rPr>
          <w:rFonts w:hint="default"/>
          <w:highlight w:val="none"/>
          <w:lang w:val="en-US" w:eastAsia="zh-CN"/>
        </w:rPr>
        <w:t>#各断面水质监测指标基本符合GB3838-2002中</w:t>
      </w:r>
      <w:r>
        <w:rPr>
          <w:rFonts w:hint="default" w:ascii="Times New Roman" w:hAnsi="Times New Roman" w:eastAsia="微软雅黑" w:cs="Times New Roman"/>
          <w:highlight w:val="none"/>
        </w:rPr>
        <w:t>Ⅱ</w:t>
      </w:r>
      <w:r>
        <w:rPr>
          <w:rFonts w:hint="default"/>
          <w:highlight w:val="none"/>
          <w:lang w:val="en-US" w:eastAsia="zh-CN"/>
        </w:rPr>
        <w:t>类水质要求。</w:t>
      </w:r>
    </w:p>
    <w:p w14:paraId="71FF7A86">
      <w:pPr>
        <w:bidi w:val="0"/>
        <w:rPr>
          <w:rFonts w:hint="default"/>
          <w:highlight w:val="none"/>
          <w:lang w:val="en-US" w:eastAsia="zh-CN"/>
        </w:rPr>
      </w:pPr>
      <w:r>
        <w:rPr>
          <w:rFonts w:hint="default"/>
          <w:highlight w:val="none"/>
          <w:lang w:val="en-US" w:eastAsia="zh-CN"/>
        </w:rPr>
        <w:t>（</w:t>
      </w:r>
      <w:r>
        <w:rPr>
          <w:rFonts w:hint="eastAsia"/>
          <w:highlight w:val="none"/>
          <w:lang w:val="en-US" w:eastAsia="zh-CN"/>
        </w:rPr>
        <w:t>2</w:t>
      </w:r>
      <w:r>
        <w:rPr>
          <w:rFonts w:hint="default"/>
          <w:highlight w:val="none"/>
          <w:lang w:val="en-US" w:eastAsia="zh-CN"/>
        </w:rPr>
        <w:t>）</w:t>
      </w:r>
      <w:r>
        <w:rPr>
          <w:rFonts w:hint="eastAsia"/>
          <w:highlight w:val="none"/>
          <w:lang w:val="en-US" w:eastAsia="zh-CN"/>
        </w:rPr>
        <w:t>饮用水</w:t>
      </w:r>
      <w:r>
        <w:rPr>
          <w:rFonts w:hint="default"/>
          <w:highlight w:val="none"/>
          <w:lang w:val="en-US" w:eastAsia="zh-CN"/>
        </w:rPr>
        <w:t>监控断面水质现状小</w:t>
      </w:r>
      <w:r>
        <w:rPr>
          <w:rFonts w:hint="eastAsia"/>
          <w:highlight w:val="none"/>
          <w:lang w:val="en-US" w:eastAsia="zh-CN"/>
        </w:rPr>
        <w:t>结</w:t>
      </w:r>
    </w:p>
    <w:p w14:paraId="3E331823">
      <w:pPr>
        <w:rPr>
          <w:rFonts w:hint="default"/>
          <w:highlight w:val="none"/>
          <w:lang w:val="en-US" w:eastAsia="zh-CN"/>
        </w:rPr>
      </w:pPr>
      <w:r>
        <w:rPr>
          <w:rFonts w:hint="default"/>
          <w:highlight w:val="none"/>
          <w:lang w:val="en-US" w:eastAsia="zh-CN"/>
        </w:rPr>
        <w:t>近三年</w:t>
      </w:r>
      <w:r>
        <w:rPr>
          <w:rFonts w:hint="eastAsia"/>
          <w:highlight w:val="none"/>
          <w:lang w:val="en-US" w:eastAsia="zh-CN"/>
        </w:rPr>
        <w:t>冷龙沟流域水质三年来除（总氮不参评外）一直稳定较稳定达到《地表水环境质量标准》中</w:t>
      </w:r>
      <w:r>
        <w:rPr>
          <w:rFonts w:hint="default" w:ascii="Times New Roman" w:hAnsi="Times New Roman" w:cs="Times New Roman"/>
          <w:highlight w:val="none"/>
          <w:lang w:val="en-US" w:eastAsia="zh-CN"/>
        </w:rPr>
        <w:t>Ⅱ</w:t>
      </w:r>
      <w:r>
        <w:rPr>
          <w:rFonts w:hint="eastAsia"/>
          <w:highlight w:val="none"/>
          <w:lang w:val="en-US" w:eastAsia="zh-CN"/>
        </w:rPr>
        <w:t>类标准限值。</w:t>
      </w:r>
    </w:p>
    <w:p w14:paraId="3F21E827">
      <w:pPr>
        <w:pStyle w:val="4"/>
        <w:bidi w:val="0"/>
        <w:rPr>
          <w:rFonts w:hint="default"/>
          <w:highlight w:val="none"/>
          <w:lang w:val="en-US" w:eastAsia="zh-CN"/>
        </w:rPr>
      </w:pPr>
      <w:r>
        <w:rPr>
          <w:rFonts w:hint="default"/>
          <w:highlight w:val="none"/>
          <w:lang w:val="en-US" w:eastAsia="zh-CN"/>
        </w:rPr>
        <w:t>生态现状调查与评价</w:t>
      </w:r>
    </w:p>
    <w:p w14:paraId="0045D8A1">
      <w:pPr>
        <w:pStyle w:val="5"/>
        <w:bidi w:val="0"/>
        <w:rPr>
          <w:rFonts w:hint="default"/>
          <w:highlight w:val="none"/>
          <w:lang w:val="en-US" w:eastAsia="zh-CN"/>
        </w:rPr>
      </w:pPr>
      <w:r>
        <w:rPr>
          <w:rFonts w:hint="eastAsia"/>
          <w:highlight w:val="none"/>
          <w:lang w:val="en-US" w:eastAsia="zh-CN"/>
        </w:rPr>
        <w:t>土地利用现状调查</w:t>
      </w:r>
    </w:p>
    <w:p w14:paraId="4836F173">
      <w:pPr>
        <w:rPr>
          <w:rFonts w:hint="default"/>
          <w:highlight w:val="none"/>
          <w:lang w:val="en-US" w:eastAsia="zh-CN"/>
        </w:rPr>
      </w:pPr>
      <w:r>
        <w:rPr>
          <w:rFonts w:hint="default"/>
          <w:highlight w:val="none"/>
          <w:lang w:val="en-US" w:eastAsia="zh-CN"/>
        </w:rPr>
        <w:t>评价区域土地利用现状调查基于高分辨率遥感影像利用GIS软件进行人工目视解译，遥感影像采用区域2023年12月的30m分辨率卫星影像作为解译基础底图。按照《环境影响评价技术导则 生态影响(HJ 19-2022)》要求，通过人工目视判读遥感影像及现场调查核实，将评价范围内的土地利用类型按GB/T21010-2017土地利用分类体系进行分类，形成土地利用现状矢量数据库，并以二级类型作为基础制图单位制作评价区域土地利用现状图。</w:t>
      </w:r>
    </w:p>
    <w:p w14:paraId="60ADD1DB">
      <w:pPr>
        <w:ind w:left="0" w:leftChars="0" w:firstLine="0" w:firstLineChars="0"/>
        <w:rPr>
          <w:rFonts w:hint="default"/>
          <w:highlight w:val="none"/>
          <w:lang w:val="en-US" w:eastAsia="zh-CN"/>
        </w:rPr>
      </w:pPr>
      <w:r>
        <w:rPr>
          <w:highlight w:val="none"/>
        </w:rPr>
        <w:drawing>
          <wp:inline distT="0" distB="0" distL="114300" distR="114300">
            <wp:extent cx="5273040" cy="5273040"/>
            <wp:effectExtent l="0" t="0" r="3810" b="381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6"/>
                    <a:stretch>
                      <a:fillRect/>
                    </a:stretch>
                  </pic:blipFill>
                  <pic:spPr>
                    <a:xfrm>
                      <a:off x="0" y="0"/>
                      <a:ext cx="5273040" cy="5273040"/>
                    </a:xfrm>
                    <a:prstGeom prst="rect">
                      <a:avLst/>
                    </a:prstGeom>
                    <a:noFill/>
                    <a:ln>
                      <a:noFill/>
                    </a:ln>
                  </pic:spPr>
                </pic:pic>
              </a:graphicData>
            </a:graphic>
          </wp:inline>
        </w:drawing>
      </w:r>
    </w:p>
    <w:p w14:paraId="3D456AAB">
      <w:pPr>
        <w:pStyle w:val="11"/>
        <w:ind w:left="0" w:leftChars="0" w:firstLine="0" w:firstLineChars="0"/>
        <w:rPr>
          <w:rFonts w:hint="eastAsia"/>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11</w:t>
      </w:r>
      <w:r>
        <w:rPr>
          <w:highlight w:val="none"/>
        </w:rPr>
        <w:fldChar w:fldCharType="end"/>
      </w:r>
      <w:r>
        <w:rPr>
          <w:rFonts w:hint="eastAsia"/>
          <w:highlight w:val="none"/>
          <w:lang w:val="en-US" w:eastAsia="zh-CN"/>
        </w:rPr>
        <w:t xml:space="preserve"> 土地利用现状图</w:t>
      </w:r>
    </w:p>
    <w:p w14:paraId="58D27920">
      <w:pPr>
        <w:pStyle w:val="5"/>
        <w:bidi w:val="0"/>
        <w:rPr>
          <w:rFonts w:hint="default"/>
          <w:highlight w:val="none"/>
          <w:lang w:val="en-US" w:eastAsia="zh-CN"/>
        </w:rPr>
      </w:pPr>
      <w:r>
        <w:rPr>
          <w:rFonts w:hint="eastAsia"/>
          <w:highlight w:val="none"/>
          <w:lang w:val="en-US" w:eastAsia="zh-CN"/>
        </w:rPr>
        <w:t>陆生生态</w:t>
      </w:r>
    </w:p>
    <w:p w14:paraId="2545462C">
      <w:pPr>
        <w:pStyle w:val="6"/>
        <w:bidi w:val="0"/>
        <w:rPr>
          <w:rFonts w:hint="default"/>
          <w:highlight w:val="none"/>
          <w:lang w:val="en-US" w:eastAsia="zh-CN"/>
        </w:rPr>
      </w:pPr>
      <w:r>
        <w:rPr>
          <w:rFonts w:hint="default"/>
          <w:highlight w:val="none"/>
          <w:lang w:val="en-US" w:eastAsia="zh-CN"/>
        </w:rPr>
        <w:t>陆生真菌、植物生态现状调查</w:t>
      </w:r>
    </w:p>
    <w:p w14:paraId="5521E059">
      <w:pPr>
        <w:numPr>
          <w:ilvl w:val="0"/>
          <w:numId w:val="20"/>
        </w:numPr>
        <w:ind w:left="0" w:leftChars="0" w:firstLine="480" w:firstLineChars="200"/>
        <w:rPr>
          <w:rFonts w:hint="eastAsia"/>
          <w:b/>
          <w:bCs/>
          <w:highlight w:val="none"/>
          <w:lang w:val="en-US" w:eastAsia="zh-CN"/>
        </w:rPr>
      </w:pPr>
      <w:r>
        <w:rPr>
          <w:rFonts w:hint="eastAsia"/>
          <w:b/>
          <w:bCs/>
          <w:highlight w:val="none"/>
          <w:lang w:val="en-US" w:eastAsia="zh-CN"/>
        </w:rPr>
        <w:t>调查时间和方法</w:t>
      </w:r>
    </w:p>
    <w:p w14:paraId="1F7C917F">
      <w:pPr>
        <w:bidi w:val="0"/>
        <w:rPr>
          <w:rFonts w:hint="default"/>
          <w:highlight w:val="none"/>
          <w:lang w:val="en-US" w:eastAsia="zh-CN"/>
        </w:rPr>
      </w:pPr>
      <w:r>
        <w:rPr>
          <w:rFonts w:hint="eastAsia"/>
          <w:highlight w:val="none"/>
          <w:lang w:val="en-US" w:eastAsia="zh-CN"/>
        </w:rPr>
        <w:t>1）调查时间</w:t>
      </w:r>
    </w:p>
    <w:p w14:paraId="22BBED3B">
      <w:pPr>
        <w:bidi w:val="0"/>
        <w:rPr>
          <w:rFonts w:hint="default"/>
          <w:highlight w:val="none"/>
          <w:lang w:val="en-US" w:eastAsia="zh-CN"/>
        </w:rPr>
      </w:pPr>
      <w:r>
        <w:rPr>
          <w:rFonts w:hint="default"/>
          <w:highlight w:val="none"/>
          <w:lang w:val="en-US" w:eastAsia="zh-CN"/>
        </w:rPr>
        <w:t>为掌握本项目工程所在区域的陆生生态背景情况，专业人员于2023年12月至1月、2024年7-8月对评价区进行了野外调查。本项目现场调查涵盖了评价区主要植被生长旺盛的季节。</w:t>
      </w:r>
    </w:p>
    <w:p w14:paraId="5F5F180E">
      <w:pPr>
        <w:bidi w:val="0"/>
        <w:rPr>
          <w:rFonts w:hint="default"/>
          <w:highlight w:val="none"/>
          <w:lang w:val="en-US" w:eastAsia="zh-CN"/>
        </w:rPr>
      </w:pPr>
      <w:r>
        <w:rPr>
          <w:rFonts w:hint="eastAsia"/>
          <w:highlight w:val="none"/>
          <w:lang w:val="en-US" w:eastAsia="zh-CN"/>
        </w:rPr>
        <w:t>2）样方设置原则及调查方法</w:t>
      </w:r>
    </w:p>
    <w:p w14:paraId="0C36040C">
      <w:pPr>
        <w:bidi w:val="0"/>
        <w:rPr>
          <w:rFonts w:hint="default"/>
          <w:highlight w:val="none"/>
          <w:lang w:val="en-US" w:eastAsia="zh-CN"/>
        </w:rPr>
      </w:pPr>
      <w:r>
        <w:rPr>
          <w:rFonts w:hint="default"/>
          <w:highlight w:val="none"/>
          <w:lang w:val="en-US" w:eastAsia="zh-CN"/>
        </w:rPr>
        <w:t>样方设置原则：尽量在人为干扰较少的地方设置样方，针对不同植被类型和地形地貌条件，选取有代表性、典型性的样方进行调查。根据对调查区域的前期考察，考虑区域内的可达性，样方设置根据植被类型在本区域所在比例、重要性等进行设点，以期全面、客观反应该区域的植被类型、组成、结构等现状。为消除主观因素，避免取样误差，应两人以上进行观察记录。</w:t>
      </w:r>
    </w:p>
    <w:p w14:paraId="427B678D">
      <w:pPr>
        <w:bidi w:val="0"/>
        <w:rPr>
          <w:rFonts w:hint="default"/>
          <w:highlight w:val="none"/>
          <w:lang w:val="en-US" w:eastAsia="zh-CN"/>
        </w:rPr>
      </w:pPr>
      <w:r>
        <w:rPr>
          <w:rFonts w:hint="default"/>
          <w:highlight w:val="none"/>
          <w:lang w:val="en-US" w:eastAsia="zh-CN"/>
        </w:rPr>
        <w:t>调查方法</w:t>
      </w:r>
      <w:r>
        <w:rPr>
          <w:rFonts w:hint="eastAsia"/>
          <w:highlight w:val="none"/>
          <w:lang w:val="en-US" w:eastAsia="zh-CN"/>
        </w:rPr>
        <w:t>：</w:t>
      </w:r>
      <w:r>
        <w:rPr>
          <w:rFonts w:hint="default"/>
          <w:highlight w:val="none"/>
          <w:lang w:val="en-US" w:eastAsia="zh-CN"/>
        </w:rPr>
        <w:t>乔木样方面积为20m×20m、灌丛样方面积为10m×10m 或5m×5m、草本样方面积为1m×1m；乔木样方调查植株种名、高度、胸径、株数、郁闭度等指标，灌木和草本样方中需调查植株种名、高度、株(丛)数、盖度等群落特征。并利用GPS、罗盘等测定、记录样方的经纬度等地理信息。</w:t>
      </w:r>
    </w:p>
    <w:p w14:paraId="4ADD19E3">
      <w:pPr>
        <w:bidi w:val="0"/>
        <w:rPr>
          <w:rFonts w:hint="default"/>
          <w:highlight w:val="none"/>
          <w:lang w:val="en-US" w:eastAsia="zh-CN"/>
        </w:rPr>
      </w:pPr>
      <w:r>
        <w:rPr>
          <w:rFonts w:hint="eastAsia"/>
          <w:highlight w:val="none"/>
          <w:lang w:val="en-US" w:eastAsia="zh-CN"/>
        </w:rPr>
        <w:t>3）样方信息统计</w:t>
      </w:r>
    </w:p>
    <w:p w14:paraId="2AA1F989">
      <w:pPr>
        <w:rPr>
          <w:rFonts w:hint="default"/>
          <w:highlight w:val="none"/>
          <w:lang w:val="en-US" w:eastAsia="zh-CN"/>
        </w:rPr>
      </w:pPr>
      <w:r>
        <w:rPr>
          <w:rFonts w:hint="default"/>
          <w:highlight w:val="none"/>
          <w:lang w:val="en-US" w:eastAsia="zh-CN"/>
        </w:rPr>
        <w:t>根据评价区植被类型图，结合工程布置情况，在评价范围内的4个典型自然植被群系进行现场调查。本次调查了评价区内每种群系设置3个样方，共设置了约15个植被调查样方。由于农业植被受季节性及人为干扰影响很大，本次农业植被调查通过当地居民采访和照片记录的方式进行。调查样方重点布设于评价区涉及天然林、公益林、水库淹没区、管线穿越及占地周边区域。能够代表该区域的主要植被特征样方设置基本合理，满足导则“根据植物群落类型(宜以群系及以下分类单位为调查单元)设置调查 样地，二级评价每种群落类型设置的样方数量不少于 3 个”要求。</w:t>
      </w:r>
    </w:p>
    <w:p w14:paraId="6D15CE98">
      <w:pPr>
        <w:pStyle w:val="11"/>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24</w:t>
      </w:r>
      <w:r>
        <w:rPr>
          <w:highlight w:val="none"/>
        </w:rPr>
        <w:fldChar w:fldCharType="end"/>
      </w:r>
      <w:r>
        <w:rPr>
          <w:rFonts w:hint="eastAsia"/>
          <w:highlight w:val="none"/>
          <w:lang w:val="en-US" w:eastAsia="zh-CN"/>
        </w:rPr>
        <w:t xml:space="preserve"> 样方信息汇总表</w:t>
      </w:r>
    </w:p>
    <w:tbl>
      <w:tblPr>
        <w:tblStyle w:val="20"/>
        <w:tblW w:w="0" w:type="auto"/>
        <w:tblInd w:w="-1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920"/>
        <w:gridCol w:w="1378"/>
        <w:gridCol w:w="1960"/>
        <w:gridCol w:w="995"/>
        <w:gridCol w:w="886"/>
        <w:gridCol w:w="795"/>
      </w:tblGrid>
      <w:tr w14:paraId="0C00B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4C7B77C9">
            <w:pPr>
              <w:pStyle w:val="22"/>
              <w:bidi w:val="0"/>
              <w:jc w:val="center"/>
              <w:rPr>
                <w:rFonts w:hint="default"/>
                <w:highlight w:val="none"/>
                <w:lang w:val="en-US" w:eastAsia="zh-CN"/>
              </w:rPr>
            </w:pPr>
            <w:r>
              <w:rPr>
                <w:highlight w:val="none"/>
              </w:rPr>
              <w:t>序号</w:t>
            </w:r>
          </w:p>
        </w:tc>
        <w:tc>
          <w:tcPr>
            <w:tcW w:w="1920" w:type="dxa"/>
            <w:vAlign w:val="center"/>
          </w:tcPr>
          <w:p w14:paraId="35408750">
            <w:pPr>
              <w:pStyle w:val="22"/>
              <w:bidi w:val="0"/>
              <w:jc w:val="center"/>
              <w:rPr>
                <w:rFonts w:hint="default"/>
                <w:highlight w:val="none"/>
                <w:lang w:val="en-US" w:eastAsia="zh-CN"/>
              </w:rPr>
            </w:pPr>
            <w:r>
              <w:rPr>
                <w:highlight w:val="none"/>
              </w:rPr>
              <w:t>调查区域</w:t>
            </w:r>
          </w:p>
        </w:tc>
        <w:tc>
          <w:tcPr>
            <w:tcW w:w="1378" w:type="dxa"/>
            <w:vAlign w:val="center"/>
          </w:tcPr>
          <w:p w14:paraId="7C47D3E3">
            <w:pPr>
              <w:pStyle w:val="22"/>
              <w:bidi w:val="0"/>
              <w:jc w:val="center"/>
              <w:rPr>
                <w:rFonts w:hint="default"/>
                <w:highlight w:val="none"/>
                <w:lang w:val="en-US" w:eastAsia="zh-CN"/>
              </w:rPr>
            </w:pPr>
            <w:r>
              <w:rPr>
                <w:highlight w:val="none"/>
              </w:rPr>
              <w:t>样方名称</w:t>
            </w:r>
          </w:p>
        </w:tc>
        <w:tc>
          <w:tcPr>
            <w:tcW w:w="1960" w:type="dxa"/>
            <w:vAlign w:val="center"/>
          </w:tcPr>
          <w:p w14:paraId="79829289">
            <w:pPr>
              <w:pStyle w:val="22"/>
              <w:bidi w:val="0"/>
              <w:jc w:val="center"/>
              <w:rPr>
                <w:rFonts w:hint="default"/>
                <w:highlight w:val="none"/>
                <w:lang w:val="en-US" w:eastAsia="zh-CN"/>
              </w:rPr>
            </w:pPr>
            <w:r>
              <w:rPr>
                <w:highlight w:val="none"/>
              </w:rPr>
              <w:t>经度和纬度</w:t>
            </w:r>
          </w:p>
        </w:tc>
        <w:tc>
          <w:tcPr>
            <w:tcW w:w="995" w:type="dxa"/>
            <w:vAlign w:val="center"/>
          </w:tcPr>
          <w:p w14:paraId="26B4F1DB">
            <w:pPr>
              <w:pStyle w:val="22"/>
              <w:bidi w:val="0"/>
              <w:jc w:val="center"/>
              <w:rPr>
                <w:rFonts w:hint="default"/>
                <w:highlight w:val="none"/>
                <w:lang w:val="en-US" w:eastAsia="zh-CN"/>
              </w:rPr>
            </w:pPr>
            <w:r>
              <w:rPr>
                <w:highlight w:val="none"/>
              </w:rPr>
              <w:t>海拔</w:t>
            </w:r>
          </w:p>
        </w:tc>
        <w:tc>
          <w:tcPr>
            <w:tcW w:w="886" w:type="dxa"/>
            <w:vAlign w:val="center"/>
          </w:tcPr>
          <w:p w14:paraId="1C383CFB">
            <w:pPr>
              <w:pStyle w:val="22"/>
              <w:bidi w:val="0"/>
              <w:jc w:val="center"/>
              <w:rPr>
                <w:rFonts w:hint="default"/>
                <w:highlight w:val="none"/>
                <w:lang w:val="en-US" w:eastAsia="zh-CN"/>
              </w:rPr>
            </w:pPr>
            <w:r>
              <w:rPr>
                <w:highlight w:val="none"/>
              </w:rPr>
              <w:t>坡向</w:t>
            </w:r>
          </w:p>
        </w:tc>
        <w:tc>
          <w:tcPr>
            <w:tcW w:w="795" w:type="dxa"/>
            <w:vAlign w:val="center"/>
          </w:tcPr>
          <w:p w14:paraId="5F2A1668">
            <w:pPr>
              <w:pStyle w:val="22"/>
              <w:bidi w:val="0"/>
              <w:jc w:val="center"/>
              <w:rPr>
                <w:rFonts w:hint="default"/>
                <w:highlight w:val="none"/>
                <w:lang w:val="en-US" w:eastAsia="zh-CN"/>
              </w:rPr>
            </w:pPr>
            <w:r>
              <w:rPr>
                <w:highlight w:val="none"/>
              </w:rPr>
              <w:t>坡度</w:t>
            </w:r>
          </w:p>
        </w:tc>
      </w:tr>
      <w:tr w14:paraId="31ABF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7B63D403">
            <w:pPr>
              <w:pStyle w:val="22"/>
              <w:bidi w:val="0"/>
              <w:jc w:val="center"/>
              <w:rPr>
                <w:rFonts w:hint="default"/>
                <w:highlight w:val="none"/>
                <w:lang w:val="en-US" w:eastAsia="zh-CN"/>
              </w:rPr>
            </w:pPr>
            <w:r>
              <w:rPr>
                <w:rFonts w:hint="eastAsia"/>
                <w:highlight w:val="none"/>
                <w:lang w:val="en-US" w:eastAsia="zh-CN"/>
              </w:rPr>
              <w:t>1</w:t>
            </w:r>
          </w:p>
        </w:tc>
        <w:tc>
          <w:tcPr>
            <w:tcW w:w="1920" w:type="dxa"/>
            <w:vAlign w:val="center"/>
          </w:tcPr>
          <w:p w14:paraId="41954226">
            <w:pPr>
              <w:pStyle w:val="25"/>
              <w:bidi w:val="0"/>
              <w:jc w:val="center"/>
              <w:rPr>
                <w:rFonts w:hint="default"/>
                <w:highlight w:val="none"/>
                <w:lang w:val="en-US" w:eastAsia="zh-CN"/>
              </w:rPr>
            </w:pPr>
            <w:r>
              <w:rPr>
                <w:highlight w:val="none"/>
              </w:rPr>
              <w:t>尼色拥水库库尾</w:t>
            </w:r>
          </w:p>
        </w:tc>
        <w:tc>
          <w:tcPr>
            <w:tcW w:w="1378" w:type="dxa"/>
            <w:vAlign w:val="center"/>
          </w:tcPr>
          <w:p w14:paraId="451E5B73">
            <w:pPr>
              <w:pStyle w:val="25"/>
              <w:bidi w:val="0"/>
              <w:jc w:val="center"/>
              <w:rPr>
                <w:rFonts w:hint="default"/>
                <w:highlight w:val="none"/>
                <w:lang w:val="en-US" w:eastAsia="zh-CN"/>
              </w:rPr>
            </w:pPr>
            <w:r>
              <w:rPr>
                <w:highlight w:val="none"/>
              </w:rPr>
              <w:t>鳞皮冷杉林</w:t>
            </w:r>
          </w:p>
        </w:tc>
        <w:tc>
          <w:tcPr>
            <w:tcW w:w="1960" w:type="dxa"/>
            <w:vAlign w:val="center"/>
          </w:tcPr>
          <w:p w14:paraId="2C8ACA65">
            <w:pPr>
              <w:pStyle w:val="25"/>
              <w:bidi w:val="0"/>
              <w:jc w:val="center"/>
              <w:rPr>
                <w:highlight w:val="none"/>
              </w:rPr>
            </w:pPr>
            <w:r>
              <w:rPr>
                <w:highlight w:val="none"/>
              </w:rPr>
              <w:t>99°46'45.6972"E；</w:t>
            </w:r>
          </w:p>
          <w:p w14:paraId="457557FB">
            <w:pPr>
              <w:pStyle w:val="25"/>
              <w:bidi w:val="0"/>
              <w:jc w:val="center"/>
              <w:rPr>
                <w:rFonts w:hint="default"/>
                <w:highlight w:val="none"/>
                <w:lang w:val="en-US" w:eastAsia="zh-CN"/>
              </w:rPr>
            </w:pPr>
            <w:r>
              <w:rPr>
                <w:highlight w:val="none"/>
              </w:rPr>
              <w:t>29°02' 15.1354"N</w:t>
            </w:r>
          </w:p>
        </w:tc>
        <w:tc>
          <w:tcPr>
            <w:tcW w:w="995" w:type="dxa"/>
            <w:vAlign w:val="center"/>
          </w:tcPr>
          <w:p w14:paraId="782D839C">
            <w:pPr>
              <w:pStyle w:val="25"/>
              <w:bidi w:val="0"/>
              <w:jc w:val="center"/>
              <w:rPr>
                <w:rFonts w:hint="default"/>
                <w:highlight w:val="none"/>
                <w:lang w:val="en-US" w:eastAsia="zh-CN"/>
              </w:rPr>
            </w:pPr>
            <w:r>
              <w:rPr>
                <w:highlight w:val="none"/>
              </w:rPr>
              <w:t>3795</w:t>
            </w:r>
          </w:p>
        </w:tc>
        <w:tc>
          <w:tcPr>
            <w:tcW w:w="886" w:type="dxa"/>
            <w:vAlign w:val="center"/>
          </w:tcPr>
          <w:p w14:paraId="15BB7D3F">
            <w:pPr>
              <w:pStyle w:val="25"/>
              <w:bidi w:val="0"/>
              <w:jc w:val="center"/>
              <w:rPr>
                <w:rFonts w:hint="default"/>
                <w:highlight w:val="none"/>
                <w:lang w:val="en-US" w:eastAsia="zh-CN"/>
              </w:rPr>
            </w:pPr>
            <w:r>
              <w:rPr>
                <w:highlight w:val="none"/>
              </w:rPr>
              <w:t>南</w:t>
            </w:r>
          </w:p>
        </w:tc>
        <w:tc>
          <w:tcPr>
            <w:tcW w:w="795" w:type="dxa"/>
            <w:vAlign w:val="center"/>
          </w:tcPr>
          <w:p w14:paraId="528EEBA5">
            <w:pPr>
              <w:pStyle w:val="25"/>
              <w:bidi w:val="0"/>
              <w:jc w:val="center"/>
              <w:rPr>
                <w:rFonts w:hint="default"/>
                <w:highlight w:val="none"/>
                <w:lang w:val="en-US" w:eastAsia="zh-CN"/>
              </w:rPr>
            </w:pPr>
            <w:r>
              <w:rPr>
                <w:highlight w:val="none"/>
              </w:rPr>
              <w:t>17</w:t>
            </w:r>
          </w:p>
        </w:tc>
      </w:tr>
      <w:tr w14:paraId="2A3A6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230E6FFD">
            <w:pPr>
              <w:pStyle w:val="22"/>
              <w:bidi w:val="0"/>
              <w:jc w:val="center"/>
              <w:rPr>
                <w:rFonts w:hint="default"/>
                <w:highlight w:val="none"/>
                <w:lang w:val="en-US" w:eastAsia="zh-CN"/>
              </w:rPr>
            </w:pPr>
            <w:r>
              <w:rPr>
                <w:rFonts w:hint="eastAsia"/>
                <w:highlight w:val="none"/>
                <w:lang w:val="en-US" w:eastAsia="zh-CN"/>
              </w:rPr>
              <w:t>2</w:t>
            </w:r>
          </w:p>
        </w:tc>
        <w:tc>
          <w:tcPr>
            <w:tcW w:w="1920" w:type="dxa"/>
            <w:vAlign w:val="center"/>
          </w:tcPr>
          <w:p w14:paraId="4DC2050F">
            <w:pPr>
              <w:pStyle w:val="25"/>
              <w:bidi w:val="0"/>
              <w:jc w:val="center"/>
              <w:rPr>
                <w:rFonts w:hint="default"/>
                <w:highlight w:val="none"/>
                <w:lang w:val="en-US" w:eastAsia="zh-CN"/>
              </w:rPr>
            </w:pPr>
            <w:r>
              <w:rPr>
                <w:highlight w:val="none"/>
              </w:rPr>
              <w:t>尼色拥水库库尾</w:t>
            </w:r>
          </w:p>
        </w:tc>
        <w:tc>
          <w:tcPr>
            <w:tcW w:w="1378" w:type="dxa"/>
            <w:vAlign w:val="center"/>
          </w:tcPr>
          <w:p w14:paraId="314973DA">
            <w:pPr>
              <w:pStyle w:val="25"/>
              <w:bidi w:val="0"/>
              <w:jc w:val="center"/>
              <w:rPr>
                <w:rFonts w:hint="default"/>
                <w:highlight w:val="none"/>
                <w:lang w:val="en-US" w:eastAsia="zh-CN"/>
              </w:rPr>
            </w:pPr>
            <w:r>
              <w:rPr>
                <w:highlight w:val="none"/>
              </w:rPr>
              <w:t>高山松林</w:t>
            </w:r>
          </w:p>
        </w:tc>
        <w:tc>
          <w:tcPr>
            <w:tcW w:w="1960" w:type="dxa"/>
            <w:vAlign w:val="center"/>
          </w:tcPr>
          <w:p w14:paraId="36FD80E4">
            <w:pPr>
              <w:pStyle w:val="25"/>
              <w:bidi w:val="0"/>
              <w:jc w:val="center"/>
              <w:rPr>
                <w:rFonts w:hint="default"/>
                <w:highlight w:val="none"/>
                <w:lang w:val="en-US" w:eastAsia="zh-CN"/>
              </w:rPr>
            </w:pPr>
            <w:r>
              <w:rPr>
                <w:highlight w:val="none"/>
              </w:rPr>
              <w:t>99°46'28.2946"E</w:t>
            </w:r>
            <w:r>
              <w:rPr>
                <w:rFonts w:hint="eastAsia"/>
                <w:highlight w:val="none"/>
                <w:lang w:eastAsia="zh-CN"/>
              </w:rPr>
              <w:t>；</w:t>
            </w:r>
            <w:r>
              <w:rPr>
                <w:highlight w:val="none"/>
              </w:rPr>
              <w:t>29°02' 13.8335"N</w:t>
            </w:r>
          </w:p>
        </w:tc>
        <w:tc>
          <w:tcPr>
            <w:tcW w:w="995" w:type="dxa"/>
            <w:vAlign w:val="center"/>
          </w:tcPr>
          <w:p w14:paraId="088C95D2">
            <w:pPr>
              <w:pStyle w:val="25"/>
              <w:bidi w:val="0"/>
              <w:jc w:val="center"/>
              <w:rPr>
                <w:rFonts w:hint="default"/>
                <w:highlight w:val="none"/>
                <w:lang w:val="en-US" w:eastAsia="zh-CN"/>
              </w:rPr>
            </w:pPr>
            <w:r>
              <w:rPr>
                <w:highlight w:val="none"/>
              </w:rPr>
              <w:t>3750</w:t>
            </w:r>
          </w:p>
        </w:tc>
        <w:tc>
          <w:tcPr>
            <w:tcW w:w="886" w:type="dxa"/>
            <w:vAlign w:val="center"/>
          </w:tcPr>
          <w:p w14:paraId="6547D374">
            <w:pPr>
              <w:pStyle w:val="25"/>
              <w:bidi w:val="0"/>
              <w:jc w:val="center"/>
              <w:rPr>
                <w:rFonts w:hint="default"/>
                <w:highlight w:val="none"/>
                <w:lang w:val="en-US" w:eastAsia="zh-CN"/>
              </w:rPr>
            </w:pPr>
            <w:r>
              <w:rPr>
                <w:highlight w:val="none"/>
              </w:rPr>
              <w:t>南</w:t>
            </w:r>
          </w:p>
        </w:tc>
        <w:tc>
          <w:tcPr>
            <w:tcW w:w="795" w:type="dxa"/>
            <w:vAlign w:val="center"/>
          </w:tcPr>
          <w:p w14:paraId="65B755A8">
            <w:pPr>
              <w:pStyle w:val="25"/>
              <w:bidi w:val="0"/>
              <w:jc w:val="center"/>
              <w:rPr>
                <w:rFonts w:hint="default"/>
                <w:highlight w:val="none"/>
                <w:lang w:val="en-US" w:eastAsia="zh-CN"/>
              </w:rPr>
            </w:pPr>
            <w:r>
              <w:rPr>
                <w:highlight w:val="none"/>
              </w:rPr>
              <w:t>11</w:t>
            </w:r>
          </w:p>
        </w:tc>
      </w:tr>
      <w:tr w14:paraId="5272D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7B61797B">
            <w:pPr>
              <w:pStyle w:val="22"/>
              <w:bidi w:val="0"/>
              <w:jc w:val="center"/>
              <w:rPr>
                <w:rFonts w:hint="default"/>
                <w:highlight w:val="none"/>
                <w:lang w:val="en-US" w:eastAsia="zh-CN"/>
              </w:rPr>
            </w:pPr>
            <w:r>
              <w:rPr>
                <w:rFonts w:hint="eastAsia"/>
                <w:highlight w:val="none"/>
                <w:lang w:val="en-US" w:eastAsia="zh-CN"/>
              </w:rPr>
              <w:t>3</w:t>
            </w:r>
          </w:p>
        </w:tc>
        <w:tc>
          <w:tcPr>
            <w:tcW w:w="1920" w:type="dxa"/>
            <w:vAlign w:val="center"/>
          </w:tcPr>
          <w:p w14:paraId="66EFBD1E">
            <w:pPr>
              <w:pStyle w:val="25"/>
              <w:bidi w:val="0"/>
              <w:jc w:val="center"/>
              <w:rPr>
                <w:highlight w:val="none"/>
              </w:rPr>
            </w:pPr>
            <w:r>
              <w:rPr>
                <w:highlight w:val="none"/>
              </w:rPr>
              <w:t>尼色拥库</w:t>
            </w:r>
          </w:p>
          <w:p w14:paraId="570C0CB3">
            <w:pPr>
              <w:pStyle w:val="25"/>
              <w:bidi w:val="0"/>
              <w:jc w:val="center"/>
              <w:rPr>
                <w:rFonts w:hint="default"/>
                <w:highlight w:val="none"/>
                <w:lang w:val="en-US" w:eastAsia="zh-CN"/>
              </w:rPr>
            </w:pPr>
            <w:r>
              <w:rPr>
                <w:highlight w:val="none"/>
              </w:rPr>
              <w:t>中</w:t>
            </w:r>
          </w:p>
        </w:tc>
        <w:tc>
          <w:tcPr>
            <w:tcW w:w="1378" w:type="dxa"/>
            <w:vAlign w:val="center"/>
          </w:tcPr>
          <w:p w14:paraId="3ADA6D7A">
            <w:pPr>
              <w:pStyle w:val="25"/>
              <w:bidi w:val="0"/>
              <w:jc w:val="center"/>
              <w:rPr>
                <w:rFonts w:hint="default"/>
                <w:highlight w:val="none"/>
                <w:lang w:val="en-US" w:eastAsia="zh-CN"/>
              </w:rPr>
            </w:pPr>
            <w:r>
              <w:rPr>
                <w:highlight w:val="none"/>
              </w:rPr>
              <w:t>高山松林</w:t>
            </w:r>
          </w:p>
        </w:tc>
        <w:tc>
          <w:tcPr>
            <w:tcW w:w="1960" w:type="dxa"/>
            <w:vAlign w:val="center"/>
          </w:tcPr>
          <w:p w14:paraId="7A8F65DC">
            <w:pPr>
              <w:pStyle w:val="25"/>
              <w:bidi w:val="0"/>
              <w:jc w:val="center"/>
              <w:rPr>
                <w:rFonts w:hint="default"/>
                <w:highlight w:val="none"/>
                <w:lang w:val="en-US" w:eastAsia="zh-CN"/>
              </w:rPr>
            </w:pPr>
            <w:r>
              <w:rPr>
                <w:highlight w:val="none"/>
              </w:rPr>
              <w:t>99 °46' 13.9758"E；29°01'43.6646"N</w:t>
            </w:r>
          </w:p>
        </w:tc>
        <w:tc>
          <w:tcPr>
            <w:tcW w:w="995" w:type="dxa"/>
            <w:vAlign w:val="center"/>
          </w:tcPr>
          <w:p w14:paraId="4AB68D69">
            <w:pPr>
              <w:pStyle w:val="25"/>
              <w:bidi w:val="0"/>
              <w:jc w:val="center"/>
              <w:rPr>
                <w:rFonts w:hint="default"/>
                <w:highlight w:val="none"/>
                <w:lang w:val="en-US" w:eastAsia="zh-CN"/>
              </w:rPr>
            </w:pPr>
            <w:r>
              <w:rPr>
                <w:highlight w:val="none"/>
              </w:rPr>
              <w:t>3701</w:t>
            </w:r>
          </w:p>
        </w:tc>
        <w:tc>
          <w:tcPr>
            <w:tcW w:w="886" w:type="dxa"/>
            <w:vAlign w:val="center"/>
          </w:tcPr>
          <w:p w14:paraId="7514A70A">
            <w:pPr>
              <w:pStyle w:val="25"/>
              <w:bidi w:val="0"/>
              <w:jc w:val="center"/>
              <w:rPr>
                <w:rFonts w:hint="default"/>
                <w:highlight w:val="none"/>
                <w:lang w:val="en-US" w:eastAsia="zh-CN"/>
              </w:rPr>
            </w:pPr>
            <w:r>
              <w:rPr>
                <w:highlight w:val="none"/>
              </w:rPr>
              <w:t>东北</w:t>
            </w:r>
          </w:p>
        </w:tc>
        <w:tc>
          <w:tcPr>
            <w:tcW w:w="795" w:type="dxa"/>
            <w:vAlign w:val="center"/>
          </w:tcPr>
          <w:p w14:paraId="2CE5EE3A">
            <w:pPr>
              <w:pStyle w:val="25"/>
              <w:bidi w:val="0"/>
              <w:jc w:val="center"/>
              <w:rPr>
                <w:rFonts w:hint="default"/>
                <w:highlight w:val="none"/>
                <w:lang w:val="en-US" w:eastAsia="zh-CN"/>
              </w:rPr>
            </w:pPr>
            <w:r>
              <w:rPr>
                <w:highlight w:val="none"/>
              </w:rPr>
              <w:t>8</w:t>
            </w:r>
          </w:p>
        </w:tc>
      </w:tr>
      <w:tr w14:paraId="074C2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07E8BBCB">
            <w:pPr>
              <w:pStyle w:val="22"/>
              <w:bidi w:val="0"/>
              <w:jc w:val="center"/>
              <w:rPr>
                <w:rFonts w:hint="default"/>
                <w:highlight w:val="none"/>
                <w:lang w:val="en-US" w:eastAsia="zh-CN"/>
              </w:rPr>
            </w:pPr>
            <w:r>
              <w:rPr>
                <w:rFonts w:hint="eastAsia"/>
                <w:highlight w:val="none"/>
                <w:lang w:val="en-US" w:eastAsia="zh-CN"/>
              </w:rPr>
              <w:t>4</w:t>
            </w:r>
          </w:p>
        </w:tc>
        <w:tc>
          <w:tcPr>
            <w:tcW w:w="1920" w:type="dxa"/>
            <w:vAlign w:val="center"/>
          </w:tcPr>
          <w:p w14:paraId="41C1DE81">
            <w:pPr>
              <w:pStyle w:val="25"/>
              <w:bidi w:val="0"/>
              <w:jc w:val="center"/>
              <w:rPr>
                <w:rFonts w:hint="default"/>
                <w:highlight w:val="none"/>
                <w:lang w:val="en-US" w:eastAsia="zh-CN"/>
              </w:rPr>
            </w:pPr>
            <w:r>
              <w:rPr>
                <w:highlight w:val="none"/>
              </w:rPr>
              <w:t>坝址</w:t>
            </w:r>
          </w:p>
        </w:tc>
        <w:tc>
          <w:tcPr>
            <w:tcW w:w="1378" w:type="dxa"/>
            <w:vAlign w:val="center"/>
          </w:tcPr>
          <w:p w14:paraId="461CDD3B">
            <w:pPr>
              <w:pStyle w:val="25"/>
              <w:bidi w:val="0"/>
              <w:jc w:val="center"/>
              <w:rPr>
                <w:rFonts w:hint="default"/>
                <w:highlight w:val="none"/>
                <w:lang w:val="en-US" w:eastAsia="zh-CN"/>
              </w:rPr>
            </w:pPr>
            <w:r>
              <w:rPr>
                <w:highlight w:val="none"/>
              </w:rPr>
              <w:t>高山松林</w:t>
            </w:r>
          </w:p>
        </w:tc>
        <w:tc>
          <w:tcPr>
            <w:tcW w:w="1960" w:type="dxa"/>
            <w:vAlign w:val="center"/>
          </w:tcPr>
          <w:p w14:paraId="00492BB7">
            <w:pPr>
              <w:pStyle w:val="25"/>
              <w:bidi w:val="0"/>
              <w:jc w:val="center"/>
              <w:rPr>
                <w:rFonts w:hint="default"/>
                <w:highlight w:val="none"/>
                <w:lang w:val="en-US" w:eastAsia="zh-CN"/>
              </w:rPr>
            </w:pPr>
            <w:r>
              <w:rPr>
                <w:highlight w:val="none"/>
              </w:rPr>
              <w:t>99 °45'37.9956"E；29°01' 15.1573"N</w:t>
            </w:r>
          </w:p>
        </w:tc>
        <w:tc>
          <w:tcPr>
            <w:tcW w:w="995" w:type="dxa"/>
            <w:vAlign w:val="center"/>
          </w:tcPr>
          <w:p w14:paraId="57CFE201">
            <w:pPr>
              <w:pStyle w:val="25"/>
              <w:bidi w:val="0"/>
              <w:jc w:val="center"/>
              <w:rPr>
                <w:rFonts w:hint="default"/>
                <w:highlight w:val="none"/>
                <w:lang w:val="en-US" w:eastAsia="zh-CN"/>
              </w:rPr>
            </w:pPr>
            <w:r>
              <w:rPr>
                <w:highlight w:val="none"/>
              </w:rPr>
              <w:t>3564</w:t>
            </w:r>
          </w:p>
        </w:tc>
        <w:tc>
          <w:tcPr>
            <w:tcW w:w="886" w:type="dxa"/>
            <w:vAlign w:val="center"/>
          </w:tcPr>
          <w:p w14:paraId="0EB04D66">
            <w:pPr>
              <w:pStyle w:val="25"/>
              <w:bidi w:val="0"/>
              <w:jc w:val="center"/>
              <w:rPr>
                <w:rFonts w:hint="default"/>
                <w:highlight w:val="none"/>
                <w:lang w:val="en-US" w:eastAsia="zh-CN"/>
              </w:rPr>
            </w:pPr>
            <w:r>
              <w:rPr>
                <w:highlight w:val="none"/>
              </w:rPr>
              <w:t>东北</w:t>
            </w:r>
          </w:p>
        </w:tc>
        <w:tc>
          <w:tcPr>
            <w:tcW w:w="795" w:type="dxa"/>
            <w:vAlign w:val="center"/>
          </w:tcPr>
          <w:p w14:paraId="72B92A38">
            <w:pPr>
              <w:pStyle w:val="25"/>
              <w:bidi w:val="0"/>
              <w:jc w:val="center"/>
              <w:rPr>
                <w:rFonts w:hint="default"/>
                <w:highlight w:val="none"/>
                <w:lang w:val="en-US" w:eastAsia="zh-CN"/>
              </w:rPr>
            </w:pPr>
            <w:r>
              <w:rPr>
                <w:highlight w:val="none"/>
              </w:rPr>
              <w:t>14</w:t>
            </w:r>
          </w:p>
        </w:tc>
      </w:tr>
      <w:tr w14:paraId="646DE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0873A533">
            <w:pPr>
              <w:pStyle w:val="22"/>
              <w:bidi w:val="0"/>
              <w:jc w:val="center"/>
              <w:rPr>
                <w:rFonts w:hint="default"/>
                <w:highlight w:val="none"/>
                <w:lang w:val="en-US" w:eastAsia="zh-CN"/>
              </w:rPr>
            </w:pPr>
            <w:r>
              <w:rPr>
                <w:rFonts w:hint="eastAsia"/>
                <w:highlight w:val="none"/>
                <w:lang w:val="en-US" w:eastAsia="zh-CN"/>
              </w:rPr>
              <w:t>5</w:t>
            </w:r>
          </w:p>
        </w:tc>
        <w:tc>
          <w:tcPr>
            <w:tcW w:w="1920" w:type="dxa"/>
            <w:vAlign w:val="center"/>
          </w:tcPr>
          <w:p w14:paraId="6ADAEB3D">
            <w:pPr>
              <w:pStyle w:val="25"/>
              <w:bidi w:val="0"/>
              <w:jc w:val="center"/>
              <w:rPr>
                <w:rFonts w:hint="default"/>
                <w:highlight w:val="none"/>
                <w:lang w:val="en-US" w:eastAsia="zh-CN"/>
              </w:rPr>
            </w:pPr>
            <w:r>
              <w:rPr>
                <w:highlight w:val="none"/>
              </w:rPr>
              <w:t>自来水厂下游2公里</w:t>
            </w:r>
          </w:p>
        </w:tc>
        <w:tc>
          <w:tcPr>
            <w:tcW w:w="1378" w:type="dxa"/>
            <w:vAlign w:val="center"/>
          </w:tcPr>
          <w:p w14:paraId="2C9FBDB3">
            <w:pPr>
              <w:pStyle w:val="25"/>
              <w:bidi w:val="0"/>
              <w:jc w:val="center"/>
              <w:rPr>
                <w:rFonts w:hint="default"/>
                <w:highlight w:val="none"/>
                <w:lang w:val="en-US" w:eastAsia="zh-CN"/>
              </w:rPr>
            </w:pPr>
            <w:r>
              <w:rPr>
                <w:highlight w:val="none"/>
              </w:rPr>
              <w:t>高山松林</w:t>
            </w:r>
          </w:p>
        </w:tc>
        <w:tc>
          <w:tcPr>
            <w:tcW w:w="1960" w:type="dxa"/>
            <w:vAlign w:val="center"/>
          </w:tcPr>
          <w:p w14:paraId="5DF806F4">
            <w:pPr>
              <w:pStyle w:val="25"/>
              <w:bidi w:val="0"/>
              <w:jc w:val="center"/>
              <w:rPr>
                <w:rFonts w:hint="default"/>
                <w:highlight w:val="none"/>
                <w:lang w:val="en-US" w:eastAsia="zh-CN"/>
              </w:rPr>
            </w:pPr>
            <w:r>
              <w:rPr>
                <w:highlight w:val="none"/>
              </w:rPr>
              <w:t>99 °45'37.9956"E；29°01' 15.1574"N</w:t>
            </w:r>
          </w:p>
        </w:tc>
        <w:tc>
          <w:tcPr>
            <w:tcW w:w="995" w:type="dxa"/>
            <w:vAlign w:val="center"/>
          </w:tcPr>
          <w:p w14:paraId="254ACD90">
            <w:pPr>
              <w:pStyle w:val="25"/>
              <w:bidi w:val="0"/>
              <w:jc w:val="center"/>
              <w:rPr>
                <w:highlight w:val="none"/>
              </w:rPr>
            </w:pPr>
          </w:p>
          <w:p w14:paraId="62828C63">
            <w:pPr>
              <w:pStyle w:val="25"/>
              <w:bidi w:val="0"/>
              <w:jc w:val="center"/>
              <w:rPr>
                <w:rFonts w:hint="default"/>
                <w:highlight w:val="none"/>
                <w:lang w:val="en-US" w:eastAsia="zh-CN"/>
              </w:rPr>
            </w:pPr>
            <w:r>
              <w:rPr>
                <w:highlight w:val="none"/>
              </w:rPr>
              <w:t>3498</w:t>
            </w:r>
          </w:p>
        </w:tc>
        <w:tc>
          <w:tcPr>
            <w:tcW w:w="886" w:type="dxa"/>
            <w:vAlign w:val="center"/>
          </w:tcPr>
          <w:p w14:paraId="5AD17C36">
            <w:pPr>
              <w:pStyle w:val="25"/>
              <w:bidi w:val="0"/>
              <w:jc w:val="center"/>
              <w:rPr>
                <w:rFonts w:hint="default"/>
                <w:highlight w:val="none"/>
                <w:lang w:val="en-US" w:eastAsia="zh-CN"/>
              </w:rPr>
            </w:pPr>
            <w:r>
              <w:rPr>
                <w:highlight w:val="none"/>
              </w:rPr>
              <w:t>北</w:t>
            </w:r>
          </w:p>
        </w:tc>
        <w:tc>
          <w:tcPr>
            <w:tcW w:w="795" w:type="dxa"/>
            <w:vAlign w:val="center"/>
          </w:tcPr>
          <w:p w14:paraId="014F02A6">
            <w:pPr>
              <w:pStyle w:val="25"/>
              <w:bidi w:val="0"/>
              <w:jc w:val="center"/>
              <w:rPr>
                <w:highlight w:val="none"/>
              </w:rPr>
            </w:pPr>
          </w:p>
          <w:p w14:paraId="182E3BE1">
            <w:pPr>
              <w:pStyle w:val="25"/>
              <w:bidi w:val="0"/>
              <w:jc w:val="center"/>
              <w:rPr>
                <w:rFonts w:hint="default"/>
                <w:highlight w:val="none"/>
                <w:lang w:val="en-US" w:eastAsia="zh-CN"/>
              </w:rPr>
            </w:pPr>
            <w:r>
              <w:rPr>
                <w:highlight w:val="none"/>
              </w:rPr>
              <w:t>9</w:t>
            </w:r>
          </w:p>
        </w:tc>
      </w:tr>
      <w:tr w14:paraId="68D3E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1D546C7F">
            <w:pPr>
              <w:pStyle w:val="22"/>
              <w:bidi w:val="0"/>
              <w:jc w:val="center"/>
              <w:rPr>
                <w:rFonts w:hint="default"/>
                <w:highlight w:val="none"/>
                <w:lang w:val="en-US" w:eastAsia="zh-CN"/>
              </w:rPr>
            </w:pPr>
            <w:r>
              <w:rPr>
                <w:rFonts w:hint="eastAsia"/>
                <w:highlight w:val="none"/>
                <w:lang w:val="en-US" w:eastAsia="zh-CN"/>
              </w:rPr>
              <w:t>6</w:t>
            </w:r>
          </w:p>
        </w:tc>
        <w:tc>
          <w:tcPr>
            <w:tcW w:w="1920" w:type="dxa"/>
            <w:vAlign w:val="center"/>
          </w:tcPr>
          <w:p w14:paraId="2834B955">
            <w:pPr>
              <w:pStyle w:val="25"/>
              <w:bidi w:val="0"/>
              <w:jc w:val="center"/>
              <w:rPr>
                <w:rFonts w:hint="default"/>
                <w:highlight w:val="none"/>
                <w:lang w:val="en-US" w:eastAsia="zh-CN"/>
              </w:rPr>
            </w:pPr>
            <w:r>
              <w:rPr>
                <w:highlight w:val="none"/>
              </w:rPr>
              <w:t>巨美拥沟热朗宫村下游1km</w:t>
            </w:r>
          </w:p>
        </w:tc>
        <w:tc>
          <w:tcPr>
            <w:tcW w:w="1378" w:type="dxa"/>
            <w:vAlign w:val="center"/>
          </w:tcPr>
          <w:p w14:paraId="4B7B0262">
            <w:pPr>
              <w:pStyle w:val="25"/>
              <w:bidi w:val="0"/>
              <w:jc w:val="center"/>
              <w:rPr>
                <w:rFonts w:hint="default"/>
                <w:highlight w:val="none"/>
                <w:lang w:val="en-US" w:eastAsia="zh-CN"/>
              </w:rPr>
            </w:pPr>
            <w:r>
              <w:rPr>
                <w:highlight w:val="none"/>
              </w:rPr>
              <w:t>川滇高山栎</w:t>
            </w:r>
          </w:p>
        </w:tc>
        <w:tc>
          <w:tcPr>
            <w:tcW w:w="1960" w:type="dxa"/>
            <w:vAlign w:val="center"/>
          </w:tcPr>
          <w:p w14:paraId="3FFD0A01">
            <w:pPr>
              <w:pStyle w:val="25"/>
              <w:bidi w:val="0"/>
              <w:jc w:val="center"/>
              <w:rPr>
                <w:rFonts w:hint="default"/>
                <w:highlight w:val="none"/>
                <w:lang w:val="en-US" w:eastAsia="zh-CN"/>
              </w:rPr>
            </w:pPr>
            <w:r>
              <w:rPr>
                <w:highlight w:val="none"/>
              </w:rPr>
              <w:t>99 °45'37.9956"E；29°01' 15.1575"N</w:t>
            </w:r>
          </w:p>
        </w:tc>
        <w:tc>
          <w:tcPr>
            <w:tcW w:w="995" w:type="dxa"/>
            <w:vAlign w:val="center"/>
          </w:tcPr>
          <w:p w14:paraId="779187F9">
            <w:pPr>
              <w:pStyle w:val="25"/>
              <w:bidi w:val="0"/>
              <w:jc w:val="center"/>
              <w:rPr>
                <w:rFonts w:hint="default"/>
                <w:highlight w:val="none"/>
                <w:lang w:val="en-US" w:eastAsia="zh-CN"/>
              </w:rPr>
            </w:pPr>
            <w:r>
              <w:rPr>
                <w:highlight w:val="none"/>
              </w:rPr>
              <w:t>3418</w:t>
            </w:r>
          </w:p>
        </w:tc>
        <w:tc>
          <w:tcPr>
            <w:tcW w:w="886" w:type="dxa"/>
            <w:vAlign w:val="center"/>
          </w:tcPr>
          <w:p w14:paraId="51D7D8A9">
            <w:pPr>
              <w:pStyle w:val="25"/>
              <w:bidi w:val="0"/>
              <w:jc w:val="center"/>
              <w:rPr>
                <w:rFonts w:hint="default"/>
                <w:highlight w:val="none"/>
                <w:lang w:val="en-US" w:eastAsia="zh-CN"/>
              </w:rPr>
            </w:pPr>
            <w:r>
              <w:rPr>
                <w:highlight w:val="none"/>
              </w:rPr>
              <w:t>东北</w:t>
            </w:r>
          </w:p>
        </w:tc>
        <w:tc>
          <w:tcPr>
            <w:tcW w:w="795" w:type="dxa"/>
            <w:vAlign w:val="center"/>
          </w:tcPr>
          <w:p w14:paraId="3A8B2D50">
            <w:pPr>
              <w:pStyle w:val="25"/>
              <w:bidi w:val="0"/>
              <w:jc w:val="center"/>
              <w:rPr>
                <w:highlight w:val="none"/>
              </w:rPr>
            </w:pPr>
          </w:p>
          <w:p w14:paraId="1079D020">
            <w:pPr>
              <w:pStyle w:val="25"/>
              <w:bidi w:val="0"/>
              <w:jc w:val="center"/>
              <w:rPr>
                <w:rFonts w:hint="default"/>
                <w:highlight w:val="none"/>
                <w:lang w:val="en-US" w:eastAsia="zh-CN"/>
              </w:rPr>
            </w:pPr>
            <w:r>
              <w:rPr>
                <w:highlight w:val="none"/>
              </w:rPr>
              <w:t>16</w:t>
            </w:r>
          </w:p>
        </w:tc>
      </w:tr>
      <w:tr w14:paraId="0C4F3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7A2DEBA1">
            <w:pPr>
              <w:pStyle w:val="22"/>
              <w:bidi w:val="0"/>
              <w:jc w:val="center"/>
              <w:rPr>
                <w:rFonts w:hint="default"/>
                <w:highlight w:val="none"/>
                <w:lang w:val="en-US" w:eastAsia="zh-CN"/>
              </w:rPr>
            </w:pPr>
            <w:r>
              <w:rPr>
                <w:rFonts w:hint="eastAsia"/>
                <w:highlight w:val="none"/>
                <w:lang w:val="en-US" w:eastAsia="zh-CN"/>
              </w:rPr>
              <w:t>7</w:t>
            </w:r>
          </w:p>
        </w:tc>
        <w:tc>
          <w:tcPr>
            <w:tcW w:w="1920" w:type="dxa"/>
            <w:vAlign w:val="center"/>
          </w:tcPr>
          <w:p w14:paraId="58BCE6EC">
            <w:pPr>
              <w:pStyle w:val="25"/>
              <w:bidi w:val="0"/>
              <w:jc w:val="center"/>
              <w:rPr>
                <w:rFonts w:hint="default"/>
                <w:highlight w:val="none"/>
                <w:lang w:val="en-US" w:eastAsia="zh-CN"/>
              </w:rPr>
            </w:pPr>
            <w:r>
              <w:rPr>
                <w:highlight w:val="none"/>
              </w:rPr>
              <w:t>冷龙沟村上游2km</w:t>
            </w:r>
          </w:p>
        </w:tc>
        <w:tc>
          <w:tcPr>
            <w:tcW w:w="1378" w:type="dxa"/>
            <w:vAlign w:val="center"/>
          </w:tcPr>
          <w:p w14:paraId="514A0859">
            <w:pPr>
              <w:pStyle w:val="25"/>
              <w:bidi w:val="0"/>
              <w:jc w:val="center"/>
              <w:rPr>
                <w:rFonts w:hint="default"/>
                <w:highlight w:val="none"/>
                <w:lang w:val="en-US" w:eastAsia="zh-CN"/>
              </w:rPr>
            </w:pPr>
            <w:r>
              <w:rPr>
                <w:highlight w:val="none"/>
              </w:rPr>
              <w:t>川滇高山栎</w:t>
            </w:r>
          </w:p>
        </w:tc>
        <w:tc>
          <w:tcPr>
            <w:tcW w:w="1960" w:type="dxa"/>
            <w:vAlign w:val="center"/>
          </w:tcPr>
          <w:p w14:paraId="6F3AF00F">
            <w:pPr>
              <w:pStyle w:val="25"/>
              <w:bidi w:val="0"/>
              <w:jc w:val="center"/>
              <w:rPr>
                <w:rFonts w:hint="default"/>
                <w:highlight w:val="none"/>
                <w:lang w:val="en-US" w:eastAsia="zh-CN"/>
              </w:rPr>
            </w:pPr>
            <w:r>
              <w:rPr>
                <w:highlight w:val="none"/>
              </w:rPr>
              <w:t>99 °45'37.9956"E；29°01' 15.1576"N</w:t>
            </w:r>
          </w:p>
        </w:tc>
        <w:tc>
          <w:tcPr>
            <w:tcW w:w="995" w:type="dxa"/>
            <w:vAlign w:val="center"/>
          </w:tcPr>
          <w:p w14:paraId="73470B29">
            <w:pPr>
              <w:pStyle w:val="25"/>
              <w:bidi w:val="0"/>
              <w:jc w:val="center"/>
              <w:rPr>
                <w:rFonts w:hint="default"/>
                <w:highlight w:val="none"/>
                <w:lang w:val="en-US" w:eastAsia="zh-CN"/>
              </w:rPr>
            </w:pPr>
            <w:r>
              <w:rPr>
                <w:highlight w:val="none"/>
              </w:rPr>
              <w:t>3429</w:t>
            </w:r>
          </w:p>
        </w:tc>
        <w:tc>
          <w:tcPr>
            <w:tcW w:w="886" w:type="dxa"/>
            <w:vAlign w:val="center"/>
          </w:tcPr>
          <w:p w14:paraId="01CE475A">
            <w:pPr>
              <w:pStyle w:val="25"/>
              <w:bidi w:val="0"/>
              <w:jc w:val="center"/>
              <w:rPr>
                <w:rFonts w:hint="default"/>
                <w:highlight w:val="none"/>
                <w:lang w:val="en-US" w:eastAsia="zh-CN"/>
              </w:rPr>
            </w:pPr>
            <w:r>
              <w:rPr>
                <w:highlight w:val="none"/>
              </w:rPr>
              <w:t>东北</w:t>
            </w:r>
          </w:p>
        </w:tc>
        <w:tc>
          <w:tcPr>
            <w:tcW w:w="795" w:type="dxa"/>
            <w:vAlign w:val="center"/>
          </w:tcPr>
          <w:p w14:paraId="5B91D2D9">
            <w:pPr>
              <w:pStyle w:val="25"/>
              <w:bidi w:val="0"/>
              <w:jc w:val="center"/>
              <w:rPr>
                <w:rFonts w:hint="default"/>
                <w:highlight w:val="none"/>
                <w:lang w:val="en-US" w:eastAsia="zh-CN"/>
              </w:rPr>
            </w:pPr>
            <w:r>
              <w:rPr>
                <w:highlight w:val="none"/>
              </w:rPr>
              <w:t>5</w:t>
            </w:r>
          </w:p>
        </w:tc>
      </w:tr>
      <w:tr w14:paraId="329F5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6650DD28">
            <w:pPr>
              <w:pStyle w:val="22"/>
              <w:bidi w:val="0"/>
              <w:jc w:val="center"/>
              <w:rPr>
                <w:rFonts w:hint="default"/>
                <w:highlight w:val="none"/>
                <w:lang w:val="en-US" w:eastAsia="zh-CN"/>
              </w:rPr>
            </w:pPr>
            <w:r>
              <w:rPr>
                <w:rFonts w:hint="eastAsia"/>
                <w:highlight w:val="none"/>
                <w:lang w:val="en-US" w:eastAsia="zh-CN"/>
              </w:rPr>
              <w:t>8</w:t>
            </w:r>
          </w:p>
        </w:tc>
        <w:tc>
          <w:tcPr>
            <w:tcW w:w="1920" w:type="dxa"/>
            <w:vAlign w:val="center"/>
          </w:tcPr>
          <w:p w14:paraId="52078508">
            <w:pPr>
              <w:pStyle w:val="25"/>
              <w:bidi w:val="0"/>
              <w:jc w:val="center"/>
              <w:rPr>
                <w:rFonts w:hint="default"/>
                <w:highlight w:val="none"/>
                <w:lang w:val="en-US" w:eastAsia="zh-CN"/>
              </w:rPr>
            </w:pPr>
            <w:r>
              <w:rPr>
                <w:highlight w:val="none"/>
              </w:rPr>
              <w:t>冷龙村</w:t>
            </w:r>
          </w:p>
        </w:tc>
        <w:tc>
          <w:tcPr>
            <w:tcW w:w="1378" w:type="dxa"/>
            <w:vAlign w:val="center"/>
          </w:tcPr>
          <w:p w14:paraId="2B8F9AE2">
            <w:pPr>
              <w:pStyle w:val="25"/>
              <w:bidi w:val="0"/>
              <w:jc w:val="center"/>
              <w:rPr>
                <w:rFonts w:hint="default"/>
                <w:highlight w:val="none"/>
                <w:lang w:val="en-US" w:eastAsia="zh-CN"/>
              </w:rPr>
            </w:pPr>
            <w:r>
              <w:rPr>
                <w:highlight w:val="none"/>
              </w:rPr>
              <w:t>长穗高山栎</w:t>
            </w:r>
          </w:p>
        </w:tc>
        <w:tc>
          <w:tcPr>
            <w:tcW w:w="1960" w:type="dxa"/>
            <w:vAlign w:val="center"/>
          </w:tcPr>
          <w:p w14:paraId="4B60BD42">
            <w:pPr>
              <w:pStyle w:val="25"/>
              <w:bidi w:val="0"/>
              <w:jc w:val="center"/>
              <w:rPr>
                <w:rFonts w:hint="default"/>
                <w:highlight w:val="none"/>
                <w:lang w:val="en-US" w:eastAsia="zh-CN"/>
              </w:rPr>
            </w:pPr>
            <w:r>
              <w:rPr>
                <w:highlight w:val="none"/>
              </w:rPr>
              <w:t>99 °45'37.9956"E；29°01' 15.1577"N</w:t>
            </w:r>
          </w:p>
        </w:tc>
        <w:tc>
          <w:tcPr>
            <w:tcW w:w="995" w:type="dxa"/>
            <w:vAlign w:val="center"/>
          </w:tcPr>
          <w:p w14:paraId="694DD367">
            <w:pPr>
              <w:pStyle w:val="25"/>
              <w:bidi w:val="0"/>
              <w:jc w:val="center"/>
              <w:rPr>
                <w:rFonts w:hint="default"/>
                <w:highlight w:val="none"/>
                <w:lang w:val="en-US" w:eastAsia="zh-CN"/>
              </w:rPr>
            </w:pPr>
            <w:r>
              <w:rPr>
                <w:highlight w:val="none"/>
              </w:rPr>
              <w:t>3373</w:t>
            </w:r>
          </w:p>
        </w:tc>
        <w:tc>
          <w:tcPr>
            <w:tcW w:w="886" w:type="dxa"/>
            <w:vAlign w:val="center"/>
          </w:tcPr>
          <w:p w14:paraId="7A978E54">
            <w:pPr>
              <w:pStyle w:val="25"/>
              <w:bidi w:val="0"/>
              <w:jc w:val="center"/>
              <w:rPr>
                <w:rFonts w:hint="default"/>
                <w:highlight w:val="none"/>
                <w:lang w:val="en-US" w:eastAsia="zh-CN"/>
              </w:rPr>
            </w:pPr>
            <w:r>
              <w:rPr>
                <w:highlight w:val="none"/>
              </w:rPr>
              <w:t>西</w:t>
            </w:r>
          </w:p>
        </w:tc>
        <w:tc>
          <w:tcPr>
            <w:tcW w:w="795" w:type="dxa"/>
            <w:vAlign w:val="center"/>
          </w:tcPr>
          <w:p w14:paraId="04A6877B">
            <w:pPr>
              <w:pStyle w:val="25"/>
              <w:bidi w:val="0"/>
              <w:jc w:val="center"/>
              <w:rPr>
                <w:rFonts w:hint="default"/>
                <w:highlight w:val="none"/>
                <w:lang w:val="en-US" w:eastAsia="zh-CN"/>
              </w:rPr>
            </w:pPr>
            <w:r>
              <w:rPr>
                <w:highlight w:val="none"/>
              </w:rPr>
              <w:t>22</w:t>
            </w:r>
          </w:p>
        </w:tc>
      </w:tr>
      <w:tr w14:paraId="1D986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01B2C9C3">
            <w:pPr>
              <w:pStyle w:val="22"/>
              <w:bidi w:val="0"/>
              <w:jc w:val="center"/>
              <w:rPr>
                <w:rFonts w:hint="default"/>
                <w:highlight w:val="none"/>
                <w:lang w:val="en-US" w:eastAsia="zh-CN"/>
              </w:rPr>
            </w:pPr>
            <w:r>
              <w:rPr>
                <w:rFonts w:hint="eastAsia"/>
                <w:highlight w:val="none"/>
                <w:lang w:val="en-US" w:eastAsia="zh-CN"/>
              </w:rPr>
              <w:t>9</w:t>
            </w:r>
          </w:p>
        </w:tc>
        <w:tc>
          <w:tcPr>
            <w:tcW w:w="1920" w:type="dxa"/>
            <w:vAlign w:val="center"/>
          </w:tcPr>
          <w:p w14:paraId="5E5CB228">
            <w:pPr>
              <w:pStyle w:val="25"/>
              <w:bidi w:val="0"/>
              <w:jc w:val="center"/>
              <w:rPr>
                <w:rFonts w:hint="default"/>
                <w:highlight w:val="none"/>
                <w:lang w:val="en-US" w:eastAsia="zh-CN"/>
              </w:rPr>
            </w:pPr>
            <w:r>
              <w:rPr>
                <w:highlight w:val="none"/>
              </w:rPr>
              <w:t>冷龙拥</w:t>
            </w:r>
          </w:p>
        </w:tc>
        <w:tc>
          <w:tcPr>
            <w:tcW w:w="1378" w:type="dxa"/>
            <w:vAlign w:val="center"/>
          </w:tcPr>
          <w:p w14:paraId="77D6EA1A">
            <w:pPr>
              <w:pStyle w:val="25"/>
              <w:bidi w:val="0"/>
              <w:jc w:val="center"/>
              <w:rPr>
                <w:rFonts w:hint="default"/>
                <w:highlight w:val="none"/>
                <w:lang w:val="en-US" w:eastAsia="zh-CN"/>
              </w:rPr>
            </w:pPr>
            <w:r>
              <w:rPr>
                <w:highlight w:val="none"/>
              </w:rPr>
              <w:t>长穗高山栎</w:t>
            </w:r>
          </w:p>
        </w:tc>
        <w:tc>
          <w:tcPr>
            <w:tcW w:w="1960" w:type="dxa"/>
            <w:vAlign w:val="center"/>
          </w:tcPr>
          <w:p w14:paraId="439C7F47">
            <w:pPr>
              <w:pStyle w:val="25"/>
              <w:bidi w:val="0"/>
              <w:jc w:val="center"/>
              <w:rPr>
                <w:rFonts w:hint="default"/>
                <w:highlight w:val="none"/>
                <w:lang w:val="en-US" w:eastAsia="zh-CN"/>
              </w:rPr>
            </w:pPr>
            <w:r>
              <w:rPr>
                <w:highlight w:val="none"/>
              </w:rPr>
              <w:t>99 °45'37.9956"E；29°01' 15.1578"N</w:t>
            </w:r>
          </w:p>
        </w:tc>
        <w:tc>
          <w:tcPr>
            <w:tcW w:w="995" w:type="dxa"/>
            <w:vAlign w:val="center"/>
          </w:tcPr>
          <w:p w14:paraId="5E5900FC">
            <w:pPr>
              <w:pStyle w:val="25"/>
              <w:bidi w:val="0"/>
              <w:jc w:val="center"/>
              <w:rPr>
                <w:rFonts w:hint="default"/>
                <w:highlight w:val="none"/>
                <w:lang w:val="en-US" w:eastAsia="zh-CN"/>
              </w:rPr>
            </w:pPr>
            <w:r>
              <w:rPr>
                <w:highlight w:val="none"/>
              </w:rPr>
              <w:t>3110</w:t>
            </w:r>
          </w:p>
        </w:tc>
        <w:tc>
          <w:tcPr>
            <w:tcW w:w="886" w:type="dxa"/>
            <w:vAlign w:val="center"/>
          </w:tcPr>
          <w:p w14:paraId="6D742EE5">
            <w:pPr>
              <w:pStyle w:val="25"/>
              <w:bidi w:val="0"/>
              <w:jc w:val="center"/>
              <w:rPr>
                <w:rFonts w:hint="default"/>
                <w:highlight w:val="none"/>
                <w:lang w:val="en-US" w:eastAsia="zh-CN"/>
              </w:rPr>
            </w:pPr>
            <w:r>
              <w:rPr>
                <w:highlight w:val="none"/>
              </w:rPr>
              <w:t>东南</w:t>
            </w:r>
          </w:p>
        </w:tc>
        <w:tc>
          <w:tcPr>
            <w:tcW w:w="795" w:type="dxa"/>
            <w:vAlign w:val="center"/>
          </w:tcPr>
          <w:p w14:paraId="6550BB43">
            <w:pPr>
              <w:pStyle w:val="25"/>
              <w:bidi w:val="0"/>
              <w:jc w:val="center"/>
              <w:rPr>
                <w:rFonts w:hint="default"/>
                <w:highlight w:val="none"/>
                <w:lang w:val="en-US" w:eastAsia="zh-CN"/>
              </w:rPr>
            </w:pPr>
            <w:r>
              <w:rPr>
                <w:highlight w:val="none"/>
              </w:rPr>
              <w:t>72</w:t>
            </w:r>
          </w:p>
        </w:tc>
      </w:tr>
      <w:tr w14:paraId="076AF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2810E780">
            <w:pPr>
              <w:pStyle w:val="22"/>
              <w:bidi w:val="0"/>
              <w:jc w:val="center"/>
              <w:rPr>
                <w:rFonts w:hint="default"/>
                <w:highlight w:val="none"/>
                <w:lang w:val="en-US" w:eastAsia="zh-CN"/>
              </w:rPr>
            </w:pPr>
            <w:r>
              <w:rPr>
                <w:rFonts w:hint="eastAsia"/>
                <w:highlight w:val="none"/>
                <w:lang w:val="en-US" w:eastAsia="zh-CN"/>
              </w:rPr>
              <w:t>10</w:t>
            </w:r>
          </w:p>
        </w:tc>
        <w:tc>
          <w:tcPr>
            <w:tcW w:w="1920" w:type="dxa"/>
            <w:vAlign w:val="center"/>
          </w:tcPr>
          <w:p w14:paraId="2711149C">
            <w:pPr>
              <w:pStyle w:val="25"/>
              <w:bidi w:val="0"/>
              <w:jc w:val="center"/>
              <w:rPr>
                <w:rFonts w:hint="default"/>
                <w:highlight w:val="none"/>
                <w:lang w:val="en-US" w:eastAsia="zh-CN"/>
              </w:rPr>
            </w:pPr>
            <w:r>
              <w:rPr>
                <w:highlight w:val="none"/>
              </w:rPr>
              <w:t>磨坊沟</w:t>
            </w:r>
          </w:p>
        </w:tc>
        <w:tc>
          <w:tcPr>
            <w:tcW w:w="1378" w:type="dxa"/>
            <w:vAlign w:val="center"/>
          </w:tcPr>
          <w:p w14:paraId="168C879E">
            <w:pPr>
              <w:pStyle w:val="25"/>
              <w:bidi w:val="0"/>
              <w:jc w:val="center"/>
              <w:rPr>
                <w:rFonts w:hint="default"/>
                <w:highlight w:val="none"/>
                <w:lang w:val="en-US" w:eastAsia="zh-CN"/>
              </w:rPr>
            </w:pPr>
            <w:r>
              <w:rPr>
                <w:highlight w:val="none"/>
              </w:rPr>
              <w:t>高山松</w:t>
            </w:r>
          </w:p>
        </w:tc>
        <w:tc>
          <w:tcPr>
            <w:tcW w:w="1960" w:type="dxa"/>
            <w:vAlign w:val="center"/>
          </w:tcPr>
          <w:p w14:paraId="3AAD36CE">
            <w:pPr>
              <w:pStyle w:val="25"/>
              <w:bidi w:val="0"/>
              <w:jc w:val="center"/>
              <w:rPr>
                <w:rFonts w:hint="default"/>
                <w:highlight w:val="none"/>
                <w:lang w:val="en-US" w:eastAsia="zh-CN"/>
              </w:rPr>
            </w:pPr>
            <w:r>
              <w:rPr>
                <w:highlight w:val="none"/>
              </w:rPr>
              <w:t>99 °45'37.9956"E ；29°01' 15.1579"N</w:t>
            </w:r>
          </w:p>
        </w:tc>
        <w:tc>
          <w:tcPr>
            <w:tcW w:w="995" w:type="dxa"/>
            <w:vAlign w:val="center"/>
          </w:tcPr>
          <w:p w14:paraId="6A432B0E">
            <w:pPr>
              <w:pStyle w:val="25"/>
              <w:bidi w:val="0"/>
              <w:jc w:val="center"/>
              <w:rPr>
                <w:rFonts w:hint="default"/>
                <w:highlight w:val="none"/>
                <w:lang w:val="en-US" w:eastAsia="zh-CN"/>
              </w:rPr>
            </w:pPr>
            <w:r>
              <w:rPr>
                <w:highlight w:val="none"/>
              </w:rPr>
              <w:t>2904</w:t>
            </w:r>
          </w:p>
        </w:tc>
        <w:tc>
          <w:tcPr>
            <w:tcW w:w="886" w:type="dxa"/>
            <w:vAlign w:val="center"/>
          </w:tcPr>
          <w:p w14:paraId="2B18679B">
            <w:pPr>
              <w:pStyle w:val="25"/>
              <w:bidi w:val="0"/>
              <w:jc w:val="center"/>
              <w:rPr>
                <w:rFonts w:hint="default"/>
                <w:highlight w:val="none"/>
                <w:lang w:val="en-US" w:eastAsia="zh-CN"/>
              </w:rPr>
            </w:pPr>
            <w:r>
              <w:rPr>
                <w:highlight w:val="none"/>
              </w:rPr>
              <w:t>东</w:t>
            </w:r>
          </w:p>
        </w:tc>
        <w:tc>
          <w:tcPr>
            <w:tcW w:w="795" w:type="dxa"/>
            <w:vAlign w:val="center"/>
          </w:tcPr>
          <w:p w14:paraId="68E9E459">
            <w:pPr>
              <w:pStyle w:val="25"/>
              <w:bidi w:val="0"/>
              <w:jc w:val="center"/>
              <w:rPr>
                <w:rFonts w:hint="default"/>
                <w:highlight w:val="none"/>
                <w:lang w:val="en-US" w:eastAsia="zh-CN"/>
              </w:rPr>
            </w:pPr>
            <w:r>
              <w:rPr>
                <w:highlight w:val="none"/>
              </w:rPr>
              <w:t>10</w:t>
            </w:r>
          </w:p>
        </w:tc>
      </w:tr>
      <w:tr w14:paraId="6F099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7BD256C5">
            <w:pPr>
              <w:pStyle w:val="22"/>
              <w:bidi w:val="0"/>
              <w:jc w:val="center"/>
              <w:rPr>
                <w:rFonts w:hint="default"/>
                <w:highlight w:val="none"/>
                <w:lang w:val="en-US" w:eastAsia="zh-CN"/>
              </w:rPr>
            </w:pPr>
            <w:r>
              <w:rPr>
                <w:rFonts w:hint="eastAsia"/>
                <w:highlight w:val="none"/>
                <w:lang w:val="en-US" w:eastAsia="zh-CN"/>
              </w:rPr>
              <w:t>11</w:t>
            </w:r>
          </w:p>
        </w:tc>
        <w:tc>
          <w:tcPr>
            <w:tcW w:w="1920" w:type="dxa"/>
            <w:vAlign w:val="center"/>
          </w:tcPr>
          <w:p w14:paraId="584D288C">
            <w:pPr>
              <w:pStyle w:val="25"/>
              <w:bidi w:val="0"/>
              <w:jc w:val="center"/>
              <w:rPr>
                <w:rFonts w:hint="default"/>
                <w:highlight w:val="none"/>
                <w:lang w:val="en-US" w:eastAsia="zh-CN"/>
              </w:rPr>
            </w:pPr>
            <w:r>
              <w:rPr>
                <w:highlight w:val="none"/>
              </w:rPr>
              <w:t>乡城县政府后</w:t>
            </w:r>
          </w:p>
        </w:tc>
        <w:tc>
          <w:tcPr>
            <w:tcW w:w="1378" w:type="dxa"/>
            <w:vAlign w:val="center"/>
          </w:tcPr>
          <w:p w14:paraId="4F3E3A29">
            <w:pPr>
              <w:pStyle w:val="25"/>
              <w:bidi w:val="0"/>
              <w:jc w:val="center"/>
              <w:rPr>
                <w:rFonts w:hint="default"/>
                <w:highlight w:val="none"/>
                <w:lang w:val="en-US" w:eastAsia="zh-CN"/>
              </w:rPr>
            </w:pPr>
            <w:r>
              <w:rPr>
                <w:highlight w:val="none"/>
              </w:rPr>
              <w:t>长穗高山栎</w:t>
            </w:r>
          </w:p>
        </w:tc>
        <w:tc>
          <w:tcPr>
            <w:tcW w:w="1960" w:type="dxa"/>
            <w:vAlign w:val="center"/>
          </w:tcPr>
          <w:p w14:paraId="6345BE75">
            <w:pPr>
              <w:pStyle w:val="25"/>
              <w:bidi w:val="0"/>
              <w:jc w:val="center"/>
              <w:rPr>
                <w:rFonts w:hint="default"/>
                <w:highlight w:val="none"/>
                <w:lang w:val="en-US" w:eastAsia="zh-CN"/>
              </w:rPr>
            </w:pPr>
            <w:r>
              <w:rPr>
                <w:highlight w:val="none"/>
              </w:rPr>
              <w:t>99 °45'37.9956"E ；29°01' 15.1580"N</w:t>
            </w:r>
          </w:p>
        </w:tc>
        <w:tc>
          <w:tcPr>
            <w:tcW w:w="995" w:type="dxa"/>
            <w:vAlign w:val="center"/>
          </w:tcPr>
          <w:p w14:paraId="6709E045">
            <w:pPr>
              <w:pStyle w:val="25"/>
              <w:bidi w:val="0"/>
              <w:jc w:val="center"/>
              <w:rPr>
                <w:rFonts w:hint="default"/>
                <w:highlight w:val="none"/>
                <w:lang w:val="en-US" w:eastAsia="zh-CN"/>
              </w:rPr>
            </w:pPr>
            <w:r>
              <w:rPr>
                <w:highlight w:val="none"/>
              </w:rPr>
              <w:t>3036</w:t>
            </w:r>
          </w:p>
        </w:tc>
        <w:tc>
          <w:tcPr>
            <w:tcW w:w="886" w:type="dxa"/>
            <w:vAlign w:val="center"/>
          </w:tcPr>
          <w:p w14:paraId="1536FDC2">
            <w:pPr>
              <w:pStyle w:val="25"/>
              <w:bidi w:val="0"/>
              <w:jc w:val="center"/>
              <w:rPr>
                <w:rFonts w:hint="default"/>
                <w:highlight w:val="none"/>
                <w:lang w:val="en-US" w:eastAsia="zh-CN"/>
              </w:rPr>
            </w:pPr>
            <w:r>
              <w:rPr>
                <w:highlight w:val="none"/>
              </w:rPr>
              <w:t>西南</w:t>
            </w:r>
          </w:p>
        </w:tc>
        <w:tc>
          <w:tcPr>
            <w:tcW w:w="795" w:type="dxa"/>
            <w:vAlign w:val="center"/>
          </w:tcPr>
          <w:p w14:paraId="291B5856">
            <w:pPr>
              <w:pStyle w:val="25"/>
              <w:bidi w:val="0"/>
              <w:jc w:val="center"/>
              <w:rPr>
                <w:rFonts w:hint="default"/>
                <w:highlight w:val="none"/>
                <w:lang w:val="en-US" w:eastAsia="zh-CN"/>
              </w:rPr>
            </w:pPr>
            <w:r>
              <w:rPr>
                <w:highlight w:val="none"/>
              </w:rPr>
              <w:t>36</w:t>
            </w:r>
          </w:p>
        </w:tc>
      </w:tr>
      <w:tr w14:paraId="1F499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03697E84">
            <w:pPr>
              <w:pStyle w:val="22"/>
              <w:bidi w:val="0"/>
              <w:jc w:val="center"/>
              <w:rPr>
                <w:rFonts w:hint="default"/>
                <w:highlight w:val="none"/>
                <w:lang w:val="en-US" w:eastAsia="zh-CN"/>
              </w:rPr>
            </w:pPr>
            <w:r>
              <w:rPr>
                <w:rFonts w:hint="eastAsia"/>
                <w:highlight w:val="none"/>
                <w:lang w:val="en-US" w:eastAsia="zh-CN"/>
              </w:rPr>
              <w:t>12</w:t>
            </w:r>
          </w:p>
        </w:tc>
        <w:tc>
          <w:tcPr>
            <w:tcW w:w="1920" w:type="dxa"/>
            <w:vAlign w:val="center"/>
          </w:tcPr>
          <w:p w14:paraId="5E6DDFA9">
            <w:pPr>
              <w:pStyle w:val="25"/>
              <w:bidi w:val="0"/>
              <w:jc w:val="center"/>
              <w:rPr>
                <w:rFonts w:hint="default"/>
                <w:highlight w:val="none"/>
                <w:lang w:val="en-US" w:eastAsia="zh-CN"/>
              </w:rPr>
            </w:pPr>
            <w:r>
              <w:rPr>
                <w:highlight w:val="none"/>
              </w:rPr>
              <w:t>边边哨村</w:t>
            </w:r>
          </w:p>
        </w:tc>
        <w:tc>
          <w:tcPr>
            <w:tcW w:w="1378" w:type="dxa"/>
            <w:vAlign w:val="center"/>
          </w:tcPr>
          <w:p w14:paraId="52EAF9F5">
            <w:pPr>
              <w:pStyle w:val="25"/>
              <w:bidi w:val="0"/>
              <w:jc w:val="center"/>
              <w:rPr>
                <w:rFonts w:hint="default"/>
                <w:highlight w:val="none"/>
                <w:lang w:val="en-US" w:eastAsia="zh-CN"/>
              </w:rPr>
            </w:pPr>
            <w:r>
              <w:rPr>
                <w:highlight w:val="none"/>
              </w:rPr>
              <w:t>青杨</w:t>
            </w:r>
          </w:p>
        </w:tc>
        <w:tc>
          <w:tcPr>
            <w:tcW w:w="1960" w:type="dxa"/>
            <w:vAlign w:val="center"/>
          </w:tcPr>
          <w:p w14:paraId="2CBA623D">
            <w:pPr>
              <w:pStyle w:val="25"/>
              <w:bidi w:val="0"/>
              <w:jc w:val="center"/>
              <w:rPr>
                <w:rFonts w:hint="default"/>
                <w:highlight w:val="none"/>
                <w:lang w:val="en-US" w:eastAsia="zh-CN"/>
              </w:rPr>
            </w:pPr>
            <w:r>
              <w:rPr>
                <w:highlight w:val="none"/>
              </w:rPr>
              <w:t>99 °45'37.9956"E ；29°01' 15.1581"N</w:t>
            </w:r>
          </w:p>
        </w:tc>
        <w:tc>
          <w:tcPr>
            <w:tcW w:w="995" w:type="dxa"/>
            <w:vAlign w:val="center"/>
          </w:tcPr>
          <w:p w14:paraId="0D2DC025">
            <w:pPr>
              <w:pStyle w:val="25"/>
              <w:bidi w:val="0"/>
              <w:jc w:val="center"/>
              <w:rPr>
                <w:rFonts w:hint="default"/>
                <w:highlight w:val="none"/>
                <w:lang w:val="en-US" w:eastAsia="zh-CN"/>
              </w:rPr>
            </w:pPr>
            <w:r>
              <w:rPr>
                <w:highlight w:val="none"/>
              </w:rPr>
              <w:t>2842</w:t>
            </w:r>
          </w:p>
        </w:tc>
        <w:tc>
          <w:tcPr>
            <w:tcW w:w="886" w:type="dxa"/>
            <w:vAlign w:val="center"/>
          </w:tcPr>
          <w:p w14:paraId="4645114C">
            <w:pPr>
              <w:pStyle w:val="25"/>
              <w:bidi w:val="0"/>
              <w:jc w:val="center"/>
              <w:rPr>
                <w:rFonts w:hint="default"/>
                <w:highlight w:val="none"/>
                <w:lang w:val="en-US" w:eastAsia="zh-CN"/>
              </w:rPr>
            </w:pPr>
            <w:r>
              <w:rPr>
                <w:highlight w:val="none"/>
              </w:rPr>
              <w:t>东</w:t>
            </w:r>
          </w:p>
        </w:tc>
        <w:tc>
          <w:tcPr>
            <w:tcW w:w="795" w:type="dxa"/>
            <w:vAlign w:val="center"/>
          </w:tcPr>
          <w:p w14:paraId="5F5BE500">
            <w:pPr>
              <w:pStyle w:val="25"/>
              <w:bidi w:val="0"/>
              <w:jc w:val="center"/>
              <w:rPr>
                <w:rFonts w:hint="default"/>
                <w:highlight w:val="none"/>
                <w:lang w:val="en-US" w:eastAsia="zh-CN"/>
              </w:rPr>
            </w:pPr>
            <w:r>
              <w:rPr>
                <w:highlight w:val="none"/>
              </w:rPr>
              <w:t>56</w:t>
            </w:r>
          </w:p>
        </w:tc>
      </w:tr>
      <w:tr w14:paraId="1D02C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6F1DC85B">
            <w:pPr>
              <w:pStyle w:val="22"/>
              <w:bidi w:val="0"/>
              <w:jc w:val="center"/>
              <w:rPr>
                <w:rFonts w:hint="default"/>
                <w:highlight w:val="none"/>
                <w:lang w:val="en-US" w:eastAsia="zh-CN"/>
              </w:rPr>
            </w:pPr>
            <w:r>
              <w:rPr>
                <w:rFonts w:hint="eastAsia"/>
                <w:highlight w:val="none"/>
                <w:lang w:val="en-US" w:eastAsia="zh-CN"/>
              </w:rPr>
              <w:t>13</w:t>
            </w:r>
          </w:p>
        </w:tc>
        <w:tc>
          <w:tcPr>
            <w:tcW w:w="1920" w:type="dxa"/>
            <w:vAlign w:val="center"/>
          </w:tcPr>
          <w:p w14:paraId="074BFE9F">
            <w:pPr>
              <w:pStyle w:val="25"/>
              <w:bidi w:val="0"/>
              <w:jc w:val="center"/>
              <w:rPr>
                <w:rFonts w:hint="default"/>
                <w:highlight w:val="none"/>
                <w:lang w:val="en-US" w:eastAsia="zh-CN"/>
              </w:rPr>
            </w:pPr>
            <w:r>
              <w:rPr>
                <w:highlight w:val="none"/>
              </w:rPr>
              <w:t>信沟村</w:t>
            </w:r>
          </w:p>
        </w:tc>
        <w:tc>
          <w:tcPr>
            <w:tcW w:w="1378" w:type="dxa"/>
            <w:vAlign w:val="center"/>
          </w:tcPr>
          <w:p w14:paraId="4CB70F87">
            <w:pPr>
              <w:pStyle w:val="25"/>
              <w:bidi w:val="0"/>
              <w:jc w:val="center"/>
              <w:rPr>
                <w:rFonts w:hint="default"/>
                <w:highlight w:val="none"/>
                <w:lang w:val="en-US" w:eastAsia="zh-CN"/>
              </w:rPr>
            </w:pPr>
            <w:r>
              <w:rPr>
                <w:highlight w:val="none"/>
              </w:rPr>
              <w:t>高山松</w:t>
            </w:r>
          </w:p>
        </w:tc>
        <w:tc>
          <w:tcPr>
            <w:tcW w:w="1960" w:type="dxa"/>
            <w:vAlign w:val="center"/>
          </w:tcPr>
          <w:p w14:paraId="204E98F5">
            <w:pPr>
              <w:pStyle w:val="25"/>
              <w:bidi w:val="0"/>
              <w:jc w:val="center"/>
              <w:rPr>
                <w:rFonts w:hint="default"/>
                <w:highlight w:val="none"/>
                <w:lang w:val="en-US" w:eastAsia="zh-CN"/>
              </w:rPr>
            </w:pPr>
            <w:r>
              <w:rPr>
                <w:highlight w:val="none"/>
              </w:rPr>
              <w:t>99 °45'37.9956"E ；29°01' 15.1582"N</w:t>
            </w:r>
          </w:p>
        </w:tc>
        <w:tc>
          <w:tcPr>
            <w:tcW w:w="995" w:type="dxa"/>
            <w:vAlign w:val="center"/>
          </w:tcPr>
          <w:p w14:paraId="59933792">
            <w:pPr>
              <w:pStyle w:val="25"/>
              <w:bidi w:val="0"/>
              <w:jc w:val="center"/>
              <w:rPr>
                <w:rFonts w:hint="default"/>
                <w:highlight w:val="none"/>
                <w:lang w:val="en-US" w:eastAsia="zh-CN"/>
              </w:rPr>
            </w:pPr>
            <w:r>
              <w:rPr>
                <w:highlight w:val="none"/>
              </w:rPr>
              <w:t>2801</w:t>
            </w:r>
          </w:p>
        </w:tc>
        <w:tc>
          <w:tcPr>
            <w:tcW w:w="886" w:type="dxa"/>
            <w:vAlign w:val="center"/>
          </w:tcPr>
          <w:p w14:paraId="76A99774">
            <w:pPr>
              <w:pStyle w:val="25"/>
              <w:bidi w:val="0"/>
              <w:jc w:val="center"/>
              <w:rPr>
                <w:rFonts w:hint="default"/>
                <w:highlight w:val="none"/>
                <w:lang w:val="en-US" w:eastAsia="zh-CN"/>
              </w:rPr>
            </w:pPr>
            <w:r>
              <w:rPr>
                <w:highlight w:val="none"/>
              </w:rPr>
              <w:t>东北</w:t>
            </w:r>
          </w:p>
        </w:tc>
        <w:tc>
          <w:tcPr>
            <w:tcW w:w="795" w:type="dxa"/>
            <w:vAlign w:val="center"/>
          </w:tcPr>
          <w:p w14:paraId="6C0D2176">
            <w:pPr>
              <w:pStyle w:val="25"/>
              <w:bidi w:val="0"/>
              <w:jc w:val="center"/>
              <w:rPr>
                <w:rFonts w:hint="default"/>
                <w:highlight w:val="none"/>
                <w:lang w:val="en-US" w:eastAsia="zh-CN"/>
              </w:rPr>
            </w:pPr>
            <w:r>
              <w:rPr>
                <w:highlight w:val="none"/>
              </w:rPr>
              <w:t>24</w:t>
            </w:r>
          </w:p>
        </w:tc>
      </w:tr>
      <w:tr w14:paraId="5AD51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60E6129E">
            <w:pPr>
              <w:pStyle w:val="22"/>
              <w:bidi w:val="0"/>
              <w:jc w:val="center"/>
              <w:rPr>
                <w:rFonts w:hint="default"/>
                <w:highlight w:val="none"/>
                <w:lang w:val="en-US" w:eastAsia="zh-CN"/>
              </w:rPr>
            </w:pPr>
            <w:r>
              <w:rPr>
                <w:rFonts w:hint="eastAsia"/>
                <w:highlight w:val="none"/>
                <w:lang w:val="en-US" w:eastAsia="zh-CN"/>
              </w:rPr>
              <w:t>14</w:t>
            </w:r>
          </w:p>
        </w:tc>
        <w:tc>
          <w:tcPr>
            <w:tcW w:w="1920" w:type="dxa"/>
            <w:vAlign w:val="center"/>
          </w:tcPr>
          <w:p w14:paraId="03C51F9E">
            <w:pPr>
              <w:pStyle w:val="22"/>
              <w:bidi w:val="0"/>
              <w:jc w:val="center"/>
              <w:rPr>
                <w:rFonts w:hint="default"/>
                <w:highlight w:val="none"/>
                <w:lang w:val="en-US" w:eastAsia="zh-CN"/>
              </w:rPr>
            </w:pPr>
            <w:r>
              <w:rPr>
                <w:spacing w:val="6"/>
                <w:sz w:val="20"/>
                <w:szCs w:val="20"/>
                <w:highlight w:val="none"/>
              </w:rPr>
              <w:t>鱼洼仲村</w:t>
            </w:r>
          </w:p>
        </w:tc>
        <w:tc>
          <w:tcPr>
            <w:tcW w:w="1378" w:type="dxa"/>
            <w:vAlign w:val="center"/>
          </w:tcPr>
          <w:p w14:paraId="36528390">
            <w:pPr>
              <w:pStyle w:val="25"/>
              <w:bidi w:val="0"/>
              <w:jc w:val="center"/>
              <w:rPr>
                <w:rFonts w:hint="default"/>
                <w:highlight w:val="none"/>
                <w:lang w:val="en-US" w:eastAsia="zh-CN"/>
              </w:rPr>
            </w:pPr>
            <w:r>
              <w:rPr>
                <w:highlight w:val="none"/>
              </w:rPr>
              <w:t>川西云 杉</w:t>
            </w:r>
          </w:p>
        </w:tc>
        <w:tc>
          <w:tcPr>
            <w:tcW w:w="1960" w:type="dxa"/>
            <w:vAlign w:val="center"/>
          </w:tcPr>
          <w:p w14:paraId="5B43B578">
            <w:pPr>
              <w:pStyle w:val="25"/>
              <w:bidi w:val="0"/>
              <w:jc w:val="center"/>
              <w:rPr>
                <w:rFonts w:hint="default"/>
                <w:highlight w:val="none"/>
                <w:lang w:val="en-US" w:eastAsia="zh-CN"/>
              </w:rPr>
            </w:pPr>
            <w:r>
              <w:rPr>
                <w:highlight w:val="none"/>
              </w:rPr>
              <w:t>99 °45'37.9956"E ；29°01' 15.1583"N</w:t>
            </w:r>
          </w:p>
        </w:tc>
        <w:tc>
          <w:tcPr>
            <w:tcW w:w="995" w:type="dxa"/>
            <w:vAlign w:val="center"/>
          </w:tcPr>
          <w:p w14:paraId="2A5C13D2">
            <w:pPr>
              <w:pStyle w:val="25"/>
              <w:bidi w:val="0"/>
              <w:jc w:val="center"/>
              <w:rPr>
                <w:rFonts w:hint="default"/>
                <w:highlight w:val="none"/>
                <w:lang w:val="en-US" w:eastAsia="zh-CN"/>
              </w:rPr>
            </w:pPr>
            <w:r>
              <w:rPr>
                <w:highlight w:val="none"/>
              </w:rPr>
              <w:t>2866</w:t>
            </w:r>
          </w:p>
        </w:tc>
        <w:tc>
          <w:tcPr>
            <w:tcW w:w="886" w:type="dxa"/>
            <w:vAlign w:val="center"/>
          </w:tcPr>
          <w:p w14:paraId="5733DC4E">
            <w:pPr>
              <w:pStyle w:val="25"/>
              <w:bidi w:val="0"/>
              <w:jc w:val="center"/>
              <w:rPr>
                <w:rFonts w:hint="default"/>
                <w:highlight w:val="none"/>
                <w:lang w:val="en-US" w:eastAsia="zh-CN"/>
              </w:rPr>
            </w:pPr>
            <w:r>
              <w:rPr>
                <w:highlight w:val="none"/>
              </w:rPr>
              <w:t>东北</w:t>
            </w:r>
          </w:p>
        </w:tc>
        <w:tc>
          <w:tcPr>
            <w:tcW w:w="795" w:type="dxa"/>
            <w:vAlign w:val="center"/>
          </w:tcPr>
          <w:p w14:paraId="57774C09">
            <w:pPr>
              <w:pStyle w:val="25"/>
              <w:bidi w:val="0"/>
              <w:jc w:val="center"/>
              <w:rPr>
                <w:rFonts w:hint="default"/>
                <w:highlight w:val="none"/>
                <w:lang w:val="en-US" w:eastAsia="zh-CN"/>
              </w:rPr>
            </w:pPr>
            <w:r>
              <w:rPr>
                <w:highlight w:val="none"/>
              </w:rPr>
              <w:t>18</w:t>
            </w:r>
          </w:p>
        </w:tc>
      </w:tr>
      <w:tr w14:paraId="6A7C1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14:paraId="7DBB3D3A">
            <w:pPr>
              <w:pStyle w:val="22"/>
              <w:bidi w:val="0"/>
              <w:jc w:val="center"/>
              <w:rPr>
                <w:rFonts w:hint="default"/>
                <w:highlight w:val="none"/>
                <w:lang w:val="en-US" w:eastAsia="zh-CN"/>
              </w:rPr>
            </w:pPr>
            <w:r>
              <w:rPr>
                <w:rFonts w:hint="eastAsia"/>
                <w:highlight w:val="none"/>
                <w:lang w:val="en-US" w:eastAsia="zh-CN"/>
              </w:rPr>
              <w:t>15</w:t>
            </w:r>
          </w:p>
        </w:tc>
        <w:tc>
          <w:tcPr>
            <w:tcW w:w="1920" w:type="dxa"/>
            <w:vAlign w:val="center"/>
          </w:tcPr>
          <w:p w14:paraId="0475828B">
            <w:pPr>
              <w:pStyle w:val="25"/>
              <w:bidi w:val="0"/>
              <w:jc w:val="center"/>
              <w:rPr>
                <w:rFonts w:hint="default"/>
                <w:highlight w:val="none"/>
                <w:lang w:val="en-US" w:eastAsia="zh-CN"/>
              </w:rPr>
            </w:pPr>
            <w:r>
              <w:rPr>
                <w:highlight w:val="none"/>
              </w:rPr>
              <w:t>热差卡村</w:t>
            </w:r>
          </w:p>
        </w:tc>
        <w:tc>
          <w:tcPr>
            <w:tcW w:w="1378" w:type="dxa"/>
            <w:vAlign w:val="center"/>
          </w:tcPr>
          <w:p w14:paraId="68766B44">
            <w:pPr>
              <w:pStyle w:val="25"/>
              <w:bidi w:val="0"/>
              <w:jc w:val="center"/>
              <w:rPr>
                <w:rFonts w:hint="default"/>
                <w:highlight w:val="none"/>
                <w:lang w:val="en-US" w:eastAsia="zh-CN"/>
              </w:rPr>
            </w:pPr>
            <w:r>
              <w:rPr>
                <w:highlight w:val="none"/>
              </w:rPr>
              <w:t>青榨槭</w:t>
            </w:r>
          </w:p>
        </w:tc>
        <w:tc>
          <w:tcPr>
            <w:tcW w:w="1960" w:type="dxa"/>
            <w:vAlign w:val="center"/>
          </w:tcPr>
          <w:p w14:paraId="566358A5">
            <w:pPr>
              <w:pStyle w:val="25"/>
              <w:bidi w:val="0"/>
              <w:jc w:val="center"/>
              <w:rPr>
                <w:rFonts w:hint="default"/>
                <w:highlight w:val="none"/>
                <w:lang w:val="en-US" w:eastAsia="zh-CN"/>
              </w:rPr>
            </w:pPr>
            <w:r>
              <w:rPr>
                <w:highlight w:val="none"/>
              </w:rPr>
              <w:t>99 °45'37.9956"E ；29°01' 15.1584"N</w:t>
            </w:r>
          </w:p>
        </w:tc>
        <w:tc>
          <w:tcPr>
            <w:tcW w:w="995" w:type="dxa"/>
            <w:vAlign w:val="center"/>
          </w:tcPr>
          <w:p w14:paraId="3B306F6D">
            <w:pPr>
              <w:pStyle w:val="25"/>
              <w:bidi w:val="0"/>
              <w:jc w:val="center"/>
              <w:rPr>
                <w:rFonts w:hint="default"/>
                <w:highlight w:val="none"/>
                <w:lang w:val="en-US" w:eastAsia="zh-CN"/>
              </w:rPr>
            </w:pPr>
            <w:r>
              <w:rPr>
                <w:highlight w:val="none"/>
              </w:rPr>
              <w:t>2791</w:t>
            </w:r>
          </w:p>
        </w:tc>
        <w:tc>
          <w:tcPr>
            <w:tcW w:w="886" w:type="dxa"/>
            <w:vAlign w:val="center"/>
          </w:tcPr>
          <w:p w14:paraId="7895206F">
            <w:pPr>
              <w:pStyle w:val="25"/>
              <w:bidi w:val="0"/>
              <w:jc w:val="center"/>
              <w:rPr>
                <w:rFonts w:hint="default"/>
                <w:highlight w:val="none"/>
                <w:lang w:val="en-US" w:eastAsia="zh-CN"/>
              </w:rPr>
            </w:pPr>
            <w:r>
              <w:rPr>
                <w:highlight w:val="none"/>
              </w:rPr>
              <w:t>东北</w:t>
            </w:r>
          </w:p>
        </w:tc>
        <w:tc>
          <w:tcPr>
            <w:tcW w:w="795" w:type="dxa"/>
            <w:vAlign w:val="center"/>
          </w:tcPr>
          <w:p w14:paraId="43140B37">
            <w:pPr>
              <w:pStyle w:val="25"/>
              <w:bidi w:val="0"/>
              <w:jc w:val="center"/>
              <w:rPr>
                <w:rFonts w:hint="default"/>
                <w:highlight w:val="none"/>
                <w:lang w:val="en-US" w:eastAsia="zh-CN"/>
              </w:rPr>
            </w:pPr>
            <w:r>
              <w:rPr>
                <w:highlight w:val="none"/>
              </w:rPr>
              <w:t>4</w:t>
            </w:r>
          </w:p>
        </w:tc>
      </w:tr>
    </w:tbl>
    <w:p w14:paraId="577B3907">
      <w:pPr>
        <w:numPr>
          <w:ilvl w:val="0"/>
          <w:numId w:val="0"/>
        </w:numPr>
        <w:bidi w:val="0"/>
        <w:ind w:firstLine="480" w:firstLineChars="200"/>
        <w:rPr>
          <w:rFonts w:hint="eastAsia"/>
          <w:highlight w:val="none"/>
          <w:lang w:val="en-US" w:eastAsia="zh-CN"/>
        </w:rPr>
      </w:pPr>
      <w:r>
        <w:rPr>
          <w:rFonts w:hint="eastAsia" w:ascii="Times New Roman" w:hAnsi="Times New Roman" w:eastAsia="+中文正文" w:cstheme="minorBidi"/>
          <w:kern w:val="2"/>
          <w:sz w:val="24"/>
          <w:szCs w:val="24"/>
          <w:highlight w:val="none"/>
          <w:lang w:val="en-US" w:eastAsia="zh-CN" w:bidi="ar-SA"/>
        </w:rPr>
        <w:t>4）</w:t>
      </w:r>
      <w:r>
        <w:rPr>
          <w:rFonts w:hint="eastAsia"/>
          <w:highlight w:val="none"/>
          <w:lang w:val="en-US" w:eastAsia="zh-CN"/>
        </w:rPr>
        <w:t>植物样线调查</w:t>
      </w:r>
    </w:p>
    <w:p w14:paraId="5D7E2C7D">
      <w:pPr>
        <w:bidi w:val="0"/>
        <w:rPr>
          <w:rFonts w:hint="default"/>
          <w:highlight w:val="none"/>
          <w:lang w:val="en-US" w:eastAsia="zh-CN"/>
        </w:rPr>
      </w:pPr>
      <w:r>
        <w:rPr>
          <w:rFonts w:hint="default"/>
          <w:highlight w:val="none"/>
          <w:lang w:val="en-US" w:eastAsia="zh-CN"/>
        </w:rPr>
        <w:t>植物样线调查结合了植物样方调查同时进行。根据卫星影像及地形图，探查评价区域内植被生态单元分布情况、道路等信息，依据具体的植被生态单元分布及场地道路的分布，设计适用于该评价范围的调查样线。本次评价范围生境类型有森林、灌丛、草地、湿地、农田、城镇等6种，主要以农田、森林、灌丛、城镇等4种生境为主，湿地和草地生境较少。本次植物样线调查以评价区农田、森林、城镇、湿地等4种生境为主，兼顾灌丛、草地生境，共布设12条样线，贯穿不同的生态单元，尽可能覆盖整个评价范围，重点布设于评价区涉及天然林、公益林、水库淹没区、管线穿越及占地周边区域。根据设置样线进行沿线植物调查，实地记录观察到的植物物种，并拍摄照片。如遇到保护植物，使用GPS对保护植物所在位置进行定位记录，并在其周边范围内搜索，调查保护植物数量及种群情况</w:t>
      </w:r>
      <w:r>
        <w:rPr>
          <w:rFonts w:hint="eastAsia"/>
          <w:highlight w:val="none"/>
          <w:lang w:val="en-US" w:eastAsia="zh-CN"/>
        </w:rPr>
        <w:t>，</w:t>
      </w:r>
      <w:r>
        <w:rPr>
          <w:rFonts w:hint="default"/>
          <w:highlight w:val="none"/>
          <w:lang w:val="en-US" w:eastAsia="zh-CN"/>
        </w:rPr>
        <w:t>并拍照记录。</w:t>
      </w:r>
    </w:p>
    <w:p w14:paraId="4A7B6BF8">
      <w:pPr>
        <w:bidi w:val="0"/>
        <w:rPr>
          <w:rFonts w:hint="eastAsia"/>
          <w:highlight w:val="none"/>
          <w:lang w:val="en-US" w:eastAsia="zh-CN"/>
        </w:rPr>
      </w:pPr>
      <w:r>
        <w:rPr>
          <w:rFonts w:hint="eastAsia"/>
          <w:highlight w:val="none"/>
          <w:lang w:val="en-US" w:eastAsia="zh-CN"/>
        </w:rPr>
        <w:t>5）真菌调查方法</w:t>
      </w:r>
    </w:p>
    <w:p w14:paraId="63C5C1C9">
      <w:pPr>
        <w:bidi w:val="0"/>
        <w:rPr>
          <w:rFonts w:hint="default"/>
          <w:highlight w:val="none"/>
          <w:lang w:val="en-US" w:eastAsia="zh-CN"/>
        </w:rPr>
      </w:pPr>
      <w:r>
        <w:rPr>
          <w:rFonts w:hint="default"/>
          <w:highlight w:val="none"/>
          <w:lang w:val="en-US" w:eastAsia="zh-CN"/>
        </w:rPr>
        <w:t>大型真菌采用样线法调查，对重要真菌辅以样方法调查。菌种鉴定以菌类子实体形态鉴定为主，孢子、菌丝形态鉴别为辅进行菌种鉴定。</w:t>
      </w:r>
    </w:p>
    <w:p w14:paraId="6F0ABF6D">
      <w:pPr>
        <w:numPr>
          <w:ilvl w:val="0"/>
          <w:numId w:val="21"/>
        </w:numPr>
        <w:bidi w:val="0"/>
        <w:ind w:left="0" w:leftChars="0" w:firstLine="478" w:firstLineChars="200"/>
        <w:rPr>
          <w:rFonts w:ascii="宋体" w:hAnsi="宋体" w:eastAsia="宋体" w:cs="宋体"/>
          <w:b/>
          <w:bCs/>
          <w:spacing w:val="-1"/>
          <w:sz w:val="24"/>
          <w:szCs w:val="24"/>
          <w:highlight w:val="none"/>
        </w:rPr>
      </w:pPr>
      <w:r>
        <w:rPr>
          <w:rFonts w:ascii="宋体" w:hAnsi="宋体" w:eastAsia="宋体" w:cs="宋体"/>
          <w:b/>
          <w:bCs/>
          <w:spacing w:val="-1"/>
          <w:sz w:val="24"/>
          <w:szCs w:val="24"/>
          <w:highlight w:val="none"/>
        </w:rPr>
        <w:t>评价区植被概况</w:t>
      </w:r>
    </w:p>
    <w:p w14:paraId="06E107E6">
      <w:pPr>
        <w:bidi w:val="0"/>
        <w:rPr>
          <w:rFonts w:hint="default"/>
          <w:highlight w:val="none"/>
          <w:lang w:val="en-US" w:eastAsia="zh-CN"/>
        </w:rPr>
      </w:pPr>
      <w:r>
        <w:rPr>
          <w:rFonts w:hint="default"/>
          <w:highlight w:val="none"/>
          <w:lang w:val="en-US" w:eastAsia="zh-CN"/>
        </w:rPr>
        <w:t>1</w:t>
      </w:r>
      <w:r>
        <w:rPr>
          <w:rFonts w:hint="eastAsia"/>
          <w:highlight w:val="none"/>
          <w:lang w:val="en-US" w:eastAsia="zh-CN"/>
        </w:rPr>
        <w:t>）</w:t>
      </w:r>
      <w:r>
        <w:rPr>
          <w:rFonts w:hint="default"/>
          <w:highlight w:val="none"/>
          <w:lang w:val="en-US" w:eastAsia="zh-CN"/>
        </w:rPr>
        <w:t>评价区植物区系概况</w:t>
      </w:r>
    </w:p>
    <w:p w14:paraId="0062685A">
      <w:pPr>
        <w:bidi w:val="0"/>
        <w:rPr>
          <w:rFonts w:hint="default"/>
          <w:highlight w:val="none"/>
          <w:lang w:val="en-US" w:eastAsia="zh-CN"/>
        </w:rPr>
      </w:pPr>
      <w:r>
        <w:rPr>
          <w:rFonts w:hint="default"/>
          <w:highlight w:val="none"/>
          <w:lang w:val="en-US" w:eastAsia="zh-CN"/>
        </w:rPr>
        <w:t>植物区系是在长期的地质历史过程中形成的，是植物群体及其周围的自然地理环境，特别是在自然历史条件的综合作用下长期演化的结果。通过植物区系成分的统计分析，可掌握该区域植物区系的组成和占优势科、属植物的组成，并通过与全世界、全国及周边区域植物区系成分的比较，明确该区域植物区系在全国植物区系中的特定地位。在植物分类学上，属的形态特征相对稳定，并占有比较稳定的分布区；在演化过程中，随环境条件的变化而产生分化，表现出明显的地区性差异。同时，每一个属所包含的种常具有同一起源和相似的进化趋势。所以属比科更能反映植物系统发育过程中的进化与分化情况和地区特征。</w:t>
      </w:r>
    </w:p>
    <w:p w14:paraId="268C3543">
      <w:pPr>
        <w:bidi w:val="0"/>
        <w:rPr>
          <w:rFonts w:hint="default"/>
          <w:highlight w:val="none"/>
          <w:lang w:val="en-US" w:eastAsia="zh-CN"/>
        </w:rPr>
      </w:pPr>
      <w:r>
        <w:rPr>
          <w:rFonts w:hint="default"/>
          <w:highlight w:val="none"/>
          <w:lang w:val="en-US" w:eastAsia="zh-CN"/>
        </w:rPr>
        <w:t>评价区内共有维管植物34科86属137种。其中蕨类植物4科4属5种，占评价区域总科数的11.76%，总属数的4.65%，总种数的3.69%；被子植物30科82属 132 种，占评价区域总科数的88.23% ，总属数的 95.34% ，总种数的96.35%；从科、属、种的分布来看，评价区植物以被子植物为主。从科来分析， 评价区有 2 个含 20 种及以上的科，分布为菊科（Compositae， 12 属，24 种）、禾本科（ Gramineae ，16 属 ，21 种 ）；有1个科含10-19种 ， 为 龙 胆科（Gentianaceae ，3 属，10 种），这3个科是评价区的优势科。从属来分析，没有含 10 种以上的多种属但含有2个 6-9 种的中等属，含 2-5 种的寡种属25个，共65 种，单种属有59个，共59种。评价区的单种属在该研究区域中所占的比例较大，说明评价区维管束植物属组成较丰富。</w:t>
      </w:r>
    </w:p>
    <w:p w14:paraId="01FECAF0">
      <w:pPr>
        <w:bidi w:val="0"/>
        <w:rPr>
          <w:rFonts w:hint="default"/>
          <w:highlight w:val="none"/>
          <w:lang w:val="en-US" w:eastAsia="zh-CN"/>
        </w:rPr>
      </w:pPr>
      <w:r>
        <w:rPr>
          <w:rFonts w:hint="eastAsia"/>
          <w:highlight w:val="none"/>
          <w:lang w:val="en-US" w:eastAsia="zh-CN"/>
        </w:rPr>
        <w:t>2</w:t>
      </w:r>
      <w:r>
        <w:rPr>
          <w:rFonts w:hint="default"/>
          <w:highlight w:val="none"/>
          <w:lang w:val="en-US" w:eastAsia="zh-CN"/>
        </w:rPr>
        <w:t>）古木名树</w:t>
      </w:r>
    </w:p>
    <w:p w14:paraId="3DE898FB">
      <w:pPr>
        <w:bidi w:val="0"/>
        <w:rPr>
          <w:rFonts w:hint="default"/>
          <w:highlight w:val="none"/>
          <w:lang w:val="en-US" w:eastAsia="zh-CN"/>
        </w:rPr>
      </w:pPr>
      <w:r>
        <w:rPr>
          <w:rFonts w:hint="default"/>
          <w:highlight w:val="none"/>
          <w:lang w:val="en-US" w:eastAsia="zh-CN"/>
        </w:rPr>
        <w:t>按照全国绿化委员会、国家林业局文件（全绿字</w:t>
      </w:r>
      <w:r>
        <w:rPr>
          <w:rFonts w:hint="eastAsia" w:ascii="宋体" w:hAnsi="宋体" w:eastAsia="宋体" w:cs="宋体"/>
          <w:highlight w:val="none"/>
          <w:lang w:val="en-US" w:eastAsia="zh-CN"/>
        </w:rPr>
        <w:t>〔</w:t>
      </w:r>
      <w:r>
        <w:rPr>
          <w:rFonts w:hint="default"/>
          <w:highlight w:val="none"/>
          <w:lang w:val="en-US" w:eastAsia="zh-CN"/>
        </w:rPr>
        <w:t>2001</w:t>
      </w:r>
      <w:r>
        <w:rPr>
          <w:rFonts w:hint="eastAsia" w:ascii="宋体" w:hAnsi="宋体" w:eastAsia="宋体" w:cs="宋体"/>
          <w:highlight w:val="none"/>
          <w:lang w:val="en-US" w:eastAsia="zh-CN"/>
        </w:rPr>
        <w:t>〕</w:t>
      </w:r>
      <w:r>
        <w:rPr>
          <w:rFonts w:hint="default"/>
          <w:highlight w:val="none"/>
          <w:lang w:val="en-US" w:eastAsia="zh-CN"/>
        </w:rPr>
        <w:t>15号）对名木古树的界定，名木指在历史上或社会上有重大影响的中外历代名人、领袖人物所植或者具有极其重要的历史、文化价值、具有纪念意义的树木；古树指树龄在 100 年以上的树木。根据实地调查以及查阅相关资料，在评价区内未发现挂牌 和登记在册的古树名木。</w:t>
      </w:r>
    </w:p>
    <w:p w14:paraId="0D7DD211">
      <w:pPr>
        <w:bidi w:val="0"/>
        <w:rPr>
          <w:rFonts w:hint="default"/>
          <w:highlight w:val="none"/>
          <w:lang w:val="en-US" w:eastAsia="zh-CN"/>
        </w:rPr>
      </w:pPr>
      <w:r>
        <w:rPr>
          <w:rFonts w:hint="default"/>
          <w:highlight w:val="none"/>
          <w:lang w:val="en-US" w:eastAsia="zh-CN"/>
        </w:rPr>
        <w:t>3）重要野生植物</w:t>
      </w:r>
    </w:p>
    <w:p w14:paraId="5CF0101F">
      <w:pPr>
        <w:bidi w:val="0"/>
        <w:rPr>
          <w:rFonts w:hint="default"/>
          <w:highlight w:val="none"/>
          <w:lang w:val="en-US" w:eastAsia="zh-CN"/>
        </w:rPr>
      </w:pPr>
      <w:r>
        <w:rPr>
          <w:rFonts w:hint="default"/>
          <w:highlight w:val="none"/>
          <w:lang w:val="en-US" w:eastAsia="zh-CN"/>
        </w:rPr>
        <w:t>根据调查访问结合资料文献，此次评价区内 137 种植物中共有 19 种重要资源植物，19种都是特有种，无极小种群野生植物。</w:t>
      </w:r>
    </w:p>
    <w:p w14:paraId="7EA899B1">
      <w:pPr>
        <w:bidi w:val="0"/>
        <w:rPr>
          <w:rFonts w:hint="eastAsia"/>
          <w:highlight w:val="none"/>
          <w:lang w:val="en-US" w:eastAsia="zh-CN"/>
        </w:rPr>
      </w:pPr>
      <w:r>
        <w:rPr>
          <w:rFonts w:hint="eastAsia"/>
          <w:highlight w:val="none"/>
          <w:lang w:val="en-US" w:eastAsia="zh-CN"/>
        </w:rPr>
        <w:t>4）植物物种多样性</w:t>
      </w:r>
    </w:p>
    <w:p w14:paraId="50D8B0DD">
      <w:pPr>
        <w:bidi w:val="0"/>
        <w:rPr>
          <w:rFonts w:hint="default"/>
          <w:highlight w:val="none"/>
          <w:lang w:val="en-US" w:eastAsia="zh-CN"/>
        </w:rPr>
      </w:pPr>
      <w:r>
        <w:rPr>
          <w:rFonts w:hint="default"/>
          <w:highlight w:val="none"/>
          <w:lang w:val="en-US" w:eastAsia="zh-CN"/>
        </w:rPr>
        <w:t>物种多样性作为度量群落结构、功能和环境资源的重要数量指标，受多种因素的影响，土壤条件、水分状况、纬度梯度、海拔梯度以及不同演替阶段等综合环境 条件变化对群落物种多样性都会产生影响。由于本项目位于高原地带，乔木植被、高山灌丛和草甸均有分布。因此，本次评价对各个样地的生物多样性分乔木层、灌木层、草本层进行定量描述，计算结果见下表。</w:t>
      </w:r>
    </w:p>
    <w:p w14:paraId="7A89AD41">
      <w:pPr>
        <w:bidi w:val="0"/>
        <w:rPr>
          <w:rFonts w:hint="default"/>
          <w:highlight w:val="none"/>
          <w:lang w:val="en-US" w:eastAsia="zh-CN"/>
        </w:rPr>
      </w:pPr>
    </w:p>
    <w:p w14:paraId="3F0D9E32">
      <w:pPr>
        <w:pStyle w:val="11"/>
        <w:bidi w:val="0"/>
        <w:ind w:left="0" w:leftChars="0" w:firstLine="0" w:firstLineChars="0"/>
        <w:rPr>
          <w:rFonts w:hint="eastAsia"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25</w:t>
      </w:r>
      <w:r>
        <w:rPr>
          <w:highlight w:val="none"/>
        </w:rPr>
        <w:fldChar w:fldCharType="end"/>
      </w:r>
      <w:r>
        <w:rPr>
          <w:rFonts w:hint="eastAsia"/>
          <w:highlight w:val="none"/>
          <w:lang w:val="en-US" w:eastAsia="zh-CN"/>
        </w:rPr>
        <w:t xml:space="preserve"> 评价区植物群落物种丰富度和物种多样性</w:t>
      </w:r>
    </w:p>
    <w:tbl>
      <w:tblPr>
        <w:tblStyle w:val="24"/>
        <w:tblW w:w="830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33"/>
        <w:gridCol w:w="2276"/>
        <w:gridCol w:w="1643"/>
        <w:gridCol w:w="1592"/>
        <w:gridCol w:w="1656"/>
      </w:tblGrid>
      <w:tr w14:paraId="1F1E3A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6" w:hRule="atLeast"/>
        </w:trPr>
        <w:tc>
          <w:tcPr>
            <w:tcW w:w="1133" w:type="dxa"/>
            <w:vAlign w:val="center"/>
          </w:tcPr>
          <w:p w14:paraId="18537571">
            <w:pPr>
              <w:pStyle w:val="25"/>
              <w:bidi w:val="0"/>
              <w:jc w:val="center"/>
              <w:rPr>
                <w:highlight w:val="none"/>
              </w:rPr>
            </w:pPr>
          </w:p>
        </w:tc>
        <w:tc>
          <w:tcPr>
            <w:tcW w:w="2276" w:type="dxa"/>
            <w:vAlign w:val="center"/>
          </w:tcPr>
          <w:p w14:paraId="7F934DAE">
            <w:pPr>
              <w:pStyle w:val="25"/>
              <w:bidi w:val="0"/>
              <w:jc w:val="center"/>
              <w:rPr>
                <w:highlight w:val="none"/>
              </w:rPr>
            </w:pPr>
            <w:r>
              <w:rPr>
                <w:highlight w:val="none"/>
              </w:rPr>
              <w:t>Shannon−Wiener 指</w:t>
            </w:r>
          </w:p>
          <w:p w14:paraId="4DBD4DDB">
            <w:pPr>
              <w:pStyle w:val="25"/>
              <w:bidi w:val="0"/>
              <w:jc w:val="center"/>
              <w:rPr>
                <w:highlight w:val="none"/>
              </w:rPr>
            </w:pPr>
            <w:r>
              <w:rPr>
                <w:highlight w:val="none"/>
              </w:rPr>
              <w:t>数（H）</w:t>
            </w:r>
          </w:p>
        </w:tc>
        <w:tc>
          <w:tcPr>
            <w:tcW w:w="1643" w:type="dxa"/>
            <w:vAlign w:val="center"/>
          </w:tcPr>
          <w:p w14:paraId="62A43123">
            <w:pPr>
              <w:pStyle w:val="25"/>
              <w:bidi w:val="0"/>
              <w:jc w:val="center"/>
              <w:rPr>
                <w:highlight w:val="none"/>
              </w:rPr>
            </w:pPr>
            <w:r>
              <w:rPr>
                <w:highlight w:val="none"/>
              </w:rPr>
              <w:t>Simpson 指数</w:t>
            </w:r>
          </w:p>
          <w:p w14:paraId="53032E4B">
            <w:pPr>
              <w:pStyle w:val="25"/>
              <w:bidi w:val="0"/>
              <w:jc w:val="center"/>
              <w:rPr>
                <w:highlight w:val="none"/>
              </w:rPr>
            </w:pPr>
            <w:r>
              <w:rPr>
                <w:highlight w:val="none"/>
              </w:rPr>
              <w:t>（D）</w:t>
            </w:r>
          </w:p>
        </w:tc>
        <w:tc>
          <w:tcPr>
            <w:tcW w:w="1592" w:type="dxa"/>
            <w:vAlign w:val="center"/>
          </w:tcPr>
          <w:p w14:paraId="436F7AD0">
            <w:pPr>
              <w:pStyle w:val="25"/>
              <w:bidi w:val="0"/>
              <w:jc w:val="center"/>
              <w:rPr>
                <w:highlight w:val="none"/>
              </w:rPr>
            </w:pPr>
            <w:r>
              <w:rPr>
                <w:highlight w:val="none"/>
              </w:rPr>
              <w:t>Pielou 均匀度指 数（J）</w:t>
            </w:r>
          </w:p>
        </w:tc>
        <w:tc>
          <w:tcPr>
            <w:tcW w:w="1656" w:type="dxa"/>
            <w:vAlign w:val="center"/>
          </w:tcPr>
          <w:p w14:paraId="6965E4FB">
            <w:pPr>
              <w:pStyle w:val="25"/>
              <w:bidi w:val="0"/>
              <w:jc w:val="center"/>
              <w:rPr>
                <w:highlight w:val="none"/>
              </w:rPr>
            </w:pPr>
            <w:r>
              <w:rPr>
                <w:highlight w:val="none"/>
              </w:rPr>
              <w:t>Margalef 丰富度指数（M）</w:t>
            </w:r>
          </w:p>
        </w:tc>
      </w:tr>
      <w:tr w14:paraId="2339FA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2" w:hRule="atLeast"/>
        </w:trPr>
        <w:tc>
          <w:tcPr>
            <w:tcW w:w="1133" w:type="dxa"/>
            <w:vAlign w:val="center"/>
          </w:tcPr>
          <w:p w14:paraId="53C4F1E3">
            <w:pPr>
              <w:pStyle w:val="25"/>
              <w:bidi w:val="0"/>
              <w:jc w:val="center"/>
              <w:rPr>
                <w:highlight w:val="none"/>
              </w:rPr>
            </w:pPr>
            <w:r>
              <w:rPr>
                <w:highlight w:val="none"/>
              </w:rPr>
              <w:t>乔木层</w:t>
            </w:r>
          </w:p>
        </w:tc>
        <w:tc>
          <w:tcPr>
            <w:tcW w:w="2276" w:type="dxa"/>
            <w:vAlign w:val="center"/>
          </w:tcPr>
          <w:p w14:paraId="269F3E29">
            <w:pPr>
              <w:pStyle w:val="25"/>
              <w:bidi w:val="0"/>
              <w:jc w:val="center"/>
              <w:rPr>
                <w:highlight w:val="none"/>
              </w:rPr>
            </w:pPr>
            <w:r>
              <w:rPr>
                <w:highlight w:val="none"/>
              </w:rPr>
              <w:t>2.43</w:t>
            </w:r>
          </w:p>
        </w:tc>
        <w:tc>
          <w:tcPr>
            <w:tcW w:w="1643" w:type="dxa"/>
            <w:vAlign w:val="center"/>
          </w:tcPr>
          <w:p w14:paraId="1AA95088">
            <w:pPr>
              <w:pStyle w:val="25"/>
              <w:bidi w:val="0"/>
              <w:jc w:val="center"/>
              <w:rPr>
                <w:highlight w:val="none"/>
              </w:rPr>
            </w:pPr>
            <w:r>
              <w:rPr>
                <w:highlight w:val="none"/>
              </w:rPr>
              <w:t>0.68</w:t>
            </w:r>
          </w:p>
        </w:tc>
        <w:tc>
          <w:tcPr>
            <w:tcW w:w="1592" w:type="dxa"/>
            <w:vAlign w:val="center"/>
          </w:tcPr>
          <w:p w14:paraId="26202A44">
            <w:pPr>
              <w:pStyle w:val="25"/>
              <w:bidi w:val="0"/>
              <w:jc w:val="center"/>
              <w:rPr>
                <w:highlight w:val="none"/>
              </w:rPr>
            </w:pPr>
            <w:r>
              <w:rPr>
                <w:highlight w:val="none"/>
              </w:rPr>
              <w:t>0.42</w:t>
            </w:r>
          </w:p>
        </w:tc>
        <w:tc>
          <w:tcPr>
            <w:tcW w:w="1656" w:type="dxa"/>
            <w:vAlign w:val="center"/>
          </w:tcPr>
          <w:p w14:paraId="26C24CF5">
            <w:pPr>
              <w:pStyle w:val="25"/>
              <w:bidi w:val="0"/>
              <w:jc w:val="center"/>
              <w:rPr>
                <w:highlight w:val="none"/>
              </w:rPr>
            </w:pPr>
            <w:r>
              <w:rPr>
                <w:highlight w:val="none"/>
              </w:rPr>
              <w:t>2.08</w:t>
            </w:r>
          </w:p>
        </w:tc>
      </w:tr>
      <w:tr w14:paraId="2DC8D7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2" w:hRule="atLeast"/>
        </w:trPr>
        <w:tc>
          <w:tcPr>
            <w:tcW w:w="1133" w:type="dxa"/>
            <w:vAlign w:val="center"/>
          </w:tcPr>
          <w:p w14:paraId="29065506">
            <w:pPr>
              <w:pStyle w:val="25"/>
              <w:bidi w:val="0"/>
              <w:jc w:val="center"/>
              <w:rPr>
                <w:highlight w:val="none"/>
              </w:rPr>
            </w:pPr>
            <w:r>
              <w:rPr>
                <w:highlight w:val="none"/>
              </w:rPr>
              <w:t>灌木层</w:t>
            </w:r>
          </w:p>
        </w:tc>
        <w:tc>
          <w:tcPr>
            <w:tcW w:w="2276" w:type="dxa"/>
            <w:vAlign w:val="center"/>
          </w:tcPr>
          <w:p w14:paraId="0E69552E">
            <w:pPr>
              <w:pStyle w:val="25"/>
              <w:bidi w:val="0"/>
              <w:jc w:val="center"/>
              <w:rPr>
                <w:highlight w:val="none"/>
              </w:rPr>
            </w:pPr>
            <w:r>
              <w:rPr>
                <w:highlight w:val="none"/>
              </w:rPr>
              <w:t>2.31</w:t>
            </w:r>
          </w:p>
        </w:tc>
        <w:tc>
          <w:tcPr>
            <w:tcW w:w="1643" w:type="dxa"/>
            <w:vAlign w:val="center"/>
          </w:tcPr>
          <w:p w14:paraId="061D7DBC">
            <w:pPr>
              <w:pStyle w:val="25"/>
              <w:bidi w:val="0"/>
              <w:jc w:val="center"/>
              <w:rPr>
                <w:highlight w:val="none"/>
              </w:rPr>
            </w:pPr>
            <w:r>
              <w:rPr>
                <w:highlight w:val="none"/>
              </w:rPr>
              <w:t>0.42</w:t>
            </w:r>
          </w:p>
        </w:tc>
        <w:tc>
          <w:tcPr>
            <w:tcW w:w="1592" w:type="dxa"/>
            <w:vAlign w:val="center"/>
          </w:tcPr>
          <w:p w14:paraId="09AD9126">
            <w:pPr>
              <w:pStyle w:val="25"/>
              <w:bidi w:val="0"/>
              <w:jc w:val="center"/>
              <w:rPr>
                <w:highlight w:val="none"/>
              </w:rPr>
            </w:pPr>
            <w:r>
              <w:rPr>
                <w:highlight w:val="none"/>
              </w:rPr>
              <w:t>0.55</w:t>
            </w:r>
          </w:p>
        </w:tc>
        <w:tc>
          <w:tcPr>
            <w:tcW w:w="1656" w:type="dxa"/>
            <w:vAlign w:val="center"/>
          </w:tcPr>
          <w:p w14:paraId="0088764A">
            <w:pPr>
              <w:pStyle w:val="25"/>
              <w:bidi w:val="0"/>
              <w:jc w:val="center"/>
              <w:rPr>
                <w:highlight w:val="none"/>
              </w:rPr>
            </w:pPr>
            <w:r>
              <w:rPr>
                <w:highlight w:val="none"/>
              </w:rPr>
              <w:t>2.16</w:t>
            </w:r>
          </w:p>
        </w:tc>
      </w:tr>
      <w:tr w14:paraId="7F3786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6" w:hRule="atLeast"/>
        </w:trPr>
        <w:tc>
          <w:tcPr>
            <w:tcW w:w="1133" w:type="dxa"/>
            <w:vAlign w:val="center"/>
          </w:tcPr>
          <w:p w14:paraId="5980C8CA">
            <w:pPr>
              <w:pStyle w:val="25"/>
              <w:bidi w:val="0"/>
              <w:jc w:val="center"/>
              <w:rPr>
                <w:highlight w:val="none"/>
              </w:rPr>
            </w:pPr>
            <w:r>
              <w:rPr>
                <w:highlight w:val="none"/>
              </w:rPr>
              <w:t>草本层</w:t>
            </w:r>
          </w:p>
        </w:tc>
        <w:tc>
          <w:tcPr>
            <w:tcW w:w="2276" w:type="dxa"/>
            <w:vAlign w:val="center"/>
          </w:tcPr>
          <w:p w14:paraId="1E53B107">
            <w:pPr>
              <w:pStyle w:val="25"/>
              <w:bidi w:val="0"/>
              <w:jc w:val="center"/>
              <w:rPr>
                <w:highlight w:val="none"/>
              </w:rPr>
            </w:pPr>
            <w:r>
              <w:rPr>
                <w:highlight w:val="none"/>
              </w:rPr>
              <w:t>1.96</w:t>
            </w:r>
          </w:p>
        </w:tc>
        <w:tc>
          <w:tcPr>
            <w:tcW w:w="1643" w:type="dxa"/>
            <w:vAlign w:val="center"/>
          </w:tcPr>
          <w:p w14:paraId="3F5FB4B5">
            <w:pPr>
              <w:pStyle w:val="25"/>
              <w:bidi w:val="0"/>
              <w:jc w:val="center"/>
              <w:rPr>
                <w:highlight w:val="none"/>
              </w:rPr>
            </w:pPr>
            <w:r>
              <w:rPr>
                <w:highlight w:val="none"/>
              </w:rPr>
              <w:t>0.25</w:t>
            </w:r>
          </w:p>
        </w:tc>
        <w:tc>
          <w:tcPr>
            <w:tcW w:w="1592" w:type="dxa"/>
            <w:vAlign w:val="center"/>
          </w:tcPr>
          <w:p w14:paraId="2309BE99">
            <w:pPr>
              <w:pStyle w:val="25"/>
              <w:bidi w:val="0"/>
              <w:jc w:val="center"/>
              <w:rPr>
                <w:highlight w:val="none"/>
              </w:rPr>
            </w:pPr>
            <w:r>
              <w:rPr>
                <w:highlight w:val="none"/>
              </w:rPr>
              <w:t>0.21</w:t>
            </w:r>
          </w:p>
        </w:tc>
        <w:tc>
          <w:tcPr>
            <w:tcW w:w="1656" w:type="dxa"/>
            <w:vAlign w:val="center"/>
          </w:tcPr>
          <w:p w14:paraId="7CEC2145">
            <w:pPr>
              <w:pStyle w:val="25"/>
              <w:bidi w:val="0"/>
              <w:jc w:val="center"/>
              <w:rPr>
                <w:highlight w:val="none"/>
              </w:rPr>
            </w:pPr>
            <w:r>
              <w:rPr>
                <w:highlight w:val="none"/>
              </w:rPr>
              <w:t>1.96</w:t>
            </w:r>
          </w:p>
        </w:tc>
      </w:tr>
    </w:tbl>
    <w:p w14:paraId="4B503B25">
      <w:pPr>
        <w:bidi w:val="0"/>
        <w:ind w:left="0" w:leftChars="0" w:firstLine="0" w:firstLineChars="0"/>
        <w:rPr>
          <w:rFonts w:hint="default"/>
          <w:highlight w:val="none"/>
          <w:lang w:val="en-US" w:eastAsia="zh-CN"/>
        </w:rPr>
      </w:pPr>
    </w:p>
    <w:p w14:paraId="00543814">
      <w:pPr>
        <w:bidi w:val="0"/>
        <w:rPr>
          <w:rFonts w:hint="default"/>
          <w:highlight w:val="none"/>
          <w:lang w:val="en-US" w:eastAsia="zh-CN"/>
        </w:rPr>
      </w:pPr>
      <w:r>
        <w:rPr>
          <w:rFonts w:hint="default"/>
          <w:highlight w:val="none"/>
          <w:lang w:val="en-US" w:eastAsia="zh-CN"/>
        </w:rPr>
        <w:t>根据上表可以看出，灌草不同层片的物种多样性指数差别较大，灌木层、 草本层各层的 Shannon−Wiener 指数（H）表现为乔木层＞灌本层＞草木层，Simpson 指数（D）表现为乔木层＞灌木层＞草本层，Pielou 均匀度指数（J） 表现为灌木层＞乔木层＞草本层，Margalef 丰富度指数（M）表现为灌本层＞ 乔木层＞草本层。由此可看出，群落物种多样性在很大程 度上取决于乔木层， 总体表现为乔木层＞灌木层＞草木层。</w:t>
      </w:r>
    </w:p>
    <w:p w14:paraId="0FF4A60C">
      <w:pPr>
        <w:bidi w:val="0"/>
        <w:rPr>
          <w:rFonts w:hint="default"/>
          <w:highlight w:val="none"/>
          <w:lang w:val="en-US" w:eastAsia="zh-CN"/>
        </w:rPr>
      </w:pPr>
      <w:r>
        <w:rPr>
          <w:rFonts w:hint="eastAsia"/>
          <w:highlight w:val="none"/>
          <w:lang w:val="en-US" w:eastAsia="zh-CN"/>
        </w:rPr>
        <w:t>5）评价区植被区划</w:t>
      </w:r>
    </w:p>
    <w:p w14:paraId="18165B91">
      <w:pPr>
        <w:bidi w:val="0"/>
        <w:rPr>
          <w:rFonts w:hint="default"/>
          <w:highlight w:val="none"/>
          <w:lang w:val="en-US" w:eastAsia="zh-CN"/>
        </w:rPr>
      </w:pPr>
      <w:r>
        <w:rPr>
          <w:rFonts w:hint="default"/>
          <w:highlight w:val="none"/>
          <w:lang w:val="en-US" w:eastAsia="zh-CN"/>
        </w:rPr>
        <w:t>四川省地处湿润的亚热带，大陆性季风气候显著，植物自然分区特征表现 为常绿阔叶林、次生、暖性针叶林和常绿阔叶灌丛等类型，以亚热带常绿阔叶 林表现特征最为明显。其中本项目项目区属川西高山峡谷山原针叶林地带-川西 山原针叶林、灌丛、草甸亚带-川西山原植被地区-大雪山西坡南段植被小区。</w:t>
      </w:r>
    </w:p>
    <w:p w14:paraId="7F79A698">
      <w:pPr>
        <w:bidi w:val="0"/>
        <w:rPr>
          <w:rFonts w:hint="default"/>
          <w:highlight w:val="none"/>
          <w:lang w:val="en-US" w:eastAsia="zh-CN"/>
        </w:rPr>
      </w:pPr>
      <w:r>
        <w:rPr>
          <w:rFonts w:hint="default"/>
          <w:highlight w:val="none"/>
          <w:lang w:val="en-US" w:eastAsia="zh-CN"/>
        </w:rPr>
        <w:t>参考《四川植被》，结合群落组成的建群种与优势种的外貌，以及群落的环境生态与地理分布特征等分析，将评价区域的自然植被可分为 4 个植被型组， 5个植被型，8 个植被亚型和 8 个群系，以及农业植被。评价区域的具体植被分类表见下表。</w:t>
      </w:r>
    </w:p>
    <w:p w14:paraId="44E07565">
      <w:pPr>
        <w:pStyle w:val="11"/>
        <w:bidi w:val="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26</w:t>
      </w:r>
      <w:r>
        <w:rPr>
          <w:highlight w:val="none"/>
        </w:rPr>
        <w:fldChar w:fldCharType="end"/>
      </w:r>
      <w:r>
        <w:rPr>
          <w:rFonts w:hint="default"/>
          <w:highlight w:val="none"/>
          <w:lang w:val="en-US" w:eastAsia="zh-CN"/>
        </w:rPr>
        <w:t>评价区自然植被分类表</w:t>
      </w:r>
    </w:p>
    <w:tbl>
      <w:tblPr>
        <w:tblStyle w:val="24"/>
        <w:tblW w:w="8300" w:type="dxa"/>
        <w:tblInd w:w="1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93"/>
        <w:gridCol w:w="1443"/>
        <w:gridCol w:w="1522"/>
        <w:gridCol w:w="2573"/>
        <w:gridCol w:w="1369"/>
      </w:tblGrid>
      <w:tr w14:paraId="266EA0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393" w:type="dxa"/>
            <w:vAlign w:val="top"/>
          </w:tcPr>
          <w:p w14:paraId="38816597">
            <w:pPr>
              <w:pStyle w:val="22"/>
              <w:bidi w:val="0"/>
              <w:rPr>
                <w:highlight w:val="none"/>
              </w:rPr>
            </w:pPr>
            <w:r>
              <w:rPr>
                <w:highlight w:val="none"/>
              </w:rPr>
              <w:t>植被型组</w:t>
            </w:r>
          </w:p>
        </w:tc>
        <w:tc>
          <w:tcPr>
            <w:tcW w:w="1443" w:type="dxa"/>
            <w:vAlign w:val="top"/>
          </w:tcPr>
          <w:p w14:paraId="7419CF39">
            <w:pPr>
              <w:pStyle w:val="22"/>
              <w:bidi w:val="0"/>
              <w:rPr>
                <w:highlight w:val="none"/>
              </w:rPr>
            </w:pPr>
            <w:r>
              <w:rPr>
                <w:highlight w:val="none"/>
              </w:rPr>
              <w:t>植被组</w:t>
            </w:r>
          </w:p>
        </w:tc>
        <w:tc>
          <w:tcPr>
            <w:tcW w:w="1522" w:type="dxa"/>
            <w:vAlign w:val="top"/>
          </w:tcPr>
          <w:p w14:paraId="3AA8A14A">
            <w:pPr>
              <w:pStyle w:val="22"/>
              <w:bidi w:val="0"/>
              <w:rPr>
                <w:highlight w:val="none"/>
              </w:rPr>
            </w:pPr>
            <w:r>
              <w:rPr>
                <w:highlight w:val="none"/>
              </w:rPr>
              <w:t>植被亚型</w:t>
            </w:r>
          </w:p>
        </w:tc>
        <w:tc>
          <w:tcPr>
            <w:tcW w:w="2573" w:type="dxa"/>
            <w:vAlign w:val="top"/>
          </w:tcPr>
          <w:p w14:paraId="287945AA">
            <w:pPr>
              <w:pStyle w:val="22"/>
              <w:bidi w:val="0"/>
              <w:rPr>
                <w:highlight w:val="none"/>
              </w:rPr>
            </w:pPr>
            <w:r>
              <w:rPr>
                <w:highlight w:val="none"/>
              </w:rPr>
              <w:t>群系</w:t>
            </w:r>
          </w:p>
        </w:tc>
        <w:tc>
          <w:tcPr>
            <w:tcW w:w="1369" w:type="dxa"/>
            <w:vAlign w:val="top"/>
          </w:tcPr>
          <w:p w14:paraId="27A55C81">
            <w:pPr>
              <w:pStyle w:val="22"/>
              <w:bidi w:val="0"/>
              <w:rPr>
                <w:highlight w:val="none"/>
              </w:rPr>
            </w:pPr>
            <w:r>
              <w:rPr>
                <w:highlight w:val="none"/>
              </w:rPr>
              <w:t>分布区域</w:t>
            </w:r>
          </w:p>
        </w:tc>
      </w:tr>
      <w:tr w14:paraId="1ECBE0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4" w:hRule="atLeast"/>
        </w:trPr>
        <w:tc>
          <w:tcPr>
            <w:tcW w:w="1393" w:type="dxa"/>
            <w:vMerge w:val="restart"/>
            <w:vAlign w:val="top"/>
          </w:tcPr>
          <w:p w14:paraId="1CBA42E5">
            <w:pPr>
              <w:pStyle w:val="22"/>
              <w:bidi w:val="0"/>
              <w:rPr>
                <w:highlight w:val="none"/>
              </w:rPr>
            </w:pPr>
            <w:r>
              <w:rPr>
                <w:highlight w:val="none"/>
              </w:rPr>
              <w:t>Ⅰ.乔木层</w:t>
            </w:r>
          </w:p>
        </w:tc>
        <w:tc>
          <w:tcPr>
            <w:tcW w:w="1443" w:type="dxa"/>
            <w:vAlign w:val="top"/>
          </w:tcPr>
          <w:p w14:paraId="26CB893F">
            <w:pPr>
              <w:pStyle w:val="22"/>
              <w:bidi w:val="0"/>
              <w:rPr>
                <w:highlight w:val="none"/>
              </w:rPr>
            </w:pPr>
            <w:r>
              <w:rPr>
                <w:highlight w:val="none"/>
              </w:rPr>
              <w:t>一、针叶林</w:t>
            </w:r>
          </w:p>
        </w:tc>
        <w:tc>
          <w:tcPr>
            <w:tcW w:w="1522" w:type="dxa"/>
            <w:vAlign w:val="top"/>
          </w:tcPr>
          <w:p w14:paraId="30460495">
            <w:pPr>
              <w:pStyle w:val="22"/>
              <w:bidi w:val="0"/>
              <w:rPr>
                <w:highlight w:val="none"/>
              </w:rPr>
            </w:pPr>
            <w:r>
              <w:rPr>
                <w:highlight w:val="none"/>
              </w:rPr>
              <w:t>（一）冷杉林丛</w:t>
            </w:r>
          </w:p>
        </w:tc>
        <w:tc>
          <w:tcPr>
            <w:tcW w:w="2573" w:type="dxa"/>
            <w:vAlign w:val="top"/>
          </w:tcPr>
          <w:p w14:paraId="019F0F6C">
            <w:pPr>
              <w:pStyle w:val="22"/>
              <w:bidi w:val="0"/>
              <w:rPr>
                <w:highlight w:val="none"/>
              </w:rPr>
            </w:pPr>
            <w:r>
              <w:rPr>
                <w:highlight w:val="none"/>
              </w:rPr>
              <w:t>麟皮冷杉（Abies</w:t>
            </w:r>
          </w:p>
          <w:p w14:paraId="5E873598">
            <w:pPr>
              <w:pStyle w:val="22"/>
              <w:bidi w:val="0"/>
              <w:rPr>
                <w:highlight w:val="none"/>
              </w:rPr>
            </w:pPr>
            <w:r>
              <w:rPr>
                <w:highlight w:val="none"/>
              </w:rPr>
              <w:t>squamata Mast.）、丽江云杉（Picealikiangensis(Franch.)</w:t>
            </w:r>
          </w:p>
          <w:p w14:paraId="657D42BD">
            <w:pPr>
              <w:pStyle w:val="22"/>
              <w:bidi w:val="0"/>
              <w:rPr>
                <w:rFonts w:hint="eastAsia"/>
                <w:highlight w:val="none"/>
              </w:rPr>
            </w:pPr>
            <w:r>
              <w:rPr>
                <w:highlight w:val="none"/>
              </w:rPr>
              <w:t>Pritz.）、川西云杉</w:t>
            </w:r>
            <w:r>
              <w:rPr>
                <w:rFonts w:hint="eastAsia"/>
                <w:highlight w:val="none"/>
              </w:rPr>
              <w:t>（Picea</w:t>
            </w:r>
          </w:p>
          <w:p w14:paraId="668EA1C1">
            <w:pPr>
              <w:pStyle w:val="22"/>
              <w:bidi w:val="0"/>
              <w:rPr>
                <w:highlight w:val="none"/>
              </w:rPr>
            </w:pPr>
            <w:r>
              <w:rPr>
                <w:rFonts w:hint="eastAsia"/>
                <w:highlight w:val="none"/>
              </w:rPr>
              <w:t>likiangensis(Franch) Pritz var. balfouriana(Rehd et Wils) HillierexSlavin）、长苞冷杉（Abies georgeiOrr）</w:t>
            </w:r>
          </w:p>
        </w:tc>
        <w:tc>
          <w:tcPr>
            <w:tcW w:w="1369" w:type="dxa"/>
            <w:vAlign w:val="top"/>
          </w:tcPr>
          <w:p w14:paraId="16D218CC">
            <w:pPr>
              <w:pStyle w:val="22"/>
              <w:bidi w:val="0"/>
              <w:rPr>
                <w:highlight w:val="none"/>
              </w:rPr>
            </w:pPr>
            <w:r>
              <w:rPr>
                <w:highlight w:val="none"/>
              </w:rPr>
              <w:t>评价区集群分布</w:t>
            </w:r>
          </w:p>
        </w:tc>
      </w:tr>
      <w:tr w14:paraId="46F29C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4" w:hRule="atLeast"/>
        </w:trPr>
        <w:tc>
          <w:tcPr>
            <w:tcW w:w="1393" w:type="dxa"/>
            <w:vMerge w:val="continue"/>
            <w:vAlign w:val="top"/>
          </w:tcPr>
          <w:p w14:paraId="72F72944">
            <w:pPr>
              <w:pStyle w:val="22"/>
              <w:bidi w:val="0"/>
              <w:rPr>
                <w:highlight w:val="none"/>
              </w:rPr>
            </w:pPr>
          </w:p>
        </w:tc>
        <w:tc>
          <w:tcPr>
            <w:tcW w:w="1443" w:type="dxa"/>
            <w:vAlign w:val="top"/>
          </w:tcPr>
          <w:p w14:paraId="696DD208">
            <w:pPr>
              <w:pStyle w:val="22"/>
              <w:bidi w:val="0"/>
              <w:rPr>
                <w:highlight w:val="none"/>
              </w:rPr>
            </w:pPr>
          </w:p>
        </w:tc>
        <w:tc>
          <w:tcPr>
            <w:tcW w:w="1522" w:type="dxa"/>
            <w:vAlign w:val="top"/>
          </w:tcPr>
          <w:p w14:paraId="6D3335C4">
            <w:pPr>
              <w:pStyle w:val="22"/>
              <w:bidi w:val="0"/>
              <w:rPr>
                <w:highlight w:val="none"/>
              </w:rPr>
            </w:pPr>
            <w:r>
              <w:rPr>
                <w:highlight w:val="none"/>
              </w:rPr>
              <w:t>（二）松林</w:t>
            </w:r>
          </w:p>
          <w:p w14:paraId="78BD6B1A">
            <w:pPr>
              <w:pStyle w:val="22"/>
              <w:bidi w:val="0"/>
              <w:rPr>
                <w:highlight w:val="none"/>
              </w:rPr>
            </w:pPr>
            <w:r>
              <w:rPr>
                <w:highlight w:val="none"/>
              </w:rPr>
              <w:t>丛</w:t>
            </w:r>
          </w:p>
        </w:tc>
        <w:tc>
          <w:tcPr>
            <w:tcW w:w="2573" w:type="dxa"/>
            <w:vAlign w:val="top"/>
          </w:tcPr>
          <w:p w14:paraId="42B34FBC">
            <w:pPr>
              <w:pStyle w:val="22"/>
              <w:bidi w:val="0"/>
              <w:rPr>
                <w:highlight w:val="none"/>
              </w:rPr>
            </w:pPr>
            <w:r>
              <w:rPr>
                <w:highlight w:val="none"/>
              </w:rPr>
              <w:t>高山松（Pinus densata</w:t>
            </w:r>
          </w:p>
          <w:p w14:paraId="3300040E">
            <w:pPr>
              <w:pStyle w:val="22"/>
              <w:bidi w:val="0"/>
              <w:rPr>
                <w:highlight w:val="none"/>
              </w:rPr>
            </w:pPr>
            <w:r>
              <w:rPr>
                <w:highlight w:val="none"/>
              </w:rPr>
              <w:t>Mast）、川滇高山栎</w:t>
            </w:r>
          </w:p>
          <w:p w14:paraId="37855FB5">
            <w:pPr>
              <w:pStyle w:val="22"/>
              <w:bidi w:val="0"/>
              <w:rPr>
                <w:highlight w:val="none"/>
              </w:rPr>
            </w:pPr>
            <w:r>
              <w:rPr>
                <w:highlight w:val="none"/>
              </w:rPr>
              <w:t>（Quercus aquifolioides</w:t>
            </w:r>
          </w:p>
          <w:p w14:paraId="56EF0D59">
            <w:pPr>
              <w:pStyle w:val="22"/>
              <w:bidi w:val="0"/>
              <w:rPr>
                <w:rFonts w:hint="eastAsia"/>
                <w:highlight w:val="none"/>
              </w:rPr>
            </w:pPr>
            <w:r>
              <w:rPr>
                <w:highlight w:val="none"/>
              </w:rPr>
              <w:t>Rehder）</w:t>
            </w:r>
          </w:p>
        </w:tc>
        <w:tc>
          <w:tcPr>
            <w:tcW w:w="1369" w:type="dxa"/>
            <w:vAlign w:val="top"/>
          </w:tcPr>
          <w:p w14:paraId="4FBACE89">
            <w:pPr>
              <w:pStyle w:val="22"/>
              <w:bidi w:val="0"/>
              <w:rPr>
                <w:highlight w:val="none"/>
              </w:rPr>
            </w:pPr>
            <w:r>
              <w:rPr>
                <w:highlight w:val="none"/>
              </w:rPr>
              <w:t>评价区集群分布</w:t>
            </w:r>
          </w:p>
        </w:tc>
      </w:tr>
      <w:tr w14:paraId="29C3C3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4" w:hRule="atLeast"/>
        </w:trPr>
        <w:tc>
          <w:tcPr>
            <w:tcW w:w="1393" w:type="dxa"/>
            <w:vMerge w:val="continue"/>
            <w:vAlign w:val="top"/>
          </w:tcPr>
          <w:p w14:paraId="1C4AB77B">
            <w:pPr>
              <w:pStyle w:val="22"/>
              <w:bidi w:val="0"/>
              <w:rPr>
                <w:highlight w:val="none"/>
              </w:rPr>
            </w:pPr>
          </w:p>
        </w:tc>
        <w:tc>
          <w:tcPr>
            <w:tcW w:w="1443" w:type="dxa"/>
            <w:vMerge w:val="restart"/>
            <w:vAlign w:val="top"/>
          </w:tcPr>
          <w:p w14:paraId="74B201F5">
            <w:pPr>
              <w:pStyle w:val="22"/>
              <w:bidi w:val="0"/>
              <w:rPr>
                <w:highlight w:val="none"/>
              </w:rPr>
            </w:pPr>
            <w:r>
              <w:rPr>
                <w:highlight w:val="none"/>
              </w:rPr>
              <w:t>二、常绿阔</w:t>
            </w:r>
          </w:p>
          <w:p w14:paraId="6F9CA488">
            <w:pPr>
              <w:pStyle w:val="22"/>
              <w:bidi w:val="0"/>
              <w:rPr>
                <w:highlight w:val="none"/>
              </w:rPr>
            </w:pPr>
            <w:r>
              <w:rPr>
                <w:highlight w:val="none"/>
              </w:rPr>
              <w:t>叶林</w:t>
            </w:r>
          </w:p>
        </w:tc>
        <w:tc>
          <w:tcPr>
            <w:tcW w:w="1522" w:type="dxa"/>
            <w:vAlign w:val="top"/>
          </w:tcPr>
          <w:p w14:paraId="7B6F380B">
            <w:pPr>
              <w:pStyle w:val="22"/>
              <w:bidi w:val="0"/>
              <w:rPr>
                <w:highlight w:val="none"/>
              </w:rPr>
            </w:pPr>
            <w:r>
              <w:rPr>
                <w:highlight w:val="none"/>
              </w:rPr>
              <w:t>（三）川滇</w:t>
            </w:r>
          </w:p>
          <w:p w14:paraId="6304FFEF">
            <w:pPr>
              <w:pStyle w:val="22"/>
              <w:bidi w:val="0"/>
              <w:rPr>
                <w:highlight w:val="none"/>
              </w:rPr>
            </w:pPr>
            <w:r>
              <w:rPr>
                <w:highlight w:val="none"/>
              </w:rPr>
              <w:t>高山栎灌 丛</w:t>
            </w:r>
          </w:p>
        </w:tc>
        <w:tc>
          <w:tcPr>
            <w:tcW w:w="2573" w:type="dxa"/>
            <w:vAlign w:val="top"/>
          </w:tcPr>
          <w:p w14:paraId="2B262F41">
            <w:pPr>
              <w:pStyle w:val="22"/>
              <w:bidi w:val="0"/>
              <w:rPr>
                <w:highlight w:val="none"/>
              </w:rPr>
            </w:pPr>
            <w:r>
              <w:rPr>
                <w:highlight w:val="none"/>
              </w:rPr>
              <w:t>川滇高山栎（Quercus</w:t>
            </w:r>
          </w:p>
          <w:p w14:paraId="49477B16">
            <w:pPr>
              <w:pStyle w:val="22"/>
              <w:bidi w:val="0"/>
              <w:rPr>
                <w:highlight w:val="none"/>
              </w:rPr>
            </w:pPr>
            <w:r>
              <w:rPr>
                <w:highlight w:val="none"/>
              </w:rPr>
              <w:t>aquifolioides Rehder）、长穗高山栎（Quercuslongispica）</w:t>
            </w:r>
          </w:p>
        </w:tc>
        <w:tc>
          <w:tcPr>
            <w:tcW w:w="1369" w:type="dxa"/>
            <w:vAlign w:val="top"/>
          </w:tcPr>
          <w:p w14:paraId="1056F907">
            <w:pPr>
              <w:pStyle w:val="22"/>
              <w:bidi w:val="0"/>
              <w:rPr>
                <w:highlight w:val="none"/>
              </w:rPr>
            </w:pPr>
            <w:r>
              <w:rPr>
                <w:highlight w:val="none"/>
              </w:rPr>
              <w:t>评价区集群分布</w:t>
            </w:r>
          </w:p>
        </w:tc>
      </w:tr>
      <w:tr w14:paraId="5D05D2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4" w:hRule="atLeast"/>
        </w:trPr>
        <w:tc>
          <w:tcPr>
            <w:tcW w:w="1393" w:type="dxa"/>
            <w:vMerge w:val="continue"/>
            <w:vAlign w:val="top"/>
          </w:tcPr>
          <w:p w14:paraId="6666AD96">
            <w:pPr>
              <w:pStyle w:val="22"/>
              <w:bidi w:val="0"/>
              <w:rPr>
                <w:highlight w:val="none"/>
              </w:rPr>
            </w:pPr>
          </w:p>
        </w:tc>
        <w:tc>
          <w:tcPr>
            <w:tcW w:w="1443" w:type="dxa"/>
            <w:vMerge w:val="continue"/>
            <w:vAlign w:val="top"/>
          </w:tcPr>
          <w:p w14:paraId="5AD42A3A">
            <w:pPr>
              <w:pStyle w:val="22"/>
              <w:bidi w:val="0"/>
              <w:rPr>
                <w:highlight w:val="none"/>
              </w:rPr>
            </w:pPr>
          </w:p>
        </w:tc>
        <w:tc>
          <w:tcPr>
            <w:tcW w:w="1522" w:type="dxa"/>
            <w:vAlign w:val="top"/>
          </w:tcPr>
          <w:p w14:paraId="79796298">
            <w:pPr>
              <w:pStyle w:val="22"/>
              <w:bidi w:val="0"/>
              <w:rPr>
                <w:highlight w:val="none"/>
              </w:rPr>
            </w:pPr>
            <w:r>
              <w:rPr>
                <w:highlight w:val="none"/>
              </w:rPr>
              <w:t>（四）长穗</w:t>
            </w:r>
          </w:p>
          <w:p w14:paraId="01B33912">
            <w:pPr>
              <w:pStyle w:val="22"/>
              <w:bidi w:val="0"/>
              <w:rPr>
                <w:highlight w:val="none"/>
              </w:rPr>
            </w:pPr>
            <w:r>
              <w:rPr>
                <w:highlight w:val="none"/>
              </w:rPr>
              <w:t>高山栎灌 丛</w:t>
            </w:r>
          </w:p>
        </w:tc>
        <w:tc>
          <w:tcPr>
            <w:tcW w:w="2573" w:type="dxa"/>
            <w:vAlign w:val="top"/>
          </w:tcPr>
          <w:p w14:paraId="339A0CC9">
            <w:pPr>
              <w:pStyle w:val="22"/>
              <w:bidi w:val="0"/>
              <w:rPr>
                <w:highlight w:val="none"/>
              </w:rPr>
            </w:pPr>
            <w:r>
              <w:rPr>
                <w:highlight w:val="none"/>
              </w:rPr>
              <w:t>长穗高山栎（Quercuslongispica）、白刺花（Sophora davidii Kom）</w:t>
            </w:r>
          </w:p>
        </w:tc>
        <w:tc>
          <w:tcPr>
            <w:tcW w:w="1369" w:type="dxa"/>
            <w:vAlign w:val="top"/>
          </w:tcPr>
          <w:p w14:paraId="3C95897A">
            <w:pPr>
              <w:pStyle w:val="22"/>
              <w:bidi w:val="0"/>
              <w:rPr>
                <w:highlight w:val="none"/>
              </w:rPr>
            </w:pPr>
            <w:r>
              <w:rPr>
                <w:highlight w:val="none"/>
              </w:rPr>
              <w:t>评价区较集群分布</w:t>
            </w:r>
          </w:p>
        </w:tc>
      </w:tr>
      <w:tr w14:paraId="0763E5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9" w:hRule="atLeast"/>
        </w:trPr>
        <w:tc>
          <w:tcPr>
            <w:tcW w:w="1393" w:type="dxa"/>
            <w:vMerge w:val="restart"/>
            <w:vAlign w:val="top"/>
          </w:tcPr>
          <w:p w14:paraId="3B76233F">
            <w:pPr>
              <w:pStyle w:val="22"/>
              <w:bidi w:val="0"/>
              <w:rPr>
                <w:highlight w:val="none"/>
              </w:rPr>
            </w:pPr>
            <w:r>
              <w:rPr>
                <w:highlight w:val="none"/>
              </w:rPr>
              <w:t>Ⅱ.灌丛</w:t>
            </w:r>
          </w:p>
        </w:tc>
        <w:tc>
          <w:tcPr>
            <w:tcW w:w="1443" w:type="dxa"/>
            <w:vMerge w:val="restart"/>
            <w:vAlign w:val="top"/>
          </w:tcPr>
          <w:p w14:paraId="795B5801">
            <w:pPr>
              <w:pStyle w:val="22"/>
              <w:bidi w:val="0"/>
              <w:rPr>
                <w:highlight w:val="none"/>
              </w:rPr>
            </w:pPr>
            <w:r>
              <w:rPr>
                <w:highlight w:val="none"/>
              </w:rPr>
              <w:t>三、温带落</w:t>
            </w:r>
          </w:p>
          <w:p w14:paraId="3507A068">
            <w:pPr>
              <w:pStyle w:val="22"/>
              <w:bidi w:val="0"/>
              <w:rPr>
                <w:highlight w:val="none"/>
              </w:rPr>
            </w:pPr>
            <w:r>
              <w:rPr>
                <w:highlight w:val="none"/>
              </w:rPr>
              <w:t>叶 阔叶灌</w:t>
            </w:r>
          </w:p>
          <w:p w14:paraId="0DB61F38">
            <w:pPr>
              <w:pStyle w:val="22"/>
              <w:bidi w:val="0"/>
              <w:rPr>
                <w:highlight w:val="none"/>
              </w:rPr>
            </w:pPr>
            <w:r>
              <w:rPr>
                <w:highlight w:val="none"/>
              </w:rPr>
              <w:t>丛</w:t>
            </w:r>
          </w:p>
        </w:tc>
        <w:tc>
          <w:tcPr>
            <w:tcW w:w="1522" w:type="dxa"/>
            <w:vAlign w:val="top"/>
          </w:tcPr>
          <w:p w14:paraId="45CF2A11">
            <w:pPr>
              <w:pStyle w:val="22"/>
              <w:bidi w:val="0"/>
              <w:rPr>
                <w:highlight w:val="none"/>
              </w:rPr>
            </w:pPr>
            <w:r>
              <w:rPr>
                <w:highlight w:val="none"/>
              </w:rPr>
              <w:t>（五）高山</w:t>
            </w:r>
          </w:p>
          <w:p w14:paraId="58915238">
            <w:pPr>
              <w:pStyle w:val="22"/>
              <w:bidi w:val="0"/>
              <w:rPr>
                <w:highlight w:val="none"/>
              </w:rPr>
            </w:pPr>
            <w:r>
              <w:rPr>
                <w:highlight w:val="none"/>
              </w:rPr>
              <w:t>杜鹃灌丛</w:t>
            </w:r>
          </w:p>
        </w:tc>
        <w:tc>
          <w:tcPr>
            <w:tcW w:w="2573" w:type="dxa"/>
            <w:vAlign w:val="top"/>
          </w:tcPr>
          <w:p w14:paraId="5F1EEC5F">
            <w:pPr>
              <w:pStyle w:val="22"/>
              <w:bidi w:val="0"/>
              <w:rPr>
                <w:highlight w:val="none"/>
              </w:rPr>
            </w:pPr>
            <w:r>
              <w:rPr>
                <w:highlight w:val="none"/>
              </w:rPr>
              <w:t>1.高山杜鹃灌丛（Form. Rhododendronlapponicum）</w:t>
            </w:r>
          </w:p>
        </w:tc>
        <w:tc>
          <w:tcPr>
            <w:tcW w:w="1369" w:type="dxa"/>
            <w:vAlign w:val="top"/>
          </w:tcPr>
          <w:p w14:paraId="70DC2AD8">
            <w:pPr>
              <w:pStyle w:val="22"/>
              <w:bidi w:val="0"/>
              <w:rPr>
                <w:highlight w:val="none"/>
              </w:rPr>
            </w:pPr>
            <w:r>
              <w:rPr>
                <w:highlight w:val="none"/>
              </w:rPr>
              <w:t>评价区集群分布</w:t>
            </w:r>
          </w:p>
        </w:tc>
      </w:tr>
      <w:tr w14:paraId="02571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6" w:hRule="atLeast"/>
        </w:trPr>
        <w:tc>
          <w:tcPr>
            <w:tcW w:w="1393" w:type="dxa"/>
            <w:vMerge w:val="continue"/>
            <w:vAlign w:val="top"/>
          </w:tcPr>
          <w:p w14:paraId="36E1369C">
            <w:pPr>
              <w:pStyle w:val="22"/>
              <w:bidi w:val="0"/>
              <w:rPr>
                <w:highlight w:val="none"/>
              </w:rPr>
            </w:pPr>
          </w:p>
        </w:tc>
        <w:tc>
          <w:tcPr>
            <w:tcW w:w="1443" w:type="dxa"/>
            <w:vMerge w:val="continue"/>
            <w:vAlign w:val="top"/>
          </w:tcPr>
          <w:p w14:paraId="61CAA0B2">
            <w:pPr>
              <w:pStyle w:val="22"/>
              <w:bidi w:val="0"/>
              <w:rPr>
                <w:highlight w:val="none"/>
              </w:rPr>
            </w:pPr>
          </w:p>
        </w:tc>
        <w:tc>
          <w:tcPr>
            <w:tcW w:w="1522" w:type="dxa"/>
            <w:vAlign w:val="top"/>
          </w:tcPr>
          <w:p w14:paraId="45772B47">
            <w:pPr>
              <w:pStyle w:val="22"/>
              <w:bidi w:val="0"/>
              <w:rPr>
                <w:highlight w:val="none"/>
              </w:rPr>
            </w:pPr>
            <w:r>
              <w:rPr>
                <w:highlight w:val="none"/>
              </w:rPr>
              <w:t>（六）巴郎 柳灌丛</w:t>
            </w:r>
          </w:p>
        </w:tc>
        <w:tc>
          <w:tcPr>
            <w:tcW w:w="2573" w:type="dxa"/>
            <w:vAlign w:val="top"/>
          </w:tcPr>
          <w:p w14:paraId="37297718">
            <w:pPr>
              <w:pStyle w:val="22"/>
              <w:bidi w:val="0"/>
              <w:rPr>
                <w:highlight w:val="none"/>
              </w:rPr>
            </w:pPr>
            <w:r>
              <w:rPr>
                <w:highlight w:val="none"/>
              </w:rPr>
              <w:t>2. 巴郎柳灌丛</w:t>
            </w:r>
          </w:p>
          <w:p w14:paraId="5F9312D8">
            <w:pPr>
              <w:pStyle w:val="22"/>
              <w:bidi w:val="0"/>
              <w:rPr>
                <w:highlight w:val="none"/>
              </w:rPr>
            </w:pPr>
            <w:r>
              <w:rPr>
                <w:highlight w:val="none"/>
              </w:rPr>
              <w:t>（Form.Salixsphaeronymphe Gorz）</w:t>
            </w:r>
          </w:p>
        </w:tc>
        <w:tc>
          <w:tcPr>
            <w:tcW w:w="1369" w:type="dxa"/>
            <w:vAlign w:val="top"/>
          </w:tcPr>
          <w:p w14:paraId="67E7C37B">
            <w:pPr>
              <w:pStyle w:val="22"/>
              <w:bidi w:val="0"/>
              <w:rPr>
                <w:highlight w:val="none"/>
              </w:rPr>
            </w:pPr>
            <w:r>
              <w:rPr>
                <w:highlight w:val="none"/>
              </w:rPr>
              <w:t>评价区散生分布</w:t>
            </w:r>
          </w:p>
        </w:tc>
      </w:tr>
      <w:tr w14:paraId="69F1C0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4" w:hRule="atLeast"/>
        </w:trPr>
        <w:tc>
          <w:tcPr>
            <w:tcW w:w="1393" w:type="dxa"/>
            <w:vAlign w:val="top"/>
          </w:tcPr>
          <w:p w14:paraId="082A5DC3">
            <w:pPr>
              <w:pStyle w:val="22"/>
              <w:bidi w:val="0"/>
              <w:rPr>
                <w:highlight w:val="none"/>
              </w:rPr>
            </w:pPr>
            <w:r>
              <w:rPr>
                <w:highlight w:val="none"/>
              </w:rPr>
              <w:t>Ⅲ.草丛</w:t>
            </w:r>
          </w:p>
        </w:tc>
        <w:tc>
          <w:tcPr>
            <w:tcW w:w="1443" w:type="dxa"/>
            <w:vAlign w:val="top"/>
          </w:tcPr>
          <w:p w14:paraId="41D5E41F">
            <w:pPr>
              <w:pStyle w:val="22"/>
              <w:bidi w:val="0"/>
              <w:rPr>
                <w:highlight w:val="none"/>
              </w:rPr>
            </w:pPr>
            <w:r>
              <w:rPr>
                <w:highlight w:val="none"/>
              </w:rPr>
              <w:t>四、温带落</w:t>
            </w:r>
          </w:p>
          <w:p w14:paraId="114F9722">
            <w:pPr>
              <w:pStyle w:val="22"/>
              <w:bidi w:val="0"/>
              <w:rPr>
                <w:highlight w:val="none"/>
              </w:rPr>
            </w:pPr>
            <w:r>
              <w:rPr>
                <w:highlight w:val="none"/>
              </w:rPr>
              <w:t>叶阔叶灌</w:t>
            </w:r>
          </w:p>
          <w:p w14:paraId="2E2BB16C">
            <w:pPr>
              <w:pStyle w:val="22"/>
              <w:bidi w:val="0"/>
              <w:rPr>
                <w:highlight w:val="none"/>
              </w:rPr>
            </w:pPr>
            <w:r>
              <w:rPr>
                <w:highlight w:val="none"/>
              </w:rPr>
              <w:t>丛</w:t>
            </w:r>
          </w:p>
        </w:tc>
        <w:tc>
          <w:tcPr>
            <w:tcW w:w="1522" w:type="dxa"/>
            <w:vAlign w:val="top"/>
          </w:tcPr>
          <w:p w14:paraId="293D6FAA">
            <w:pPr>
              <w:pStyle w:val="22"/>
              <w:bidi w:val="0"/>
              <w:rPr>
                <w:highlight w:val="none"/>
              </w:rPr>
            </w:pPr>
            <w:r>
              <w:rPr>
                <w:highlight w:val="none"/>
              </w:rPr>
              <w:t>（七）火绒 草草丛</w:t>
            </w:r>
          </w:p>
        </w:tc>
        <w:tc>
          <w:tcPr>
            <w:tcW w:w="2573" w:type="dxa"/>
            <w:vAlign w:val="top"/>
          </w:tcPr>
          <w:p w14:paraId="429BD35B">
            <w:pPr>
              <w:pStyle w:val="22"/>
              <w:bidi w:val="0"/>
              <w:rPr>
                <w:highlight w:val="none"/>
              </w:rPr>
            </w:pPr>
            <w:r>
              <w:rPr>
                <w:highlight w:val="none"/>
              </w:rPr>
              <w:t>3.火绒草草丛</w:t>
            </w:r>
          </w:p>
          <w:p w14:paraId="0B3A765B">
            <w:pPr>
              <w:pStyle w:val="22"/>
              <w:bidi w:val="0"/>
              <w:rPr>
                <w:highlight w:val="none"/>
              </w:rPr>
            </w:pPr>
            <w:r>
              <w:rPr>
                <w:highlight w:val="none"/>
              </w:rPr>
              <w:t>（Form.Leontopodium</w:t>
            </w:r>
            <w:r>
              <w:rPr>
                <w:rFonts w:hint="eastAsia"/>
                <w:highlight w:val="none"/>
                <w:lang w:val="en-US" w:eastAsia="zh-CN"/>
              </w:rPr>
              <w:t xml:space="preserve"> </w:t>
            </w:r>
            <w:r>
              <w:rPr>
                <w:highlight w:val="none"/>
              </w:rPr>
              <w:t>leontopodioides）</w:t>
            </w:r>
          </w:p>
        </w:tc>
        <w:tc>
          <w:tcPr>
            <w:tcW w:w="1369" w:type="dxa"/>
            <w:vAlign w:val="top"/>
          </w:tcPr>
          <w:p w14:paraId="4B14A724">
            <w:pPr>
              <w:pStyle w:val="22"/>
              <w:bidi w:val="0"/>
              <w:rPr>
                <w:highlight w:val="none"/>
              </w:rPr>
            </w:pPr>
            <w:r>
              <w:rPr>
                <w:highlight w:val="none"/>
              </w:rPr>
              <w:t>评价区内</w:t>
            </w:r>
          </w:p>
          <w:p w14:paraId="797994AE">
            <w:pPr>
              <w:pStyle w:val="22"/>
              <w:bidi w:val="0"/>
              <w:rPr>
                <w:highlight w:val="none"/>
              </w:rPr>
            </w:pPr>
            <w:r>
              <w:rPr>
                <w:highlight w:val="none"/>
              </w:rPr>
              <w:t>散生分布</w:t>
            </w:r>
          </w:p>
        </w:tc>
      </w:tr>
      <w:tr w14:paraId="47F4AA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1393" w:type="dxa"/>
            <w:vAlign w:val="top"/>
          </w:tcPr>
          <w:p w14:paraId="0397C4B2">
            <w:pPr>
              <w:pStyle w:val="22"/>
              <w:bidi w:val="0"/>
              <w:rPr>
                <w:highlight w:val="none"/>
              </w:rPr>
            </w:pPr>
            <w:r>
              <w:rPr>
                <w:highlight w:val="none"/>
              </w:rPr>
              <w:t>IV.草甸</w:t>
            </w:r>
          </w:p>
        </w:tc>
        <w:tc>
          <w:tcPr>
            <w:tcW w:w="1443" w:type="dxa"/>
            <w:vAlign w:val="top"/>
          </w:tcPr>
          <w:p w14:paraId="4F21372D">
            <w:pPr>
              <w:pStyle w:val="22"/>
              <w:bidi w:val="0"/>
              <w:rPr>
                <w:highlight w:val="none"/>
              </w:rPr>
            </w:pPr>
            <w:r>
              <w:rPr>
                <w:highlight w:val="none"/>
              </w:rPr>
              <w:t>五、温带禾草、杂草草甸</w:t>
            </w:r>
          </w:p>
        </w:tc>
        <w:tc>
          <w:tcPr>
            <w:tcW w:w="1522" w:type="dxa"/>
            <w:vAlign w:val="top"/>
          </w:tcPr>
          <w:p w14:paraId="4D6EF268">
            <w:pPr>
              <w:pStyle w:val="22"/>
              <w:bidi w:val="0"/>
              <w:rPr>
                <w:highlight w:val="none"/>
              </w:rPr>
            </w:pPr>
            <w:r>
              <w:rPr>
                <w:highlight w:val="none"/>
              </w:rPr>
              <w:t>（八）委陵</w:t>
            </w:r>
          </w:p>
          <w:p w14:paraId="16CF3155">
            <w:pPr>
              <w:pStyle w:val="22"/>
              <w:bidi w:val="0"/>
              <w:rPr>
                <w:highlight w:val="none"/>
              </w:rPr>
            </w:pPr>
            <w:r>
              <w:rPr>
                <w:highlight w:val="none"/>
              </w:rPr>
              <w:t>菜高寒草甸</w:t>
            </w:r>
          </w:p>
        </w:tc>
        <w:tc>
          <w:tcPr>
            <w:tcW w:w="2573" w:type="dxa"/>
            <w:vAlign w:val="top"/>
          </w:tcPr>
          <w:p w14:paraId="17ECCA70">
            <w:pPr>
              <w:pStyle w:val="22"/>
              <w:bidi w:val="0"/>
              <w:rPr>
                <w:highlight w:val="none"/>
              </w:rPr>
            </w:pPr>
            <w:r>
              <w:rPr>
                <w:highlight w:val="none"/>
              </w:rPr>
              <w:t>4.委陵菜草甸</w:t>
            </w:r>
          </w:p>
          <w:p w14:paraId="0CE4A943">
            <w:pPr>
              <w:pStyle w:val="22"/>
              <w:bidi w:val="0"/>
              <w:rPr>
                <w:highlight w:val="none"/>
              </w:rPr>
            </w:pPr>
            <w:r>
              <w:rPr>
                <w:highlight w:val="none"/>
              </w:rPr>
              <w:t>（Form.Potentilla</w:t>
            </w:r>
          </w:p>
          <w:p w14:paraId="23B38BF3">
            <w:pPr>
              <w:pStyle w:val="22"/>
              <w:bidi w:val="0"/>
              <w:rPr>
                <w:highlight w:val="none"/>
              </w:rPr>
            </w:pPr>
            <w:r>
              <w:rPr>
                <w:highlight w:val="none"/>
              </w:rPr>
              <w:t>bifurca）</w:t>
            </w:r>
          </w:p>
        </w:tc>
        <w:tc>
          <w:tcPr>
            <w:tcW w:w="1369" w:type="dxa"/>
            <w:vAlign w:val="top"/>
          </w:tcPr>
          <w:p w14:paraId="0E267640">
            <w:pPr>
              <w:pStyle w:val="22"/>
              <w:bidi w:val="0"/>
              <w:rPr>
                <w:highlight w:val="none"/>
              </w:rPr>
            </w:pPr>
            <w:r>
              <w:rPr>
                <w:highlight w:val="none"/>
              </w:rPr>
              <w:t>评价区广泛分布</w:t>
            </w:r>
          </w:p>
        </w:tc>
      </w:tr>
    </w:tbl>
    <w:p w14:paraId="2BF36CCF">
      <w:pPr>
        <w:bidi w:val="0"/>
        <w:ind w:left="0" w:leftChars="0" w:firstLine="0" w:firstLineChars="0"/>
        <w:rPr>
          <w:rFonts w:hint="default"/>
          <w:highlight w:val="none"/>
          <w:lang w:val="en-US" w:eastAsia="zh-CN"/>
        </w:rPr>
      </w:pPr>
    </w:p>
    <w:p w14:paraId="02134F02">
      <w:pPr>
        <w:numPr>
          <w:ilvl w:val="0"/>
          <w:numId w:val="21"/>
        </w:numPr>
        <w:bidi w:val="0"/>
        <w:ind w:left="420" w:leftChars="0" w:hanging="420" w:firstLineChars="0"/>
        <w:rPr>
          <w:rFonts w:hint="default"/>
          <w:b/>
          <w:bCs/>
          <w:highlight w:val="none"/>
          <w:lang w:val="en-US" w:eastAsia="zh-CN"/>
        </w:rPr>
      </w:pPr>
      <w:r>
        <w:rPr>
          <w:rFonts w:hint="eastAsia"/>
          <w:b/>
          <w:bCs/>
          <w:highlight w:val="none"/>
          <w:lang w:val="en-US" w:eastAsia="zh-CN"/>
        </w:rPr>
        <w:t>植被类型与分布</w:t>
      </w:r>
    </w:p>
    <w:p w14:paraId="4D113A40">
      <w:pPr>
        <w:bidi w:val="0"/>
        <w:rPr>
          <w:rFonts w:hint="default"/>
          <w:highlight w:val="none"/>
          <w:lang w:val="en-US" w:eastAsia="zh-CN"/>
        </w:rPr>
      </w:pPr>
      <w:r>
        <w:rPr>
          <w:rFonts w:hint="default"/>
          <w:highlight w:val="none"/>
          <w:lang w:val="en-US" w:eastAsia="zh-CN"/>
        </w:rPr>
        <w:t>区域植被调查本次采用基础资料收集和现场踏勘相结合法进行分析。基础资料收集包括整理工程所在区域的《四川植被》、《项目所在区域植被分布图》以及林业等相关资料，以及《甘孜州2020 年南部光伏基地正斗一期（20万千瓦）竞争配置项目环境影响报告表》等区域内类似工程调查资料；现场踏勘包括对项目所在区域进行实地调查，记录和分析区域植被种类和分布。根据上述材料及现场踏勘、观察和询访，本项目调查区域植被属于“川西高山峡谷山原针叶林带—川西山原针叶林、灌丛、草甸亚带—川西山原植被地区—沙鲁里山南部植被小区”。区域植被主要为自然植被，仅在青德镇附近跨越河流边分布小片农田。</w:t>
      </w:r>
    </w:p>
    <w:p w14:paraId="23A1DBF5">
      <w:pPr>
        <w:pStyle w:val="11"/>
        <w:bidi w:val="0"/>
        <w:rPr>
          <w:highlight w:val="none"/>
        </w:rPr>
      </w:pPr>
    </w:p>
    <w:p w14:paraId="7A09B26E">
      <w:pPr>
        <w:pStyle w:val="11"/>
        <w:bidi w:val="0"/>
        <w:rPr>
          <w:highlight w:val="none"/>
        </w:rPr>
      </w:pPr>
    </w:p>
    <w:p w14:paraId="368F213D">
      <w:pPr>
        <w:pStyle w:val="11"/>
        <w:bidi w:val="0"/>
        <w:rPr>
          <w:highlight w:val="none"/>
        </w:rPr>
      </w:pPr>
    </w:p>
    <w:p w14:paraId="2C00A458">
      <w:pPr>
        <w:pStyle w:val="11"/>
        <w:bidi w:val="0"/>
        <w:rPr>
          <w:rFonts w:hint="eastAsia"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27</w:t>
      </w:r>
      <w:r>
        <w:rPr>
          <w:highlight w:val="none"/>
        </w:rPr>
        <w:fldChar w:fldCharType="end"/>
      </w:r>
      <w:r>
        <w:rPr>
          <w:rFonts w:hint="eastAsia"/>
          <w:highlight w:val="none"/>
          <w:lang w:val="en-US" w:eastAsia="zh-CN"/>
        </w:rPr>
        <w:t xml:space="preserve"> 调查区典型植被型及植物种类</w:t>
      </w:r>
    </w:p>
    <w:tbl>
      <w:tblPr>
        <w:tblStyle w:val="24"/>
        <w:tblW w:w="850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4"/>
        <w:gridCol w:w="819"/>
        <w:gridCol w:w="961"/>
        <w:gridCol w:w="1599"/>
        <w:gridCol w:w="4366"/>
      </w:tblGrid>
      <w:tr w14:paraId="7DE563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6" w:hRule="atLeast"/>
        </w:trPr>
        <w:tc>
          <w:tcPr>
            <w:tcW w:w="764" w:type="dxa"/>
            <w:vAlign w:val="top"/>
          </w:tcPr>
          <w:p w14:paraId="5A614680">
            <w:pPr>
              <w:pStyle w:val="22"/>
              <w:bidi w:val="0"/>
              <w:rPr>
                <w:highlight w:val="none"/>
              </w:rPr>
            </w:pPr>
            <w:r>
              <w:rPr>
                <w:highlight w:val="none"/>
              </w:rPr>
              <w:t>分类</w:t>
            </w:r>
          </w:p>
        </w:tc>
        <w:tc>
          <w:tcPr>
            <w:tcW w:w="819" w:type="dxa"/>
            <w:vAlign w:val="top"/>
          </w:tcPr>
          <w:p w14:paraId="13F76E60">
            <w:pPr>
              <w:pStyle w:val="22"/>
              <w:bidi w:val="0"/>
              <w:rPr>
                <w:highlight w:val="none"/>
              </w:rPr>
            </w:pPr>
            <w:r>
              <w:rPr>
                <w:highlight w:val="none"/>
              </w:rPr>
              <w:t>植被型</w:t>
            </w:r>
          </w:p>
        </w:tc>
        <w:tc>
          <w:tcPr>
            <w:tcW w:w="961" w:type="dxa"/>
            <w:vAlign w:val="top"/>
          </w:tcPr>
          <w:p w14:paraId="2910AEBF">
            <w:pPr>
              <w:pStyle w:val="22"/>
              <w:bidi w:val="0"/>
              <w:rPr>
                <w:highlight w:val="none"/>
              </w:rPr>
            </w:pPr>
            <w:r>
              <w:rPr>
                <w:highlight w:val="none"/>
              </w:rPr>
              <w:t>群系组</w:t>
            </w:r>
          </w:p>
        </w:tc>
        <w:tc>
          <w:tcPr>
            <w:tcW w:w="1599" w:type="dxa"/>
            <w:vAlign w:val="top"/>
          </w:tcPr>
          <w:p w14:paraId="13B2607F">
            <w:pPr>
              <w:pStyle w:val="22"/>
              <w:bidi w:val="0"/>
              <w:rPr>
                <w:highlight w:val="none"/>
              </w:rPr>
            </w:pPr>
            <w:r>
              <w:rPr>
                <w:highlight w:val="none"/>
              </w:rPr>
              <w:t>群系</w:t>
            </w:r>
          </w:p>
        </w:tc>
        <w:tc>
          <w:tcPr>
            <w:tcW w:w="4366" w:type="dxa"/>
            <w:vAlign w:val="top"/>
          </w:tcPr>
          <w:p w14:paraId="5EDA44C4">
            <w:pPr>
              <w:pStyle w:val="22"/>
              <w:bidi w:val="0"/>
              <w:rPr>
                <w:highlight w:val="none"/>
              </w:rPr>
            </w:pPr>
            <w:r>
              <w:rPr>
                <w:highlight w:val="none"/>
              </w:rPr>
              <w:t>代表性的物种</w:t>
            </w:r>
          </w:p>
        </w:tc>
      </w:tr>
      <w:tr w14:paraId="383AF5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11" w:hRule="atLeast"/>
        </w:trPr>
        <w:tc>
          <w:tcPr>
            <w:tcW w:w="764" w:type="dxa"/>
            <w:vMerge w:val="restart"/>
            <w:tcBorders>
              <w:bottom w:val="nil"/>
            </w:tcBorders>
            <w:vAlign w:val="top"/>
          </w:tcPr>
          <w:p w14:paraId="7C60A2F5">
            <w:pPr>
              <w:pStyle w:val="22"/>
              <w:bidi w:val="0"/>
              <w:rPr>
                <w:highlight w:val="none"/>
              </w:rPr>
            </w:pPr>
            <w:r>
              <w:rPr>
                <w:highlight w:val="none"/>
              </w:rPr>
              <w:t>森林</w:t>
            </w:r>
          </w:p>
        </w:tc>
        <w:tc>
          <w:tcPr>
            <w:tcW w:w="819" w:type="dxa"/>
            <w:vMerge w:val="restart"/>
            <w:tcBorders>
              <w:bottom w:val="nil"/>
            </w:tcBorders>
            <w:vAlign w:val="top"/>
          </w:tcPr>
          <w:p w14:paraId="3930329F">
            <w:pPr>
              <w:pStyle w:val="22"/>
              <w:bidi w:val="0"/>
              <w:rPr>
                <w:highlight w:val="none"/>
              </w:rPr>
            </w:pPr>
            <w:r>
              <w:rPr>
                <w:highlight w:val="none"/>
              </w:rPr>
              <w:t>针叶林</w:t>
            </w:r>
          </w:p>
        </w:tc>
        <w:tc>
          <w:tcPr>
            <w:tcW w:w="961" w:type="dxa"/>
            <w:vAlign w:val="top"/>
          </w:tcPr>
          <w:p w14:paraId="1880C4BF">
            <w:pPr>
              <w:pStyle w:val="22"/>
              <w:bidi w:val="0"/>
              <w:rPr>
                <w:highlight w:val="none"/>
              </w:rPr>
            </w:pPr>
            <w:r>
              <w:rPr>
                <w:highlight w:val="none"/>
              </w:rPr>
              <w:t>冷杉林</w:t>
            </w:r>
          </w:p>
        </w:tc>
        <w:tc>
          <w:tcPr>
            <w:tcW w:w="1599" w:type="dxa"/>
            <w:vAlign w:val="top"/>
          </w:tcPr>
          <w:p w14:paraId="37B46483">
            <w:pPr>
              <w:pStyle w:val="22"/>
              <w:bidi w:val="0"/>
              <w:rPr>
                <w:highlight w:val="none"/>
              </w:rPr>
            </w:pPr>
            <w:r>
              <w:rPr>
                <w:highlight w:val="none"/>
              </w:rPr>
              <w:t>鳞皮冷杉</w:t>
            </w:r>
          </w:p>
        </w:tc>
        <w:tc>
          <w:tcPr>
            <w:tcW w:w="4366" w:type="dxa"/>
            <w:vAlign w:val="top"/>
          </w:tcPr>
          <w:p w14:paraId="2E9E030A">
            <w:pPr>
              <w:pStyle w:val="22"/>
              <w:bidi w:val="0"/>
              <w:rPr>
                <w:highlight w:val="none"/>
              </w:rPr>
            </w:pPr>
            <w:r>
              <w:rPr>
                <w:highlight w:val="none"/>
              </w:rPr>
              <w:t>麟皮冷杉（Abies squamata Mast.）、丽江云杉 （Picea likiangensis(Franch.) Pritz.）、川西云杉（Picealikiangensis(Franch)Pritzvar.balfouriana(Rehd et Wils) HillierexSlavin）、长苞 冷杉（Abies georgei Orr）</w:t>
            </w:r>
          </w:p>
        </w:tc>
      </w:tr>
      <w:tr w14:paraId="2ECF17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764" w:type="dxa"/>
            <w:vMerge w:val="continue"/>
            <w:tcBorders>
              <w:top w:val="nil"/>
              <w:bottom w:val="nil"/>
            </w:tcBorders>
            <w:vAlign w:val="top"/>
          </w:tcPr>
          <w:p w14:paraId="73D6C940">
            <w:pPr>
              <w:pStyle w:val="22"/>
              <w:bidi w:val="0"/>
              <w:rPr>
                <w:highlight w:val="none"/>
              </w:rPr>
            </w:pPr>
          </w:p>
        </w:tc>
        <w:tc>
          <w:tcPr>
            <w:tcW w:w="819" w:type="dxa"/>
            <w:vMerge w:val="continue"/>
            <w:tcBorders>
              <w:top w:val="nil"/>
            </w:tcBorders>
            <w:vAlign w:val="top"/>
          </w:tcPr>
          <w:p w14:paraId="790A224B">
            <w:pPr>
              <w:pStyle w:val="22"/>
              <w:bidi w:val="0"/>
              <w:rPr>
                <w:highlight w:val="none"/>
              </w:rPr>
            </w:pPr>
          </w:p>
        </w:tc>
        <w:tc>
          <w:tcPr>
            <w:tcW w:w="961" w:type="dxa"/>
            <w:vAlign w:val="top"/>
          </w:tcPr>
          <w:p w14:paraId="23D755DE">
            <w:pPr>
              <w:pStyle w:val="22"/>
              <w:bidi w:val="0"/>
              <w:rPr>
                <w:highlight w:val="none"/>
              </w:rPr>
            </w:pPr>
            <w:r>
              <w:rPr>
                <w:highlight w:val="none"/>
              </w:rPr>
              <w:t>松林</w:t>
            </w:r>
          </w:p>
        </w:tc>
        <w:tc>
          <w:tcPr>
            <w:tcW w:w="1599" w:type="dxa"/>
            <w:vAlign w:val="top"/>
          </w:tcPr>
          <w:p w14:paraId="427A0DCE">
            <w:pPr>
              <w:pStyle w:val="22"/>
              <w:bidi w:val="0"/>
              <w:rPr>
                <w:highlight w:val="none"/>
              </w:rPr>
            </w:pPr>
            <w:r>
              <w:rPr>
                <w:highlight w:val="none"/>
              </w:rPr>
              <w:t>高山松</w:t>
            </w:r>
          </w:p>
        </w:tc>
        <w:tc>
          <w:tcPr>
            <w:tcW w:w="4366" w:type="dxa"/>
            <w:vAlign w:val="top"/>
          </w:tcPr>
          <w:p w14:paraId="01B5E645">
            <w:pPr>
              <w:pStyle w:val="22"/>
              <w:bidi w:val="0"/>
              <w:rPr>
                <w:highlight w:val="none"/>
              </w:rPr>
            </w:pPr>
            <w:r>
              <w:rPr>
                <w:highlight w:val="none"/>
              </w:rPr>
              <w:t>高山松（Pinus densata Mast）、川滇高山栎（Quercus aquifolioides Rehder）</w:t>
            </w:r>
          </w:p>
        </w:tc>
      </w:tr>
      <w:tr w14:paraId="152C34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8" w:hRule="atLeast"/>
        </w:trPr>
        <w:tc>
          <w:tcPr>
            <w:tcW w:w="764" w:type="dxa"/>
            <w:vMerge w:val="continue"/>
            <w:tcBorders>
              <w:top w:val="nil"/>
              <w:bottom w:val="nil"/>
            </w:tcBorders>
            <w:vAlign w:val="top"/>
          </w:tcPr>
          <w:p w14:paraId="44386877">
            <w:pPr>
              <w:pStyle w:val="22"/>
              <w:bidi w:val="0"/>
              <w:rPr>
                <w:highlight w:val="none"/>
              </w:rPr>
            </w:pPr>
          </w:p>
        </w:tc>
        <w:tc>
          <w:tcPr>
            <w:tcW w:w="819" w:type="dxa"/>
            <w:vMerge w:val="restart"/>
            <w:tcBorders>
              <w:bottom w:val="nil"/>
            </w:tcBorders>
            <w:vAlign w:val="top"/>
          </w:tcPr>
          <w:p w14:paraId="5A7702E9">
            <w:pPr>
              <w:pStyle w:val="22"/>
              <w:bidi w:val="0"/>
              <w:rPr>
                <w:highlight w:val="none"/>
              </w:rPr>
            </w:pPr>
            <w:r>
              <w:rPr>
                <w:highlight w:val="none"/>
              </w:rPr>
              <w:t>常绿阔叶或灌丛</w:t>
            </w:r>
          </w:p>
        </w:tc>
        <w:tc>
          <w:tcPr>
            <w:tcW w:w="961" w:type="dxa"/>
            <w:vMerge w:val="restart"/>
            <w:tcBorders>
              <w:bottom w:val="nil"/>
            </w:tcBorders>
            <w:vAlign w:val="top"/>
          </w:tcPr>
          <w:p w14:paraId="0C58C475">
            <w:pPr>
              <w:pStyle w:val="22"/>
              <w:bidi w:val="0"/>
              <w:rPr>
                <w:highlight w:val="none"/>
              </w:rPr>
            </w:pPr>
            <w:r>
              <w:rPr>
                <w:highlight w:val="none"/>
              </w:rPr>
              <w:t>常绿阔 叶</w:t>
            </w:r>
          </w:p>
          <w:p w14:paraId="5309A1B4">
            <w:pPr>
              <w:pStyle w:val="22"/>
              <w:bidi w:val="0"/>
              <w:rPr>
                <w:highlight w:val="none"/>
              </w:rPr>
            </w:pPr>
            <w:r>
              <w:rPr>
                <w:highlight w:val="none"/>
              </w:rPr>
              <w:t>灌丛</w:t>
            </w:r>
          </w:p>
        </w:tc>
        <w:tc>
          <w:tcPr>
            <w:tcW w:w="1599" w:type="dxa"/>
            <w:vAlign w:val="top"/>
          </w:tcPr>
          <w:p w14:paraId="12F3F0E3">
            <w:pPr>
              <w:pStyle w:val="22"/>
              <w:bidi w:val="0"/>
              <w:rPr>
                <w:highlight w:val="none"/>
              </w:rPr>
            </w:pPr>
            <w:r>
              <w:rPr>
                <w:highlight w:val="none"/>
              </w:rPr>
              <w:t>川滇高山栎灌 丛</w:t>
            </w:r>
          </w:p>
        </w:tc>
        <w:tc>
          <w:tcPr>
            <w:tcW w:w="4366" w:type="dxa"/>
            <w:vAlign w:val="top"/>
          </w:tcPr>
          <w:p w14:paraId="5A826F1C">
            <w:pPr>
              <w:pStyle w:val="22"/>
              <w:bidi w:val="0"/>
              <w:rPr>
                <w:highlight w:val="none"/>
              </w:rPr>
            </w:pPr>
            <w:r>
              <w:rPr>
                <w:highlight w:val="none"/>
              </w:rPr>
              <w:t>川滇高山栎（Quercus aquifolioides Rehder）、长穗高山栎（Quercus longispica）</w:t>
            </w:r>
          </w:p>
        </w:tc>
      </w:tr>
      <w:tr w14:paraId="408568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64" w:type="dxa"/>
            <w:vMerge w:val="continue"/>
            <w:tcBorders>
              <w:top w:val="nil"/>
              <w:bottom w:val="nil"/>
            </w:tcBorders>
            <w:vAlign w:val="top"/>
          </w:tcPr>
          <w:p w14:paraId="3B6ECED5">
            <w:pPr>
              <w:pStyle w:val="22"/>
              <w:bidi w:val="0"/>
              <w:rPr>
                <w:highlight w:val="none"/>
              </w:rPr>
            </w:pPr>
          </w:p>
        </w:tc>
        <w:tc>
          <w:tcPr>
            <w:tcW w:w="819" w:type="dxa"/>
            <w:vMerge w:val="continue"/>
            <w:tcBorders>
              <w:top w:val="nil"/>
              <w:bottom w:val="nil"/>
            </w:tcBorders>
            <w:vAlign w:val="top"/>
          </w:tcPr>
          <w:p w14:paraId="31EFBC97">
            <w:pPr>
              <w:pStyle w:val="22"/>
              <w:bidi w:val="0"/>
              <w:rPr>
                <w:highlight w:val="none"/>
              </w:rPr>
            </w:pPr>
          </w:p>
        </w:tc>
        <w:tc>
          <w:tcPr>
            <w:tcW w:w="961" w:type="dxa"/>
            <w:vMerge w:val="continue"/>
            <w:tcBorders>
              <w:top w:val="nil"/>
            </w:tcBorders>
            <w:vAlign w:val="top"/>
          </w:tcPr>
          <w:p w14:paraId="46578877">
            <w:pPr>
              <w:pStyle w:val="22"/>
              <w:bidi w:val="0"/>
              <w:rPr>
                <w:highlight w:val="none"/>
              </w:rPr>
            </w:pPr>
          </w:p>
        </w:tc>
        <w:tc>
          <w:tcPr>
            <w:tcW w:w="1599" w:type="dxa"/>
            <w:vAlign w:val="top"/>
          </w:tcPr>
          <w:p w14:paraId="09C73F8F">
            <w:pPr>
              <w:pStyle w:val="22"/>
              <w:bidi w:val="0"/>
              <w:rPr>
                <w:highlight w:val="none"/>
              </w:rPr>
            </w:pPr>
            <w:r>
              <w:rPr>
                <w:highlight w:val="none"/>
              </w:rPr>
              <w:t>长穗高山栎灌 丛</w:t>
            </w:r>
          </w:p>
        </w:tc>
        <w:tc>
          <w:tcPr>
            <w:tcW w:w="4366" w:type="dxa"/>
            <w:vAlign w:val="top"/>
          </w:tcPr>
          <w:p w14:paraId="4B0437BC">
            <w:pPr>
              <w:pStyle w:val="22"/>
              <w:bidi w:val="0"/>
              <w:rPr>
                <w:highlight w:val="none"/>
              </w:rPr>
            </w:pPr>
            <w:r>
              <w:rPr>
                <w:highlight w:val="none"/>
              </w:rPr>
              <w:t>长穗高山栎（ Quercus longispica）、白刺花（Sophora davidii Kom）</w:t>
            </w:r>
          </w:p>
        </w:tc>
      </w:tr>
      <w:tr w14:paraId="612EF0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764" w:type="dxa"/>
            <w:vMerge w:val="continue"/>
            <w:tcBorders>
              <w:top w:val="nil"/>
              <w:bottom w:val="nil"/>
            </w:tcBorders>
            <w:vAlign w:val="top"/>
          </w:tcPr>
          <w:p w14:paraId="61AC6FB5">
            <w:pPr>
              <w:pStyle w:val="22"/>
              <w:bidi w:val="0"/>
              <w:rPr>
                <w:highlight w:val="none"/>
              </w:rPr>
            </w:pPr>
          </w:p>
        </w:tc>
        <w:tc>
          <w:tcPr>
            <w:tcW w:w="819" w:type="dxa"/>
            <w:vMerge w:val="continue"/>
            <w:tcBorders>
              <w:top w:val="nil"/>
              <w:bottom w:val="nil"/>
            </w:tcBorders>
            <w:vAlign w:val="top"/>
          </w:tcPr>
          <w:p w14:paraId="34285A77">
            <w:pPr>
              <w:pStyle w:val="22"/>
              <w:bidi w:val="0"/>
              <w:rPr>
                <w:highlight w:val="none"/>
              </w:rPr>
            </w:pPr>
          </w:p>
        </w:tc>
        <w:tc>
          <w:tcPr>
            <w:tcW w:w="961" w:type="dxa"/>
            <w:vAlign w:val="top"/>
          </w:tcPr>
          <w:p w14:paraId="193FD5AD">
            <w:pPr>
              <w:pStyle w:val="22"/>
              <w:bidi w:val="0"/>
              <w:rPr>
                <w:highlight w:val="none"/>
              </w:rPr>
            </w:pPr>
            <w:r>
              <w:rPr>
                <w:highlight w:val="none"/>
              </w:rPr>
              <w:t>木蓝</w:t>
            </w:r>
          </w:p>
        </w:tc>
        <w:tc>
          <w:tcPr>
            <w:tcW w:w="1599" w:type="dxa"/>
            <w:vAlign w:val="top"/>
          </w:tcPr>
          <w:p w14:paraId="5EF993DD">
            <w:pPr>
              <w:pStyle w:val="22"/>
              <w:bidi w:val="0"/>
              <w:rPr>
                <w:highlight w:val="none"/>
              </w:rPr>
            </w:pPr>
            <w:r>
              <w:rPr>
                <w:highlight w:val="none"/>
              </w:rPr>
              <w:t>刺序木蓝</w:t>
            </w:r>
          </w:p>
        </w:tc>
        <w:tc>
          <w:tcPr>
            <w:tcW w:w="4366" w:type="dxa"/>
            <w:vAlign w:val="top"/>
          </w:tcPr>
          <w:p w14:paraId="253099FE">
            <w:pPr>
              <w:pStyle w:val="22"/>
              <w:bidi w:val="0"/>
              <w:rPr>
                <w:highlight w:val="none"/>
              </w:rPr>
            </w:pPr>
            <w:r>
              <w:rPr>
                <w:highlight w:val="none"/>
              </w:rPr>
              <w:t>刺序木蓝（Indigofera silvestrii Pamp)、中华山蓼（Oxyria sinensis Hemsl.）、川滇蔷薇（Rosa soulieana Crép.）</w:t>
            </w:r>
          </w:p>
        </w:tc>
      </w:tr>
      <w:tr w14:paraId="3026F4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764" w:type="dxa"/>
            <w:vMerge w:val="continue"/>
            <w:tcBorders>
              <w:top w:val="nil"/>
              <w:bottom w:val="nil"/>
            </w:tcBorders>
            <w:vAlign w:val="top"/>
          </w:tcPr>
          <w:p w14:paraId="525D18F1">
            <w:pPr>
              <w:pStyle w:val="22"/>
              <w:bidi w:val="0"/>
              <w:rPr>
                <w:highlight w:val="none"/>
              </w:rPr>
            </w:pPr>
          </w:p>
        </w:tc>
        <w:tc>
          <w:tcPr>
            <w:tcW w:w="819" w:type="dxa"/>
            <w:vMerge w:val="continue"/>
            <w:tcBorders>
              <w:top w:val="nil"/>
            </w:tcBorders>
            <w:vAlign w:val="top"/>
          </w:tcPr>
          <w:p w14:paraId="78DAD9F9">
            <w:pPr>
              <w:pStyle w:val="22"/>
              <w:bidi w:val="0"/>
              <w:rPr>
                <w:highlight w:val="none"/>
              </w:rPr>
            </w:pPr>
          </w:p>
        </w:tc>
        <w:tc>
          <w:tcPr>
            <w:tcW w:w="961" w:type="dxa"/>
            <w:vAlign w:val="top"/>
          </w:tcPr>
          <w:p w14:paraId="537F4753">
            <w:pPr>
              <w:pStyle w:val="22"/>
              <w:bidi w:val="0"/>
              <w:rPr>
                <w:highlight w:val="none"/>
              </w:rPr>
            </w:pPr>
            <w:r>
              <w:rPr>
                <w:highlight w:val="none"/>
              </w:rPr>
              <w:t>珍珠梅</w:t>
            </w:r>
          </w:p>
        </w:tc>
        <w:tc>
          <w:tcPr>
            <w:tcW w:w="1599" w:type="dxa"/>
            <w:vAlign w:val="top"/>
          </w:tcPr>
          <w:p w14:paraId="72158839">
            <w:pPr>
              <w:pStyle w:val="22"/>
              <w:bidi w:val="0"/>
              <w:rPr>
                <w:highlight w:val="none"/>
              </w:rPr>
            </w:pPr>
            <w:r>
              <w:rPr>
                <w:highlight w:val="none"/>
              </w:rPr>
              <w:t>高丛珍珠梅群系</w:t>
            </w:r>
          </w:p>
        </w:tc>
        <w:tc>
          <w:tcPr>
            <w:tcW w:w="4366" w:type="dxa"/>
            <w:vAlign w:val="top"/>
          </w:tcPr>
          <w:p w14:paraId="4CC9DF9D">
            <w:pPr>
              <w:pStyle w:val="22"/>
              <w:bidi w:val="0"/>
              <w:rPr>
                <w:highlight w:val="none"/>
              </w:rPr>
            </w:pPr>
            <w:r>
              <w:rPr>
                <w:highlight w:val="none"/>
              </w:rPr>
              <w:t>高丛珍珠梅群系（Sorbaria arborea C. K. Schneid.）</w:t>
            </w:r>
          </w:p>
        </w:tc>
      </w:tr>
      <w:tr w14:paraId="6D1C97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70" w:hRule="atLeast"/>
        </w:trPr>
        <w:tc>
          <w:tcPr>
            <w:tcW w:w="764" w:type="dxa"/>
            <w:vMerge w:val="continue"/>
            <w:tcBorders>
              <w:top w:val="nil"/>
            </w:tcBorders>
            <w:vAlign w:val="top"/>
          </w:tcPr>
          <w:p w14:paraId="7B527F29">
            <w:pPr>
              <w:pStyle w:val="22"/>
              <w:bidi w:val="0"/>
              <w:rPr>
                <w:highlight w:val="none"/>
              </w:rPr>
            </w:pPr>
          </w:p>
        </w:tc>
        <w:tc>
          <w:tcPr>
            <w:tcW w:w="819" w:type="dxa"/>
            <w:vAlign w:val="top"/>
          </w:tcPr>
          <w:p w14:paraId="4DD10122">
            <w:pPr>
              <w:pStyle w:val="22"/>
              <w:bidi w:val="0"/>
              <w:rPr>
                <w:highlight w:val="none"/>
              </w:rPr>
            </w:pPr>
            <w:r>
              <w:rPr>
                <w:highlight w:val="none"/>
              </w:rPr>
              <w:t>草甸</w:t>
            </w:r>
          </w:p>
        </w:tc>
        <w:tc>
          <w:tcPr>
            <w:tcW w:w="961" w:type="dxa"/>
            <w:vAlign w:val="top"/>
          </w:tcPr>
          <w:p w14:paraId="6F041B0F">
            <w:pPr>
              <w:pStyle w:val="22"/>
              <w:bidi w:val="0"/>
              <w:rPr>
                <w:highlight w:val="none"/>
              </w:rPr>
            </w:pPr>
            <w:r>
              <w:rPr>
                <w:highlight w:val="none"/>
              </w:rPr>
              <w:t>亚高山</w:t>
            </w:r>
          </w:p>
          <w:p w14:paraId="215B235D">
            <w:pPr>
              <w:pStyle w:val="22"/>
              <w:bidi w:val="0"/>
              <w:rPr>
                <w:highlight w:val="none"/>
              </w:rPr>
            </w:pPr>
            <w:r>
              <w:rPr>
                <w:highlight w:val="none"/>
              </w:rPr>
              <w:t>禾草草 甸</w:t>
            </w:r>
          </w:p>
        </w:tc>
        <w:tc>
          <w:tcPr>
            <w:tcW w:w="1599" w:type="dxa"/>
            <w:vAlign w:val="top"/>
          </w:tcPr>
          <w:p w14:paraId="7D741BA3">
            <w:pPr>
              <w:pStyle w:val="22"/>
              <w:bidi w:val="0"/>
              <w:rPr>
                <w:highlight w:val="none"/>
              </w:rPr>
            </w:pPr>
            <w:r>
              <w:rPr>
                <w:highlight w:val="none"/>
              </w:rPr>
              <w:t>垂穗披碱草</w:t>
            </w:r>
            <w:r>
              <w:rPr>
                <w:rFonts w:hint="eastAsia"/>
                <w:highlight w:val="none"/>
                <w:lang w:val="en-US" w:eastAsia="zh-CN"/>
              </w:rPr>
              <w:t xml:space="preserve"> </w:t>
            </w:r>
            <w:r>
              <w:rPr>
                <w:highlight w:val="none"/>
              </w:rPr>
              <w:t>草甸</w:t>
            </w:r>
          </w:p>
        </w:tc>
        <w:tc>
          <w:tcPr>
            <w:tcW w:w="4366" w:type="dxa"/>
            <w:vAlign w:val="top"/>
          </w:tcPr>
          <w:p w14:paraId="6A2EEE77">
            <w:pPr>
              <w:pStyle w:val="22"/>
              <w:bidi w:val="0"/>
              <w:rPr>
                <w:highlight w:val="none"/>
              </w:rPr>
            </w:pPr>
            <w:r>
              <w:rPr>
                <w:highlight w:val="none"/>
              </w:rPr>
              <w:t>垂穗披碱草（Elymus nutans Griseb.）、早熟禾（PoaannuaL. ）、委陵菜（Potentilla chinensis     Ser.）、四川蒿草（Kobresia setschwanensis Handel-Mazzetti）、山景龙胆（ GentianaoreodoxaH. Smith）、喉毛花（Comastoma pulmonarium (Turcz.) Toyok.）</w:t>
            </w:r>
          </w:p>
        </w:tc>
      </w:tr>
      <w:tr w14:paraId="7AEA32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764" w:type="dxa"/>
            <w:vAlign w:val="top"/>
          </w:tcPr>
          <w:p w14:paraId="21AE0CAE">
            <w:pPr>
              <w:pStyle w:val="22"/>
              <w:bidi w:val="0"/>
              <w:rPr>
                <w:highlight w:val="none"/>
              </w:rPr>
            </w:pPr>
            <w:r>
              <w:rPr>
                <w:highlight w:val="none"/>
              </w:rPr>
              <w:t>栽培植被</w:t>
            </w:r>
          </w:p>
        </w:tc>
        <w:tc>
          <w:tcPr>
            <w:tcW w:w="3379" w:type="dxa"/>
            <w:gridSpan w:val="3"/>
            <w:vAlign w:val="top"/>
          </w:tcPr>
          <w:p w14:paraId="12C022C7">
            <w:pPr>
              <w:pStyle w:val="22"/>
              <w:bidi w:val="0"/>
              <w:rPr>
                <w:highlight w:val="none"/>
              </w:rPr>
            </w:pPr>
            <w:r>
              <w:rPr>
                <w:highlight w:val="none"/>
              </w:rPr>
              <w:t>作物</w:t>
            </w:r>
          </w:p>
        </w:tc>
        <w:tc>
          <w:tcPr>
            <w:tcW w:w="4366" w:type="dxa"/>
            <w:vAlign w:val="top"/>
          </w:tcPr>
          <w:p w14:paraId="17D4DE07">
            <w:pPr>
              <w:pStyle w:val="22"/>
              <w:bidi w:val="0"/>
              <w:rPr>
                <w:highlight w:val="none"/>
              </w:rPr>
            </w:pPr>
            <w:r>
              <w:rPr>
                <w:highlight w:val="none"/>
              </w:rPr>
              <w:t>小麦、玉米</w:t>
            </w:r>
          </w:p>
        </w:tc>
      </w:tr>
    </w:tbl>
    <w:p w14:paraId="496F6094">
      <w:pPr>
        <w:bidi w:val="0"/>
        <w:rPr>
          <w:rFonts w:hint="default"/>
          <w:highlight w:val="none"/>
          <w:lang w:val="en-US" w:eastAsia="zh-CN"/>
        </w:rPr>
      </w:pPr>
      <w:r>
        <w:rPr>
          <w:rFonts w:hint="eastAsia"/>
          <w:highlight w:val="none"/>
          <w:lang w:val="en-US" w:eastAsia="zh-CN"/>
        </w:rPr>
        <w:t>评价范围</w:t>
      </w:r>
      <w:r>
        <w:rPr>
          <w:rFonts w:hint="default"/>
          <w:highlight w:val="none"/>
          <w:lang w:val="en-US" w:eastAsia="zh-CN"/>
        </w:rPr>
        <w:t>所在区域属沙鲁里山南部植被小区，区域植被主要为自 然植被，栽培植被仅在城镇边少量分布。 自然植被包括针叶林、少量常绿阔叶、灌丛和草甸，代表性物种有鳞皮冷杉、高山松、川滇高山栎、长穗高山栎、刺序木蓝、高丛珍珠梅群等。栽培植被为作物，代表性物种有小麦、玉米等；根据《国家重点保护野生植物名录》（国家林业和草原局 2021 年第 15 号）和《全国古树名木普查建档技术规定》，在调查区域内未发现其他珍稀濒危及国家重点保护的野生植物和古树名木。区域植被分布见下图《项目所在区域植被分布图》。</w:t>
      </w:r>
    </w:p>
    <w:p w14:paraId="4D24BB9F">
      <w:pPr>
        <w:bidi w:val="0"/>
        <w:ind w:left="0" w:leftChars="0" w:firstLine="0" w:firstLineChars="0"/>
        <w:rPr>
          <w:rFonts w:hint="default"/>
          <w:highlight w:val="none"/>
          <w:lang w:val="en-US" w:eastAsia="zh-CN"/>
        </w:rPr>
      </w:pPr>
      <w:r>
        <w:rPr>
          <w:highlight w:val="none"/>
        </w:rPr>
        <w:drawing>
          <wp:inline distT="0" distB="0" distL="114300" distR="114300">
            <wp:extent cx="5271770" cy="5271770"/>
            <wp:effectExtent l="0" t="0" r="508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7"/>
                    <a:stretch>
                      <a:fillRect/>
                    </a:stretch>
                  </pic:blipFill>
                  <pic:spPr>
                    <a:xfrm>
                      <a:off x="0" y="0"/>
                      <a:ext cx="5271770" cy="5271770"/>
                    </a:xfrm>
                    <a:prstGeom prst="rect">
                      <a:avLst/>
                    </a:prstGeom>
                    <a:noFill/>
                    <a:ln>
                      <a:noFill/>
                    </a:ln>
                  </pic:spPr>
                </pic:pic>
              </a:graphicData>
            </a:graphic>
          </wp:inline>
        </w:drawing>
      </w:r>
    </w:p>
    <w:p w14:paraId="3E0BA4DE">
      <w:pPr>
        <w:pStyle w:val="11"/>
        <w:bidi w:val="0"/>
        <w:ind w:left="0" w:leftChars="0" w:firstLine="0" w:firstLineChars="0"/>
        <w:rPr>
          <w:rFonts w:hint="eastAsia" w:eastAsia="黑体"/>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12</w:t>
      </w:r>
      <w:r>
        <w:rPr>
          <w:highlight w:val="none"/>
        </w:rPr>
        <w:fldChar w:fldCharType="end"/>
      </w:r>
      <w:r>
        <w:rPr>
          <w:rFonts w:hint="eastAsia"/>
          <w:highlight w:val="none"/>
          <w:lang w:val="en-US" w:eastAsia="zh-CN"/>
        </w:rPr>
        <w:t xml:space="preserve"> 项目所在区域植被分布图</w:t>
      </w:r>
    </w:p>
    <w:p w14:paraId="69EBC7A6">
      <w:pPr>
        <w:numPr>
          <w:ilvl w:val="0"/>
          <w:numId w:val="21"/>
        </w:numPr>
        <w:bidi w:val="0"/>
        <w:ind w:left="420" w:leftChars="0" w:hanging="420" w:firstLineChars="0"/>
        <w:rPr>
          <w:rFonts w:hint="eastAsia"/>
          <w:b/>
          <w:bCs/>
          <w:highlight w:val="none"/>
          <w:lang w:val="en-US" w:eastAsia="zh-CN"/>
        </w:rPr>
      </w:pPr>
      <w:r>
        <w:rPr>
          <w:rFonts w:hint="eastAsia"/>
          <w:b/>
          <w:bCs/>
          <w:highlight w:val="none"/>
          <w:lang w:val="en-US" w:eastAsia="zh-CN"/>
        </w:rPr>
        <w:t>主要植被特征</w:t>
      </w:r>
    </w:p>
    <w:p w14:paraId="2EB89973">
      <w:pPr>
        <w:bidi w:val="0"/>
        <w:rPr>
          <w:rFonts w:hint="default"/>
          <w:b/>
          <w:bCs/>
          <w:highlight w:val="none"/>
          <w:lang w:val="en-US" w:eastAsia="zh-CN"/>
        </w:rPr>
      </w:pPr>
      <w:r>
        <w:rPr>
          <w:rFonts w:hint="default"/>
          <w:b w:val="0"/>
          <w:bCs w:val="0"/>
          <w:highlight w:val="none"/>
          <w:lang w:val="en-US" w:eastAsia="zh-CN"/>
        </w:rPr>
        <w:t>1）鳞皮冷杉是评价区域内的主要森林之一，在评价区域的各个地带均有分 布。郁闭度在 0.3~0.35 之间。其周围还有麟皮冷杉（Abies squamata Mast.）、丽江云杉（Picea likiangensis(Franch.) Pritz.）、川西云杉（Picea likiangensis(Franch) Pritz var. balfouriana(Rehd et Wils) HillierexSlavin）、长苞冷杉（Abies georgei Orr）等植物，层盖度高。</w:t>
      </w:r>
    </w:p>
    <w:p w14:paraId="06A238E6">
      <w:pPr>
        <w:bidi w:val="0"/>
        <w:rPr>
          <w:rFonts w:hint="default"/>
          <w:highlight w:val="none"/>
          <w:lang w:val="en-US" w:eastAsia="zh-CN"/>
        </w:rPr>
      </w:pPr>
      <w:r>
        <w:rPr>
          <w:rFonts w:hint="default"/>
          <w:highlight w:val="none"/>
          <w:lang w:val="en-US" w:eastAsia="zh-CN"/>
        </w:rPr>
        <w:t>2）高山松林</w:t>
      </w:r>
    </w:p>
    <w:p w14:paraId="664C4403">
      <w:pPr>
        <w:bidi w:val="0"/>
        <w:rPr>
          <w:rFonts w:hint="default"/>
          <w:highlight w:val="none"/>
          <w:lang w:val="en-US" w:eastAsia="zh-CN"/>
        </w:rPr>
      </w:pPr>
      <w:r>
        <w:rPr>
          <w:rFonts w:hint="default"/>
          <w:highlight w:val="none"/>
          <w:lang w:val="en-US" w:eastAsia="zh-CN"/>
        </w:rPr>
        <w:t>高山松，总盖度在 25-30%左右，高山松为优势树种，其间还分布有高山松（Pinus densata Mast）、川滇高山栎（Quercus aquifolioides Rehder）等树种，层盖度在15%；此外川西云杉（Picea likiangensis(Franch) Pritz var. balfouriana(Rehd et Wils) HillierexSlavin）、长苞冷杉（Abies georgei Orr）等，盖度约为 20%。</w:t>
      </w:r>
    </w:p>
    <w:p w14:paraId="3C7E7C37">
      <w:pPr>
        <w:bidi w:val="0"/>
        <w:rPr>
          <w:rFonts w:hint="default"/>
          <w:highlight w:val="none"/>
          <w:lang w:val="en-US" w:eastAsia="zh-CN"/>
        </w:rPr>
      </w:pPr>
      <w:r>
        <w:rPr>
          <w:rFonts w:hint="default"/>
          <w:highlight w:val="none"/>
          <w:lang w:val="en-US" w:eastAsia="zh-CN"/>
        </w:rPr>
        <w:t>3）川西云杉</w:t>
      </w:r>
    </w:p>
    <w:p w14:paraId="2F17379B">
      <w:pPr>
        <w:bidi w:val="0"/>
        <w:rPr>
          <w:rFonts w:hint="default"/>
          <w:highlight w:val="none"/>
          <w:lang w:val="en-US" w:eastAsia="zh-CN"/>
        </w:rPr>
      </w:pPr>
      <w:r>
        <w:rPr>
          <w:rFonts w:hint="default"/>
          <w:highlight w:val="none"/>
          <w:lang w:val="en-US" w:eastAsia="zh-CN"/>
        </w:rPr>
        <w:t>川西云杉产于中国四川西部和西南部、青海南部、西藏东部。川西云杉喜 阴湿的高寒气候，耐干冷、是耐旱性较强的品种。川西云杉主要繁殖方法为播 种 。在其周围还有少数的刺序木蓝（Indigofera silvestrii Pamp）、中华山蓼（Oxyria sinensis Hemsl.）、川滇蔷薇（Rosa soulieana Crép.）、高丛珍珠梅群系（Sorbaria arborea C. K. Schneid. ）等草本植物，盖度达20%左右。</w:t>
      </w:r>
    </w:p>
    <w:p w14:paraId="58F2A3DF">
      <w:pPr>
        <w:numPr>
          <w:ilvl w:val="0"/>
          <w:numId w:val="21"/>
        </w:numPr>
        <w:bidi w:val="0"/>
        <w:ind w:left="420" w:leftChars="0" w:hanging="420" w:firstLineChars="0"/>
        <w:rPr>
          <w:rFonts w:hint="eastAsia"/>
          <w:b/>
          <w:bCs/>
          <w:highlight w:val="none"/>
          <w:lang w:val="en-US" w:eastAsia="zh-CN"/>
        </w:rPr>
      </w:pPr>
      <w:r>
        <w:rPr>
          <w:rFonts w:hint="eastAsia"/>
          <w:b/>
          <w:bCs/>
          <w:highlight w:val="none"/>
          <w:lang w:val="en-US" w:eastAsia="zh-CN"/>
        </w:rPr>
        <w:t>植被覆盖度</w:t>
      </w:r>
    </w:p>
    <w:p w14:paraId="6AB26DC5">
      <w:pPr>
        <w:bidi w:val="0"/>
        <w:rPr>
          <w:rFonts w:hint="default"/>
          <w:highlight w:val="none"/>
          <w:lang w:val="en-US" w:eastAsia="zh-CN"/>
        </w:rPr>
      </w:pPr>
      <w:r>
        <w:rPr>
          <w:rFonts w:hint="default"/>
          <w:highlight w:val="none"/>
          <w:lang w:val="en-US" w:eastAsia="zh-CN"/>
        </w:rPr>
        <w:t>采用植被覆盖度指标定量分析评价范围内植被现状。通过遥感手段，采用归一化植被指数(NDVI)方法，对评价区的植被覆盖度进行分析。NDVI计算公式为如下：</w:t>
      </w:r>
    </w:p>
    <w:p w14:paraId="349B29C6">
      <w:pPr>
        <w:numPr>
          <w:ilvl w:val="0"/>
          <w:numId w:val="0"/>
        </w:numPr>
        <w:bidi w:val="0"/>
        <w:ind w:leftChars="200"/>
        <w:rPr>
          <w:rFonts w:hint="default"/>
          <w:highlight w:val="none"/>
          <w:lang w:val="en-US" w:eastAsia="zh-CN"/>
        </w:rPr>
      </w:pPr>
      <w:r>
        <w:rPr>
          <w:rFonts w:hint="default"/>
          <w:highlight w:val="none"/>
          <w:lang w:val="en-US" w:eastAsia="zh-CN"/>
        </w:rPr>
        <w:t>NDVI=(NIR-R)/(NIR+R)</w:t>
      </w:r>
    </w:p>
    <w:p w14:paraId="0993C174">
      <w:pPr>
        <w:numPr>
          <w:ilvl w:val="0"/>
          <w:numId w:val="0"/>
        </w:numPr>
        <w:bidi w:val="0"/>
        <w:ind w:leftChars="200"/>
        <w:rPr>
          <w:rFonts w:hint="default"/>
          <w:highlight w:val="none"/>
          <w:lang w:val="en-US" w:eastAsia="zh-CN"/>
        </w:rPr>
      </w:pPr>
      <w:r>
        <w:rPr>
          <w:rFonts w:hint="default"/>
          <w:highlight w:val="none"/>
          <w:lang w:val="en-US" w:eastAsia="zh-CN"/>
        </w:rPr>
        <w:t>其中：NIR为近红外波段，R 为红波段。</w:t>
      </w:r>
    </w:p>
    <w:p w14:paraId="20D67F3C">
      <w:pPr>
        <w:numPr>
          <w:ilvl w:val="0"/>
          <w:numId w:val="0"/>
        </w:numPr>
        <w:bidi w:val="0"/>
        <w:ind w:leftChars="200" w:firstLine="720" w:firstLineChars="300"/>
        <w:rPr>
          <w:rFonts w:hint="default"/>
          <w:highlight w:val="none"/>
          <w:lang w:val="en-US" w:eastAsia="zh-CN"/>
        </w:rPr>
      </w:pPr>
      <w:r>
        <w:rPr>
          <w:rFonts w:hint="default"/>
          <w:highlight w:val="none"/>
          <w:lang w:val="en-US" w:eastAsia="zh-CN"/>
        </w:rPr>
        <w:t>基于NDVI ，采用像元二分模型计算植被覆盖度，公式如下：</w:t>
      </w:r>
    </w:p>
    <w:p w14:paraId="31A51EA8">
      <w:pPr>
        <w:numPr>
          <w:ilvl w:val="0"/>
          <w:numId w:val="0"/>
        </w:numPr>
        <w:bidi w:val="0"/>
        <w:ind w:leftChars="200" w:firstLine="720" w:firstLineChars="300"/>
        <w:rPr>
          <w:rFonts w:hint="default"/>
          <w:highlight w:val="none"/>
          <w:lang w:val="en-US" w:eastAsia="zh-CN"/>
        </w:rPr>
      </w:pPr>
      <w:r>
        <w:rPr>
          <w:rFonts w:hint="default"/>
          <w:highlight w:val="none"/>
          <w:lang w:val="en-US" w:eastAsia="zh-CN"/>
        </w:rPr>
        <w:t>FVC = (NDVI-NDVIs)/(NDVIv-NDVIs)</w:t>
      </w:r>
    </w:p>
    <w:p w14:paraId="72BAEC87">
      <w:pPr>
        <w:numPr>
          <w:ilvl w:val="0"/>
          <w:numId w:val="0"/>
        </w:numPr>
        <w:bidi w:val="0"/>
        <w:ind w:leftChars="200"/>
        <w:rPr>
          <w:rFonts w:hint="default"/>
          <w:highlight w:val="none"/>
          <w:lang w:val="en-US" w:eastAsia="zh-CN"/>
        </w:rPr>
      </w:pPr>
      <w:r>
        <w:rPr>
          <w:rFonts w:hint="default"/>
          <w:highlight w:val="none"/>
          <w:lang w:val="en-US" w:eastAsia="zh-CN"/>
        </w:rPr>
        <w:t>式中：FVC—所计算像元的植被覆盖度；</w:t>
      </w:r>
    </w:p>
    <w:p w14:paraId="66F09A0A">
      <w:pPr>
        <w:numPr>
          <w:ilvl w:val="0"/>
          <w:numId w:val="0"/>
        </w:numPr>
        <w:bidi w:val="0"/>
        <w:ind w:leftChars="200" w:firstLine="720" w:firstLineChars="300"/>
        <w:rPr>
          <w:rFonts w:hint="default"/>
          <w:highlight w:val="none"/>
          <w:lang w:val="en-US" w:eastAsia="zh-CN"/>
        </w:rPr>
      </w:pPr>
      <w:r>
        <w:rPr>
          <w:rFonts w:hint="default"/>
          <w:highlight w:val="none"/>
          <w:lang w:val="en-US" w:eastAsia="zh-CN"/>
        </w:rPr>
        <w:t>NDVI—所计算像元的 NDVI 值；</w:t>
      </w:r>
    </w:p>
    <w:p w14:paraId="4077E4AD">
      <w:pPr>
        <w:numPr>
          <w:ilvl w:val="0"/>
          <w:numId w:val="0"/>
        </w:numPr>
        <w:bidi w:val="0"/>
        <w:ind w:leftChars="200" w:firstLine="720" w:firstLineChars="300"/>
        <w:rPr>
          <w:rFonts w:hint="default"/>
          <w:highlight w:val="none"/>
          <w:lang w:val="en-US" w:eastAsia="zh-CN"/>
        </w:rPr>
      </w:pPr>
      <w:r>
        <w:rPr>
          <w:rFonts w:hint="default"/>
          <w:highlight w:val="none"/>
          <w:lang w:val="en-US" w:eastAsia="zh-CN"/>
        </w:rPr>
        <w:t>NDVIv—纯植物像元的 NDVI 值；</w:t>
      </w:r>
    </w:p>
    <w:p w14:paraId="14264435">
      <w:pPr>
        <w:numPr>
          <w:ilvl w:val="0"/>
          <w:numId w:val="0"/>
        </w:numPr>
        <w:bidi w:val="0"/>
        <w:ind w:leftChars="200" w:firstLine="720" w:firstLineChars="300"/>
        <w:rPr>
          <w:rFonts w:hint="default"/>
          <w:highlight w:val="none"/>
          <w:lang w:val="en-US" w:eastAsia="zh-CN"/>
        </w:rPr>
      </w:pPr>
      <w:r>
        <w:rPr>
          <w:rFonts w:hint="default"/>
          <w:highlight w:val="none"/>
          <w:lang w:val="en-US" w:eastAsia="zh-CN"/>
        </w:rPr>
        <w:t>NDVIs—完全无植被覆盖像元的 NDVI 值。</w:t>
      </w:r>
    </w:p>
    <w:p w14:paraId="7793341E">
      <w:pPr>
        <w:bidi w:val="0"/>
        <w:rPr>
          <w:rFonts w:hint="default"/>
          <w:highlight w:val="none"/>
          <w:lang w:val="en-US" w:eastAsia="zh-CN"/>
        </w:rPr>
      </w:pPr>
      <w:r>
        <w:rPr>
          <w:rFonts w:hint="default"/>
          <w:highlight w:val="none"/>
          <w:lang w:val="en-US" w:eastAsia="zh-CN"/>
        </w:rPr>
        <w:t>本次计算采用的遥感影像数据为评价区域 2023 年9月哨兵二号(Sentinel-2)L2A 级数据产品，影像分辨率30 m，数据经过辐射校正、几何校正、辐射定标和大气校正。采用ENVI 软件平台计算FVC，并用GIS软件制作评价范围内植被覆盖度空间分布图。</w:t>
      </w:r>
    </w:p>
    <w:p w14:paraId="4E1F501B">
      <w:pPr>
        <w:bidi w:val="0"/>
        <w:ind w:left="0" w:leftChars="0" w:firstLine="0" w:firstLineChars="0"/>
        <w:rPr>
          <w:rFonts w:hint="default"/>
          <w:highlight w:val="none"/>
          <w:lang w:val="en-US" w:eastAsia="zh-CN"/>
        </w:rPr>
      </w:pPr>
      <w:r>
        <w:rPr>
          <w:highlight w:val="none"/>
        </w:rPr>
        <w:drawing>
          <wp:inline distT="0" distB="0" distL="114300" distR="114300">
            <wp:extent cx="5270500" cy="5270500"/>
            <wp:effectExtent l="0" t="0" r="6350" b="635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8"/>
                    <a:stretch>
                      <a:fillRect/>
                    </a:stretch>
                  </pic:blipFill>
                  <pic:spPr>
                    <a:xfrm>
                      <a:off x="0" y="0"/>
                      <a:ext cx="5270500" cy="5270500"/>
                    </a:xfrm>
                    <a:prstGeom prst="rect">
                      <a:avLst/>
                    </a:prstGeom>
                    <a:noFill/>
                    <a:ln>
                      <a:noFill/>
                    </a:ln>
                  </pic:spPr>
                </pic:pic>
              </a:graphicData>
            </a:graphic>
          </wp:inline>
        </w:drawing>
      </w:r>
    </w:p>
    <w:p w14:paraId="3574CAB9">
      <w:pPr>
        <w:pStyle w:val="11"/>
        <w:bidi w:val="0"/>
        <w:rPr>
          <w:rFonts w:hint="eastAsia" w:eastAsia="黑体"/>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13</w:t>
      </w:r>
      <w:r>
        <w:rPr>
          <w:highlight w:val="none"/>
        </w:rPr>
        <w:fldChar w:fldCharType="end"/>
      </w:r>
      <w:r>
        <w:rPr>
          <w:rFonts w:hint="eastAsia"/>
          <w:highlight w:val="none"/>
          <w:lang w:val="en-US" w:eastAsia="zh-CN"/>
        </w:rPr>
        <w:t xml:space="preserve"> 评价范围植被覆盖空间分布图</w:t>
      </w:r>
    </w:p>
    <w:p w14:paraId="57DD7D12">
      <w:pPr>
        <w:bidi w:val="0"/>
        <w:rPr>
          <w:rFonts w:hint="default"/>
          <w:highlight w:val="none"/>
          <w:lang w:val="en-US" w:eastAsia="zh-CN"/>
        </w:rPr>
      </w:pPr>
      <w:r>
        <w:rPr>
          <w:rFonts w:hint="default"/>
          <w:highlight w:val="none"/>
          <w:lang w:val="en-US" w:eastAsia="zh-CN"/>
        </w:rPr>
        <w:t>基于植被覆盖度数据进行空间统计，评价区植被平均覆盖度为 72.51%，评价范围内植被覆盖度整体中高的水平。对覆盖度不同取值范围分区统计，评价区植被覆盖度主要为高覆盖度(≥75%)，面积占比达到 32.40%%；其次是中高覆盖度(60-75%)，面积占比为 29.43%；中覆盖度(45-60%)，面积占比为 21.66%；中低覆盖度(35-45%)和低覆盖度(0-35%)面积占比为较小。</w:t>
      </w:r>
    </w:p>
    <w:p w14:paraId="231793C7">
      <w:pPr>
        <w:numPr>
          <w:ilvl w:val="0"/>
          <w:numId w:val="21"/>
        </w:numPr>
        <w:bidi w:val="0"/>
        <w:ind w:left="420" w:leftChars="0" w:hanging="420" w:firstLineChars="0"/>
        <w:rPr>
          <w:rFonts w:hint="default"/>
          <w:b/>
          <w:bCs/>
          <w:highlight w:val="none"/>
          <w:lang w:val="en-US" w:eastAsia="zh-CN"/>
        </w:rPr>
      </w:pPr>
      <w:r>
        <w:rPr>
          <w:rFonts w:hint="eastAsia"/>
          <w:b/>
          <w:bCs/>
          <w:highlight w:val="none"/>
          <w:lang w:val="en-US" w:eastAsia="zh-CN"/>
        </w:rPr>
        <w:t>植物生物量估算</w:t>
      </w:r>
    </w:p>
    <w:p w14:paraId="1B663FD2">
      <w:pPr>
        <w:bidi w:val="0"/>
        <w:rPr>
          <w:rFonts w:hint="default"/>
          <w:highlight w:val="none"/>
          <w:lang w:val="en-US" w:eastAsia="zh-CN"/>
        </w:rPr>
      </w:pPr>
      <w:r>
        <w:rPr>
          <w:rFonts w:hint="default"/>
          <w:highlight w:val="none"/>
          <w:lang w:val="en-US" w:eastAsia="zh-CN"/>
        </w:rPr>
        <w:t>采用木材蓄积量计算法计算其样方生物量。由于对乔木层样方的树木只进行了每木调查，所以采用西南地区树种二元立木采集表，计算每个样方内各个树种的材积量，分别代入相关公式中进行计算，最终换算为木材蓄积量，再乘以比重得到生物量。样方内乔木的计算公式为：</w:t>
      </w:r>
    </w:p>
    <w:p w14:paraId="6540D29A">
      <w:pPr>
        <w:bidi w:val="0"/>
        <w:rPr>
          <w:rFonts w:hint="default"/>
          <w:highlight w:val="none"/>
          <w:lang w:val="en-US" w:eastAsia="zh-CN"/>
        </w:rPr>
      </w:pPr>
      <w:r>
        <w:rPr>
          <w:rFonts w:hint="default"/>
          <w:highlight w:val="none"/>
          <w:lang w:val="en-US" w:eastAsia="zh-CN"/>
        </w:rPr>
        <w:t>木材蓄积量：一定面积森林中现存各种活立木的材积总量(m</w:t>
      </w:r>
      <w:r>
        <w:rPr>
          <w:rFonts w:hint="default"/>
          <w:highlight w:val="none"/>
          <w:vertAlign w:val="superscript"/>
          <w:lang w:val="en-US" w:eastAsia="zh-CN"/>
        </w:rPr>
        <w:t>3</w:t>
      </w:r>
      <w:r>
        <w:rPr>
          <w:rFonts w:hint="default"/>
          <w:highlight w:val="none"/>
          <w:lang w:val="en-US" w:eastAsia="zh-CN"/>
        </w:rPr>
        <w:t xml:space="preserve"> /hm</w:t>
      </w:r>
      <w:r>
        <w:rPr>
          <w:rFonts w:hint="default"/>
          <w:highlight w:val="none"/>
          <w:vertAlign w:val="superscript"/>
          <w:lang w:val="en-US" w:eastAsia="zh-CN"/>
        </w:rPr>
        <w:t>2</w:t>
      </w:r>
      <w:r>
        <w:rPr>
          <w:rFonts w:hint="default"/>
          <w:highlight w:val="none"/>
          <w:lang w:val="en-US" w:eastAsia="zh-CN"/>
        </w:rPr>
        <w:t>) 材积公式：V = A*D^B*H^C</w:t>
      </w:r>
    </w:p>
    <w:p w14:paraId="54C192FA">
      <w:pPr>
        <w:bidi w:val="0"/>
        <w:rPr>
          <w:rFonts w:hint="default"/>
          <w:highlight w:val="none"/>
          <w:lang w:val="en-US" w:eastAsia="zh-CN"/>
        </w:rPr>
      </w:pPr>
      <w:r>
        <w:rPr>
          <w:rFonts w:hint="default"/>
          <w:highlight w:val="none"/>
          <w:lang w:val="en-US" w:eastAsia="zh-CN"/>
        </w:rPr>
        <w:t>生物量计算 W=木材蓄积量×比重</w:t>
      </w:r>
      <w:r>
        <w:rPr>
          <w:rFonts w:hint="eastAsia"/>
          <w:highlight w:val="none"/>
          <w:lang w:val="en-US" w:eastAsia="zh-CN"/>
        </w:rPr>
        <w:t xml:space="preserve"> </w:t>
      </w:r>
      <w:r>
        <w:rPr>
          <w:rFonts w:hint="default"/>
          <w:highlight w:val="none"/>
          <w:lang w:val="en-US" w:eastAsia="zh-CN"/>
        </w:rPr>
        <w:t>其中：W——乔木层生物量(kg/hm</w:t>
      </w:r>
      <w:r>
        <w:rPr>
          <w:rFonts w:hint="default"/>
          <w:highlight w:val="none"/>
          <w:vertAlign w:val="superscript"/>
          <w:lang w:val="en-US" w:eastAsia="zh-CN"/>
        </w:rPr>
        <w:t>2</w:t>
      </w:r>
      <w:r>
        <w:rPr>
          <w:rFonts w:hint="default"/>
          <w:highlight w:val="none"/>
          <w:lang w:val="en-US" w:eastAsia="zh-CN"/>
        </w:rPr>
        <w:t>) 比重——木材密度(kg/m</w:t>
      </w:r>
      <w:r>
        <w:rPr>
          <w:rFonts w:hint="default"/>
          <w:highlight w:val="none"/>
          <w:vertAlign w:val="superscript"/>
          <w:lang w:val="en-US" w:eastAsia="zh-CN"/>
        </w:rPr>
        <w:t>3</w:t>
      </w:r>
      <w:r>
        <w:rPr>
          <w:rFonts w:hint="default"/>
          <w:highlight w:val="none"/>
          <w:lang w:val="en-US" w:eastAsia="zh-CN"/>
        </w:rPr>
        <w:t>)与4°C下水密度之比H—林分平均高(m)</w:t>
      </w:r>
    </w:p>
    <w:p w14:paraId="27C78295">
      <w:pPr>
        <w:bidi w:val="0"/>
        <w:rPr>
          <w:rFonts w:hint="default"/>
          <w:highlight w:val="none"/>
          <w:lang w:val="en-US" w:eastAsia="zh-CN"/>
        </w:rPr>
      </w:pPr>
      <w:r>
        <w:rPr>
          <w:rFonts w:hint="default"/>
          <w:highlight w:val="none"/>
          <w:lang w:val="en-US" w:eastAsia="zh-CN"/>
        </w:rPr>
        <w:t>A 、B 、C——西南地区材积表中常数值D——树种胸径(cm)</w:t>
      </w:r>
    </w:p>
    <w:p w14:paraId="133D81D4">
      <w:pPr>
        <w:bidi w:val="0"/>
        <w:rPr>
          <w:rFonts w:hint="default"/>
          <w:highlight w:val="none"/>
          <w:lang w:val="en-US" w:eastAsia="zh-CN"/>
        </w:rPr>
      </w:pPr>
      <w:r>
        <w:rPr>
          <w:rFonts w:hint="default"/>
          <w:highlight w:val="none"/>
          <w:lang w:val="en-US" w:eastAsia="zh-CN"/>
        </w:rPr>
        <w:t>2、灌木层、草本层 根据《生态影响评价技术》(中国环境出版社，2017)的经验公式</w:t>
      </w:r>
      <w:r>
        <w:rPr>
          <w:rFonts w:hint="eastAsia"/>
          <w:highlight w:val="none"/>
          <w:lang w:val="en-US" w:eastAsia="zh-CN"/>
        </w:rPr>
        <w:t>：</w:t>
      </w:r>
      <w:r>
        <w:rPr>
          <w:rFonts w:hint="default"/>
          <w:highlight w:val="none"/>
          <w:lang w:val="en-US" w:eastAsia="zh-CN"/>
        </w:rPr>
        <w:t>W= 11.28071(HC)1.471231</w:t>
      </w:r>
    </w:p>
    <w:p w14:paraId="12AAF983">
      <w:pPr>
        <w:bidi w:val="0"/>
        <w:rPr>
          <w:rFonts w:hint="default"/>
          <w:highlight w:val="none"/>
          <w:lang w:val="en-US" w:eastAsia="zh-CN"/>
        </w:rPr>
      </w:pPr>
      <w:r>
        <w:rPr>
          <w:rFonts w:hint="default"/>
          <w:highlight w:val="none"/>
          <w:lang w:val="en-US" w:eastAsia="zh-CN"/>
        </w:rPr>
        <w:t>式中：W为生物量(t/hm</w:t>
      </w:r>
      <w:r>
        <w:rPr>
          <w:rFonts w:hint="default"/>
          <w:highlight w:val="none"/>
          <w:vertAlign w:val="superscript"/>
          <w:lang w:val="en-US" w:eastAsia="zh-CN"/>
        </w:rPr>
        <w:t>2</w:t>
      </w:r>
      <w:r>
        <w:rPr>
          <w:rFonts w:hint="default"/>
          <w:highlight w:val="none"/>
          <w:lang w:val="en-US" w:eastAsia="zh-CN"/>
        </w:rPr>
        <w:t>)；H为草本或灌木的平均高度(m)，C为植被的盖度。结合样地调查成果表，得出各样地生物量见下表。</w:t>
      </w:r>
    </w:p>
    <w:p w14:paraId="7DD27492">
      <w:pPr>
        <w:pStyle w:val="11"/>
        <w:bidi w:val="0"/>
        <w:ind w:left="0" w:leftChars="0" w:firstLine="0" w:firstLineChars="0"/>
        <w:rPr>
          <w:rFonts w:hint="eastAsia"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28</w:t>
      </w:r>
      <w:r>
        <w:rPr>
          <w:highlight w:val="none"/>
        </w:rPr>
        <w:fldChar w:fldCharType="end"/>
      </w:r>
      <w:r>
        <w:rPr>
          <w:rFonts w:hint="eastAsia"/>
          <w:highlight w:val="none"/>
          <w:lang w:val="en-US" w:eastAsia="zh-CN"/>
        </w:rPr>
        <w:t xml:space="preserve"> 各样方不同植被类型生物量</w:t>
      </w:r>
    </w:p>
    <w:tbl>
      <w:tblPr>
        <w:tblStyle w:val="24"/>
        <w:tblW w:w="8300" w:type="dxa"/>
        <w:tblInd w:w="1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1"/>
        <w:gridCol w:w="2426"/>
        <w:gridCol w:w="1902"/>
        <w:gridCol w:w="3281"/>
      </w:tblGrid>
      <w:tr w14:paraId="126D6A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11" w:hRule="atLeast"/>
        </w:trPr>
        <w:tc>
          <w:tcPr>
            <w:tcW w:w="691" w:type="dxa"/>
            <w:vAlign w:val="top"/>
          </w:tcPr>
          <w:p w14:paraId="27433D20">
            <w:pPr>
              <w:pStyle w:val="22"/>
              <w:bidi w:val="0"/>
              <w:rPr>
                <w:highlight w:val="none"/>
              </w:rPr>
            </w:pPr>
            <w:r>
              <w:rPr>
                <w:highlight w:val="none"/>
              </w:rPr>
              <w:t>方号</w:t>
            </w:r>
          </w:p>
        </w:tc>
        <w:tc>
          <w:tcPr>
            <w:tcW w:w="2426" w:type="dxa"/>
            <w:vAlign w:val="top"/>
          </w:tcPr>
          <w:p w14:paraId="24AF17BC">
            <w:pPr>
              <w:pStyle w:val="22"/>
              <w:bidi w:val="0"/>
              <w:rPr>
                <w:highlight w:val="none"/>
              </w:rPr>
            </w:pPr>
            <w:r>
              <w:rPr>
                <w:highlight w:val="none"/>
              </w:rPr>
              <w:t>群系</w:t>
            </w:r>
          </w:p>
        </w:tc>
        <w:tc>
          <w:tcPr>
            <w:tcW w:w="1902" w:type="dxa"/>
            <w:vAlign w:val="top"/>
          </w:tcPr>
          <w:p w14:paraId="68A69E7D">
            <w:pPr>
              <w:pStyle w:val="22"/>
              <w:bidi w:val="0"/>
              <w:rPr>
                <w:highlight w:val="none"/>
              </w:rPr>
            </w:pPr>
            <w:r>
              <w:rPr>
                <w:highlight w:val="none"/>
              </w:rPr>
              <w:t>单位面积生物 量(t/hm</w:t>
            </w:r>
            <w:r>
              <w:rPr>
                <w:highlight w:val="none"/>
                <w:vertAlign w:val="superscript"/>
              </w:rPr>
              <w:t>2</w:t>
            </w:r>
            <w:r>
              <w:rPr>
                <w:highlight w:val="none"/>
              </w:rPr>
              <w:t>)</w:t>
            </w:r>
          </w:p>
        </w:tc>
        <w:tc>
          <w:tcPr>
            <w:tcW w:w="3281" w:type="dxa"/>
            <w:vAlign w:val="top"/>
          </w:tcPr>
          <w:p w14:paraId="2A8E7120">
            <w:pPr>
              <w:pStyle w:val="22"/>
              <w:bidi w:val="0"/>
              <w:rPr>
                <w:highlight w:val="none"/>
              </w:rPr>
            </w:pPr>
            <w:r>
              <w:rPr>
                <w:highlight w:val="none"/>
              </w:rPr>
              <w:t>平均单位面积生物量(t/hm2)</w:t>
            </w:r>
          </w:p>
        </w:tc>
      </w:tr>
      <w:tr w14:paraId="4D9932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691" w:type="dxa"/>
            <w:vAlign w:val="top"/>
          </w:tcPr>
          <w:p w14:paraId="720FAA0F">
            <w:pPr>
              <w:pStyle w:val="22"/>
              <w:bidi w:val="0"/>
              <w:rPr>
                <w:highlight w:val="none"/>
              </w:rPr>
            </w:pPr>
            <w:r>
              <w:rPr>
                <w:highlight w:val="none"/>
              </w:rPr>
              <w:t>1</w:t>
            </w:r>
          </w:p>
        </w:tc>
        <w:tc>
          <w:tcPr>
            <w:tcW w:w="2426" w:type="dxa"/>
            <w:vAlign w:val="top"/>
          </w:tcPr>
          <w:p w14:paraId="79C1C412">
            <w:pPr>
              <w:pStyle w:val="22"/>
              <w:bidi w:val="0"/>
              <w:rPr>
                <w:highlight w:val="none"/>
              </w:rPr>
            </w:pPr>
            <w:r>
              <w:rPr>
                <w:highlight w:val="none"/>
              </w:rPr>
              <w:t>鳞皮冷杉群系</w:t>
            </w:r>
          </w:p>
        </w:tc>
        <w:tc>
          <w:tcPr>
            <w:tcW w:w="1902" w:type="dxa"/>
            <w:vAlign w:val="top"/>
          </w:tcPr>
          <w:p w14:paraId="564215DB">
            <w:pPr>
              <w:pStyle w:val="22"/>
              <w:bidi w:val="0"/>
              <w:rPr>
                <w:highlight w:val="none"/>
              </w:rPr>
            </w:pPr>
            <w:r>
              <w:rPr>
                <w:highlight w:val="none"/>
              </w:rPr>
              <w:t>102.91</w:t>
            </w:r>
          </w:p>
        </w:tc>
        <w:tc>
          <w:tcPr>
            <w:tcW w:w="3281" w:type="dxa"/>
            <w:vMerge w:val="restart"/>
            <w:tcBorders>
              <w:bottom w:val="nil"/>
            </w:tcBorders>
            <w:vAlign w:val="top"/>
          </w:tcPr>
          <w:p w14:paraId="6D2EA08D">
            <w:pPr>
              <w:pStyle w:val="22"/>
              <w:bidi w:val="0"/>
              <w:rPr>
                <w:highlight w:val="none"/>
              </w:rPr>
            </w:pPr>
            <w:r>
              <w:rPr>
                <w:highlight w:val="none"/>
              </w:rPr>
              <w:t>101.72</w:t>
            </w:r>
          </w:p>
        </w:tc>
      </w:tr>
      <w:tr w14:paraId="26E585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691" w:type="dxa"/>
            <w:vAlign w:val="top"/>
          </w:tcPr>
          <w:p w14:paraId="72320C36">
            <w:pPr>
              <w:pStyle w:val="22"/>
              <w:bidi w:val="0"/>
              <w:rPr>
                <w:highlight w:val="none"/>
              </w:rPr>
            </w:pPr>
            <w:r>
              <w:rPr>
                <w:highlight w:val="none"/>
              </w:rPr>
              <w:t>2</w:t>
            </w:r>
          </w:p>
        </w:tc>
        <w:tc>
          <w:tcPr>
            <w:tcW w:w="2426" w:type="dxa"/>
            <w:vAlign w:val="top"/>
          </w:tcPr>
          <w:p w14:paraId="77EA8FD9">
            <w:pPr>
              <w:pStyle w:val="22"/>
              <w:bidi w:val="0"/>
              <w:rPr>
                <w:highlight w:val="none"/>
              </w:rPr>
            </w:pPr>
            <w:r>
              <w:rPr>
                <w:highlight w:val="none"/>
              </w:rPr>
              <w:t>鳞皮冷杉群系</w:t>
            </w:r>
          </w:p>
        </w:tc>
        <w:tc>
          <w:tcPr>
            <w:tcW w:w="1902" w:type="dxa"/>
            <w:vAlign w:val="top"/>
          </w:tcPr>
          <w:p w14:paraId="0DF61A98">
            <w:pPr>
              <w:pStyle w:val="22"/>
              <w:bidi w:val="0"/>
              <w:rPr>
                <w:highlight w:val="none"/>
              </w:rPr>
            </w:pPr>
            <w:r>
              <w:rPr>
                <w:highlight w:val="none"/>
              </w:rPr>
              <w:t>100.06</w:t>
            </w:r>
          </w:p>
        </w:tc>
        <w:tc>
          <w:tcPr>
            <w:tcW w:w="3281" w:type="dxa"/>
            <w:vMerge w:val="continue"/>
            <w:tcBorders>
              <w:top w:val="nil"/>
              <w:bottom w:val="nil"/>
            </w:tcBorders>
            <w:vAlign w:val="top"/>
          </w:tcPr>
          <w:p w14:paraId="443FD66D">
            <w:pPr>
              <w:pStyle w:val="22"/>
              <w:bidi w:val="0"/>
              <w:rPr>
                <w:highlight w:val="none"/>
              </w:rPr>
            </w:pPr>
          </w:p>
        </w:tc>
      </w:tr>
      <w:tr w14:paraId="0C3170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691" w:type="dxa"/>
            <w:vAlign w:val="top"/>
          </w:tcPr>
          <w:p w14:paraId="78DB9935">
            <w:pPr>
              <w:pStyle w:val="22"/>
              <w:bidi w:val="0"/>
              <w:rPr>
                <w:highlight w:val="none"/>
              </w:rPr>
            </w:pPr>
            <w:r>
              <w:rPr>
                <w:highlight w:val="none"/>
              </w:rPr>
              <w:t>3</w:t>
            </w:r>
          </w:p>
        </w:tc>
        <w:tc>
          <w:tcPr>
            <w:tcW w:w="2426" w:type="dxa"/>
            <w:vAlign w:val="top"/>
          </w:tcPr>
          <w:p w14:paraId="3FE531F0">
            <w:pPr>
              <w:pStyle w:val="22"/>
              <w:bidi w:val="0"/>
              <w:rPr>
                <w:highlight w:val="none"/>
              </w:rPr>
            </w:pPr>
            <w:r>
              <w:rPr>
                <w:highlight w:val="none"/>
              </w:rPr>
              <w:t>鳞皮冷杉群系</w:t>
            </w:r>
          </w:p>
        </w:tc>
        <w:tc>
          <w:tcPr>
            <w:tcW w:w="1902" w:type="dxa"/>
            <w:vAlign w:val="top"/>
          </w:tcPr>
          <w:p w14:paraId="3586BD71">
            <w:pPr>
              <w:pStyle w:val="22"/>
              <w:bidi w:val="0"/>
              <w:rPr>
                <w:highlight w:val="none"/>
              </w:rPr>
            </w:pPr>
            <w:r>
              <w:rPr>
                <w:highlight w:val="none"/>
              </w:rPr>
              <w:t>102.18</w:t>
            </w:r>
          </w:p>
        </w:tc>
        <w:tc>
          <w:tcPr>
            <w:tcW w:w="3281" w:type="dxa"/>
            <w:vMerge w:val="continue"/>
            <w:tcBorders>
              <w:top w:val="nil"/>
            </w:tcBorders>
            <w:vAlign w:val="top"/>
          </w:tcPr>
          <w:p w14:paraId="1294AFA3">
            <w:pPr>
              <w:pStyle w:val="22"/>
              <w:bidi w:val="0"/>
              <w:rPr>
                <w:highlight w:val="none"/>
              </w:rPr>
            </w:pPr>
          </w:p>
        </w:tc>
      </w:tr>
      <w:tr w14:paraId="7C26EF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691" w:type="dxa"/>
            <w:vAlign w:val="top"/>
          </w:tcPr>
          <w:p w14:paraId="4EBFCD15">
            <w:pPr>
              <w:pStyle w:val="22"/>
              <w:bidi w:val="0"/>
              <w:rPr>
                <w:highlight w:val="none"/>
              </w:rPr>
            </w:pPr>
            <w:r>
              <w:rPr>
                <w:highlight w:val="none"/>
              </w:rPr>
              <w:t>4</w:t>
            </w:r>
          </w:p>
        </w:tc>
        <w:tc>
          <w:tcPr>
            <w:tcW w:w="2426" w:type="dxa"/>
            <w:vAlign w:val="top"/>
          </w:tcPr>
          <w:p w14:paraId="6195C93B">
            <w:pPr>
              <w:pStyle w:val="22"/>
              <w:bidi w:val="0"/>
              <w:rPr>
                <w:highlight w:val="none"/>
              </w:rPr>
            </w:pPr>
            <w:r>
              <w:rPr>
                <w:highlight w:val="none"/>
              </w:rPr>
              <w:t>高山松群系</w:t>
            </w:r>
          </w:p>
        </w:tc>
        <w:tc>
          <w:tcPr>
            <w:tcW w:w="1902" w:type="dxa"/>
            <w:vAlign w:val="top"/>
          </w:tcPr>
          <w:p w14:paraId="5A6BADAF">
            <w:pPr>
              <w:pStyle w:val="22"/>
              <w:bidi w:val="0"/>
              <w:rPr>
                <w:highlight w:val="none"/>
              </w:rPr>
            </w:pPr>
            <w:r>
              <w:rPr>
                <w:highlight w:val="none"/>
              </w:rPr>
              <w:t>97.14</w:t>
            </w:r>
          </w:p>
        </w:tc>
        <w:tc>
          <w:tcPr>
            <w:tcW w:w="3281" w:type="dxa"/>
            <w:vMerge w:val="restart"/>
            <w:tcBorders>
              <w:bottom w:val="nil"/>
            </w:tcBorders>
            <w:vAlign w:val="top"/>
          </w:tcPr>
          <w:p w14:paraId="56D9AC23">
            <w:pPr>
              <w:pStyle w:val="22"/>
              <w:bidi w:val="0"/>
              <w:rPr>
                <w:highlight w:val="none"/>
              </w:rPr>
            </w:pPr>
            <w:r>
              <w:rPr>
                <w:highlight w:val="none"/>
              </w:rPr>
              <w:t>101.53</w:t>
            </w:r>
          </w:p>
        </w:tc>
      </w:tr>
      <w:tr w14:paraId="65E76D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2" w:hRule="atLeast"/>
        </w:trPr>
        <w:tc>
          <w:tcPr>
            <w:tcW w:w="691" w:type="dxa"/>
            <w:vAlign w:val="top"/>
          </w:tcPr>
          <w:p w14:paraId="1490D513">
            <w:pPr>
              <w:pStyle w:val="22"/>
              <w:bidi w:val="0"/>
              <w:rPr>
                <w:highlight w:val="none"/>
              </w:rPr>
            </w:pPr>
            <w:r>
              <w:rPr>
                <w:highlight w:val="none"/>
              </w:rPr>
              <w:t>5</w:t>
            </w:r>
          </w:p>
        </w:tc>
        <w:tc>
          <w:tcPr>
            <w:tcW w:w="2426" w:type="dxa"/>
            <w:vAlign w:val="top"/>
          </w:tcPr>
          <w:p w14:paraId="503C65CC">
            <w:pPr>
              <w:pStyle w:val="22"/>
              <w:bidi w:val="0"/>
              <w:rPr>
                <w:highlight w:val="none"/>
              </w:rPr>
            </w:pPr>
            <w:r>
              <w:rPr>
                <w:highlight w:val="none"/>
              </w:rPr>
              <w:t>高山松群系</w:t>
            </w:r>
          </w:p>
        </w:tc>
        <w:tc>
          <w:tcPr>
            <w:tcW w:w="1902" w:type="dxa"/>
            <w:vAlign w:val="top"/>
          </w:tcPr>
          <w:p w14:paraId="545C791A">
            <w:pPr>
              <w:pStyle w:val="22"/>
              <w:bidi w:val="0"/>
              <w:rPr>
                <w:highlight w:val="none"/>
              </w:rPr>
            </w:pPr>
            <w:r>
              <w:rPr>
                <w:highlight w:val="none"/>
              </w:rPr>
              <w:t>107.06</w:t>
            </w:r>
          </w:p>
        </w:tc>
        <w:tc>
          <w:tcPr>
            <w:tcW w:w="3281" w:type="dxa"/>
            <w:vMerge w:val="continue"/>
            <w:tcBorders>
              <w:top w:val="nil"/>
              <w:bottom w:val="nil"/>
            </w:tcBorders>
            <w:vAlign w:val="top"/>
          </w:tcPr>
          <w:p w14:paraId="4AE0247B">
            <w:pPr>
              <w:pStyle w:val="22"/>
              <w:bidi w:val="0"/>
              <w:rPr>
                <w:highlight w:val="none"/>
              </w:rPr>
            </w:pPr>
          </w:p>
        </w:tc>
      </w:tr>
      <w:tr w14:paraId="02EBD1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691" w:type="dxa"/>
            <w:vAlign w:val="top"/>
          </w:tcPr>
          <w:p w14:paraId="1ADB3EEC">
            <w:pPr>
              <w:pStyle w:val="22"/>
              <w:bidi w:val="0"/>
              <w:rPr>
                <w:highlight w:val="none"/>
              </w:rPr>
            </w:pPr>
            <w:r>
              <w:rPr>
                <w:highlight w:val="none"/>
              </w:rPr>
              <w:t>6</w:t>
            </w:r>
          </w:p>
        </w:tc>
        <w:tc>
          <w:tcPr>
            <w:tcW w:w="2426" w:type="dxa"/>
            <w:vAlign w:val="top"/>
          </w:tcPr>
          <w:p w14:paraId="0D209781">
            <w:pPr>
              <w:pStyle w:val="22"/>
              <w:bidi w:val="0"/>
              <w:rPr>
                <w:highlight w:val="none"/>
              </w:rPr>
            </w:pPr>
            <w:r>
              <w:rPr>
                <w:highlight w:val="none"/>
              </w:rPr>
              <w:t>高山松群系</w:t>
            </w:r>
          </w:p>
        </w:tc>
        <w:tc>
          <w:tcPr>
            <w:tcW w:w="1902" w:type="dxa"/>
            <w:vAlign w:val="top"/>
          </w:tcPr>
          <w:p w14:paraId="2FB05612">
            <w:pPr>
              <w:pStyle w:val="22"/>
              <w:bidi w:val="0"/>
              <w:rPr>
                <w:highlight w:val="none"/>
              </w:rPr>
            </w:pPr>
            <w:r>
              <w:rPr>
                <w:highlight w:val="none"/>
              </w:rPr>
              <w:t>100.39</w:t>
            </w:r>
          </w:p>
        </w:tc>
        <w:tc>
          <w:tcPr>
            <w:tcW w:w="3281" w:type="dxa"/>
            <w:vMerge w:val="continue"/>
            <w:tcBorders>
              <w:top w:val="nil"/>
            </w:tcBorders>
            <w:vAlign w:val="top"/>
          </w:tcPr>
          <w:p w14:paraId="051ACFE4">
            <w:pPr>
              <w:pStyle w:val="22"/>
              <w:bidi w:val="0"/>
              <w:rPr>
                <w:highlight w:val="none"/>
              </w:rPr>
            </w:pPr>
          </w:p>
        </w:tc>
      </w:tr>
      <w:tr w14:paraId="5D5C91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4D2BBAB0">
            <w:pPr>
              <w:pStyle w:val="22"/>
              <w:bidi w:val="0"/>
              <w:rPr>
                <w:highlight w:val="none"/>
              </w:rPr>
            </w:pPr>
            <w:r>
              <w:rPr>
                <w:highlight w:val="none"/>
              </w:rPr>
              <w:t>7</w:t>
            </w:r>
          </w:p>
        </w:tc>
        <w:tc>
          <w:tcPr>
            <w:tcW w:w="2426" w:type="dxa"/>
            <w:vAlign w:val="top"/>
          </w:tcPr>
          <w:p w14:paraId="0534F0D4">
            <w:pPr>
              <w:pStyle w:val="22"/>
              <w:bidi w:val="0"/>
              <w:rPr>
                <w:rFonts w:hint="eastAsia" w:eastAsiaTheme="minorEastAsia"/>
                <w:highlight w:val="none"/>
                <w:lang w:val="en-US" w:eastAsia="zh-CN"/>
              </w:rPr>
            </w:pPr>
            <w:r>
              <w:rPr>
                <w:highlight w:val="none"/>
              </w:rPr>
              <w:t>高山松和鳞皮冷杉群</w:t>
            </w:r>
            <w:r>
              <w:rPr>
                <w:rFonts w:hint="eastAsia"/>
                <w:highlight w:val="none"/>
                <w:lang w:val="en-US" w:eastAsia="zh-CN"/>
              </w:rPr>
              <w:t>系</w:t>
            </w:r>
          </w:p>
        </w:tc>
        <w:tc>
          <w:tcPr>
            <w:tcW w:w="1902" w:type="dxa"/>
            <w:vAlign w:val="top"/>
          </w:tcPr>
          <w:p w14:paraId="24765008">
            <w:pPr>
              <w:pStyle w:val="22"/>
              <w:bidi w:val="0"/>
              <w:rPr>
                <w:highlight w:val="none"/>
              </w:rPr>
            </w:pPr>
            <w:r>
              <w:rPr>
                <w:highlight w:val="none"/>
              </w:rPr>
              <w:t>67.41</w:t>
            </w:r>
          </w:p>
        </w:tc>
        <w:tc>
          <w:tcPr>
            <w:tcW w:w="3281" w:type="dxa"/>
            <w:vMerge w:val="restart"/>
            <w:vAlign w:val="top"/>
          </w:tcPr>
          <w:p w14:paraId="30478ADC">
            <w:pPr>
              <w:pStyle w:val="22"/>
              <w:bidi w:val="0"/>
              <w:rPr>
                <w:highlight w:val="none"/>
              </w:rPr>
            </w:pPr>
            <w:r>
              <w:rPr>
                <w:rFonts w:hint="eastAsia"/>
                <w:highlight w:val="none"/>
              </w:rPr>
              <w:t>60.09</w:t>
            </w:r>
            <w:r>
              <w:rPr>
                <w:highlight w:val="none"/>
              </w:rPr>
              <mc:AlternateContent>
                <mc:Choice Requires="wps">
                  <w:drawing>
                    <wp:anchor distT="0" distB="0" distL="114300" distR="114300" simplePos="0" relativeHeight="251668480" behindDoc="0" locked="0" layoutInCell="1" allowOverlap="1">
                      <wp:simplePos x="0" y="0"/>
                      <wp:positionH relativeFrom="rightMargin">
                        <wp:posOffset>-1178560</wp:posOffset>
                      </wp:positionH>
                      <wp:positionV relativeFrom="topMargin">
                        <wp:posOffset>106045</wp:posOffset>
                      </wp:positionV>
                      <wp:extent cx="10795" cy="10795"/>
                      <wp:effectExtent l="0" t="0" r="8255" b="3175"/>
                      <wp:wrapNone/>
                      <wp:docPr id="10" name="矩形 10"/>
                      <wp:cNvGraphicFramePr/>
                      <a:graphic xmlns:a="http://schemas.openxmlformats.org/drawingml/2006/main">
                        <a:graphicData uri="http://schemas.microsoft.com/office/word/2010/wordprocessingShape">
                          <wps:wsp>
                            <wps:cNvSpPr/>
                            <wps:spPr>
                              <a:xfrm>
                                <a:off x="0" y="0"/>
                                <a:ext cx="10795" cy="10795"/>
                              </a:xfrm>
                              <a:prstGeom prst="rect">
                                <a:avLst/>
                              </a:prstGeom>
                              <a:solidFill>
                                <a:srgbClr val="000000">
                                  <a:alpha val="22745"/>
                                </a:srgbClr>
                              </a:solidFill>
                              <a:ln>
                                <a:noFill/>
                              </a:ln>
                            </wps:spPr>
                            <wps:bodyPr upright="1"/>
                          </wps:wsp>
                        </a:graphicData>
                      </a:graphic>
                    </wp:anchor>
                  </w:drawing>
                </mc:Choice>
                <mc:Fallback>
                  <w:pict>
                    <v:rect id="_x0000_s1026" o:spid="_x0000_s1026" o:spt="1" style="position:absolute;left:0pt;margin-left:71.15pt;margin-top:8.6pt;height:0.85pt;width:0.85pt;mso-position-horizontal-relative:page;mso-position-vertical-relative:page;z-index:251668480;mso-width-relative:page;mso-height-relative:page;" fillcolor="#000000" filled="t" stroked="f" coordsize="21600,21600" o:gfxdata="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AUh7toAAAALAQAADwAAAAAAAAABACAAAAAiAAAAZHJzL2Rvd25yZXYueG1sUEsB&#10;AhQAFAAAAAgAh07iQIdzgte6AQAAfwMAAA4AAAAAAAAAAQAgAAAAKQEAAGRycy9lMm9Eb2MueG1s&#10;UEsFBgAAAAAGAAYAWQEAAFUFAAAAAA==&#10;">
                      <v:fill on="t" opacity="14906f" focussize="0,0"/>
                      <v:stroke on="f"/>
                      <v:imagedata o:title=""/>
                      <o:lock v:ext="edit" aspectratio="f"/>
                    </v:rect>
                  </w:pict>
                </mc:Fallback>
              </mc:AlternateContent>
            </w:r>
          </w:p>
        </w:tc>
      </w:tr>
      <w:tr w14:paraId="001D7D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626A7543">
            <w:pPr>
              <w:pStyle w:val="25"/>
              <w:bidi w:val="0"/>
              <w:rPr>
                <w:highlight w:val="none"/>
              </w:rPr>
            </w:pPr>
            <w:r>
              <w:rPr>
                <w:highlight w:val="none"/>
              </w:rPr>
              <w:t>8</w:t>
            </w:r>
          </w:p>
        </w:tc>
        <w:tc>
          <w:tcPr>
            <w:tcW w:w="2426" w:type="dxa"/>
            <w:vAlign w:val="top"/>
          </w:tcPr>
          <w:p w14:paraId="19B79CE8">
            <w:pPr>
              <w:pStyle w:val="25"/>
              <w:bidi w:val="0"/>
              <w:rPr>
                <w:highlight w:val="none"/>
              </w:rPr>
            </w:pPr>
            <w:r>
              <w:rPr>
                <w:highlight w:val="none"/>
              </w:rPr>
              <w:t>高山松和鳞皮冷杉群</w:t>
            </w:r>
          </w:p>
          <w:p w14:paraId="715EC6B6">
            <w:pPr>
              <w:pStyle w:val="25"/>
              <w:bidi w:val="0"/>
              <w:rPr>
                <w:highlight w:val="none"/>
              </w:rPr>
            </w:pPr>
            <w:r>
              <w:rPr>
                <w:highlight w:val="none"/>
              </w:rPr>
              <w:t>系</w:t>
            </w:r>
          </w:p>
        </w:tc>
        <w:tc>
          <w:tcPr>
            <w:tcW w:w="1902" w:type="dxa"/>
            <w:vAlign w:val="top"/>
          </w:tcPr>
          <w:p w14:paraId="11B5985C">
            <w:pPr>
              <w:pStyle w:val="25"/>
              <w:bidi w:val="0"/>
              <w:rPr>
                <w:highlight w:val="none"/>
              </w:rPr>
            </w:pPr>
            <w:r>
              <w:rPr>
                <w:highlight w:val="none"/>
              </w:rPr>
              <w:t>62.55</w:t>
            </w:r>
          </w:p>
        </w:tc>
        <w:tc>
          <w:tcPr>
            <w:tcW w:w="3281" w:type="dxa"/>
            <w:vMerge w:val="continue"/>
            <w:vAlign w:val="top"/>
          </w:tcPr>
          <w:p w14:paraId="60496975">
            <w:pPr>
              <w:pStyle w:val="22"/>
              <w:bidi w:val="0"/>
              <w:rPr>
                <w:highlight w:val="none"/>
              </w:rPr>
            </w:pPr>
          </w:p>
        </w:tc>
      </w:tr>
      <w:tr w14:paraId="6E4471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63BE32D6">
            <w:pPr>
              <w:pStyle w:val="25"/>
              <w:bidi w:val="0"/>
              <w:rPr>
                <w:highlight w:val="none"/>
              </w:rPr>
            </w:pPr>
            <w:r>
              <w:rPr>
                <w:highlight w:val="none"/>
              </w:rPr>
              <w:t>9</w:t>
            </w:r>
          </w:p>
        </w:tc>
        <w:tc>
          <w:tcPr>
            <w:tcW w:w="2426" w:type="dxa"/>
            <w:vAlign w:val="top"/>
          </w:tcPr>
          <w:p w14:paraId="02481BB2">
            <w:pPr>
              <w:pStyle w:val="25"/>
              <w:bidi w:val="0"/>
              <w:rPr>
                <w:highlight w:val="none"/>
              </w:rPr>
            </w:pPr>
            <w:r>
              <w:rPr>
                <w:highlight w:val="none"/>
              </w:rPr>
              <w:t>高山松和鳞皮冷杉群</w:t>
            </w:r>
          </w:p>
          <w:p w14:paraId="716B2EEB">
            <w:pPr>
              <w:pStyle w:val="25"/>
              <w:bidi w:val="0"/>
              <w:rPr>
                <w:highlight w:val="none"/>
              </w:rPr>
            </w:pPr>
            <w:r>
              <w:rPr>
                <w:highlight w:val="none"/>
              </w:rPr>
              <w:t>系</w:t>
            </w:r>
          </w:p>
        </w:tc>
        <w:tc>
          <w:tcPr>
            <w:tcW w:w="1902" w:type="dxa"/>
            <w:vAlign w:val="top"/>
          </w:tcPr>
          <w:p w14:paraId="1C316602">
            <w:pPr>
              <w:pStyle w:val="25"/>
              <w:bidi w:val="0"/>
              <w:rPr>
                <w:highlight w:val="none"/>
              </w:rPr>
            </w:pPr>
            <w:r>
              <w:rPr>
                <w:highlight w:val="none"/>
              </w:rPr>
              <mc:AlternateContent>
                <mc:Choice Requires="wps">
                  <w:drawing>
                    <wp:anchor distT="0" distB="0" distL="114300" distR="114300" simplePos="0" relativeHeight="251669504" behindDoc="0" locked="0" layoutInCell="1" allowOverlap="1">
                      <wp:simplePos x="0" y="0"/>
                      <wp:positionH relativeFrom="rightMargin">
                        <wp:posOffset>-474980</wp:posOffset>
                      </wp:positionH>
                      <wp:positionV relativeFrom="topMargin">
                        <wp:posOffset>371475</wp:posOffset>
                      </wp:positionV>
                      <wp:extent cx="10795" cy="10795"/>
                      <wp:effectExtent l="0" t="0" r="8255" b="3175"/>
                      <wp:wrapNone/>
                      <wp:docPr id="30" name="矩形 30"/>
                      <wp:cNvGraphicFramePr/>
                      <a:graphic xmlns:a="http://schemas.openxmlformats.org/drawingml/2006/main">
                        <a:graphicData uri="http://schemas.microsoft.com/office/word/2010/wordprocessingShape">
                          <wps:wsp>
                            <wps:cNvSpPr/>
                            <wps:spPr>
                              <a:xfrm>
                                <a:off x="0" y="0"/>
                                <a:ext cx="10795" cy="10795"/>
                              </a:xfrm>
                              <a:prstGeom prst="rect">
                                <a:avLst/>
                              </a:prstGeom>
                              <a:solidFill>
                                <a:srgbClr val="000000">
                                  <a:alpha val="22745"/>
                                </a:srgbClr>
                              </a:solidFill>
                              <a:ln>
                                <a:noFill/>
                              </a:ln>
                            </wps:spPr>
                            <wps:bodyPr upright="1"/>
                          </wps:wsp>
                        </a:graphicData>
                      </a:graphic>
                    </wp:anchor>
                  </w:drawing>
                </mc:Choice>
                <mc:Fallback>
                  <w:pict>
                    <v:rect id="_x0000_s1026" o:spid="_x0000_s1026" o:spt="1" style="position:absolute;left:0pt;margin-left:57.6pt;margin-top:29.5pt;height:0.85pt;width:0.85pt;mso-position-horizontal-relative:page;mso-position-vertical-relative:page;z-index:251669504;mso-width-relative:page;mso-height-relative:page;" fillcolor="#000000" filled="t" stroked="f" coordsize="21600,21600" o:gfxdata="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B5cXX2QAAAAkBAAAPAAAAAAAAAAEAIAAAACIAAABkcnMvZG93bnJldi54bWxQSwEC&#10;FAAUAAAACACHTuJA9Uq9RroBAAB/AwAADgAAAAAAAAABACAAAAAoAQAAZHJzL2Uyb0RvYy54bWxQ&#10;SwUGAAAAAAYABgBZAQAAVAUAAAAA&#10;">
                      <v:fill on="t" opacity="14906f" focussize="0,0"/>
                      <v:stroke on="f"/>
                      <v:imagedata o:title=""/>
                      <o:lock v:ext="edit" aspectratio="f"/>
                    </v:rect>
                  </w:pict>
                </mc:Fallback>
              </mc:AlternateContent>
            </w:r>
            <w:r>
              <w:rPr>
                <w:highlight w:val="none"/>
              </w:rPr>
              <w:t>50.32</w:t>
            </w:r>
          </w:p>
        </w:tc>
        <w:tc>
          <w:tcPr>
            <w:tcW w:w="3281" w:type="dxa"/>
            <w:vMerge w:val="continue"/>
            <w:vAlign w:val="top"/>
          </w:tcPr>
          <w:p w14:paraId="0047C435">
            <w:pPr>
              <w:pStyle w:val="22"/>
              <w:bidi w:val="0"/>
              <w:rPr>
                <w:highlight w:val="none"/>
              </w:rPr>
            </w:pPr>
          </w:p>
        </w:tc>
      </w:tr>
      <w:tr w14:paraId="0A746A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0B89C7F9">
            <w:pPr>
              <w:pStyle w:val="25"/>
              <w:bidi w:val="0"/>
              <w:rPr>
                <w:highlight w:val="none"/>
              </w:rPr>
            </w:pPr>
            <w:r>
              <w:rPr>
                <w:highlight w:val="none"/>
              </w:rPr>
              <w:t>10</w:t>
            </w:r>
          </w:p>
        </w:tc>
        <w:tc>
          <w:tcPr>
            <w:tcW w:w="2426" w:type="dxa"/>
            <w:vAlign w:val="top"/>
          </w:tcPr>
          <w:p w14:paraId="2B909C3D">
            <w:pPr>
              <w:pStyle w:val="25"/>
              <w:bidi w:val="0"/>
              <w:rPr>
                <w:highlight w:val="none"/>
              </w:rPr>
            </w:pPr>
            <w:r>
              <w:rPr>
                <w:highlight w:val="none"/>
              </w:rPr>
              <w:t>长穗高山栎和高山松 群系</w:t>
            </w:r>
          </w:p>
        </w:tc>
        <w:tc>
          <w:tcPr>
            <w:tcW w:w="1902" w:type="dxa"/>
            <w:vAlign w:val="top"/>
          </w:tcPr>
          <w:p w14:paraId="4F521933">
            <w:pPr>
              <w:pStyle w:val="25"/>
              <w:bidi w:val="0"/>
              <w:rPr>
                <w:highlight w:val="none"/>
              </w:rPr>
            </w:pPr>
            <w:r>
              <w:rPr>
                <w:highlight w:val="none"/>
              </w:rPr>
              <w:t>102.14</w:t>
            </w:r>
          </w:p>
        </w:tc>
        <w:tc>
          <w:tcPr>
            <w:tcW w:w="3281" w:type="dxa"/>
            <w:vMerge w:val="restart"/>
            <w:vAlign w:val="top"/>
          </w:tcPr>
          <w:p w14:paraId="2CFE1F37">
            <w:pPr>
              <w:pStyle w:val="22"/>
              <w:bidi w:val="0"/>
              <w:rPr>
                <w:rFonts w:hint="default" w:eastAsiaTheme="minorEastAsia"/>
                <w:highlight w:val="none"/>
                <w:lang w:val="en-US" w:eastAsia="zh-CN"/>
              </w:rPr>
            </w:pPr>
            <w:r>
              <w:rPr>
                <w:rFonts w:hint="eastAsia"/>
                <w:highlight w:val="none"/>
                <w:lang w:val="en-US" w:eastAsia="zh-CN"/>
              </w:rPr>
              <w:t>98.60</w:t>
            </w:r>
          </w:p>
        </w:tc>
      </w:tr>
      <w:tr w14:paraId="36674D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74D2A848">
            <w:pPr>
              <w:pStyle w:val="25"/>
              <w:bidi w:val="0"/>
              <w:rPr>
                <w:highlight w:val="none"/>
              </w:rPr>
            </w:pPr>
            <w:r>
              <w:rPr>
                <w:highlight w:val="none"/>
              </w:rPr>
              <w:t>11</w:t>
            </w:r>
          </w:p>
        </w:tc>
        <w:tc>
          <w:tcPr>
            <w:tcW w:w="2426" w:type="dxa"/>
            <w:vAlign w:val="top"/>
          </w:tcPr>
          <w:p w14:paraId="7804ABEB">
            <w:pPr>
              <w:pStyle w:val="25"/>
              <w:bidi w:val="0"/>
              <w:rPr>
                <w:highlight w:val="none"/>
              </w:rPr>
            </w:pPr>
            <w:r>
              <w:rPr>
                <w:highlight w:val="none"/>
              </w:rPr>
              <w:t>长穗高山栎和高山松 群系</w:t>
            </w:r>
          </w:p>
        </w:tc>
        <w:tc>
          <w:tcPr>
            <w:tcW w:w="1902" w:type="dxa"/>
            <w:vAlign w:val="top"/>
          </w:tcPr>
          <w:p w14:paraId="2F7BA9CC">
            <w:pPr>
              <w:pStyle w:val="25"/>
              <w:bidi w:val="0"/>
              <w:rPr>
                <w:highlight w:val="none"/>
              </w:rPr>
            </w:pPr>
            <w:r>
              <w:rPr>
                <w:highlight w:val="none"/>
              </w:rPr>
              <w:t>99.02</w:t>
            </w:r>
          </w:p>
        </w:tc>
        <w:tc>
          <w:tcPr>
            <w:tcW w:w="3281" w:type="dxa"/>
            <w:vMerge w:val="continue"/>
            <w:vAlign w:val="top"/>
          </w:tcPr>
          <w:p w14:paraId="422D65E6">
            <w:pPr>
              <w:pStyle w:val="22"/>
              <w:bidi w:val="0"/>
              <w:rPr>
                <w:highlight w:val="none"/>
              </w:rPr>
            </w:pPr>
          </w:p>
        </w:tc>
      </w:tr>
      <w:tr w14:paraId="41442B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28D97538">
            <w:pPr>
              <w:pStyle w:val="25"/>
              <w:bidi w:val="0"/>
              <w:rPr>
                <w:highlight w:val="none"/>
              </w:rPr>
            </w:pPr>
            <w:r>
              <w:rPr>
                <w:highlight w:val="none"/>
              </w:rPr>
              <w:t>12</w:t>
            </w:r>
          </w:p>
        </w:tc>
        <w:tc>
          <w:tcPr>
            <w:tcW w:w="2426" w:type="dxa"/>
            <w:vAlign w:val="top"/>
          </w:tcPr>
          <w:p w14:paraId="0D01FBE9">
            <w:pPr>
              <w:pStyle w:val="25"/>
              <w:bidi w:val="0"/>
              <w:rPr>
                <w:highlight w:val="none"/>
              </w:rPr>
            </w:pPr>
            <w:r>
              <w:rPr>
                <w:highlight w:val="none"/>
              </w:rPr>
              <w:t>长穗高山栎和高山松 群系</w:t>
            </w:r>
          </w:p>
        </w:tc>
        <w:tc>
          <w:tcPr>
            <w:tcW w:w="1902" w:type="dxa"/>
            <w:vAlign w:val="top"/>
          </w:tcPr>
          <w:p w14:paraId="06062C53">
            <w:pPr>
              <w:pStyle w:val="25"/>
              <w:bidi w:val="0"/>
              <w:rPr>
                <w:highlight w:val="none"/>
              </w:rPr>
            </w:pPr>
            <w:r>
              <w:rPr>
                <w:highlight w:val="none"/>
              </w:rPr>
              <w:t>94.65</w:t>
            </w:r>
          </w:p>
        </w:tc>
        <w:tc>
          <w:tcPr>
            <w:tcW w:w="3281" w:type="dxa"/>
            <w:vMerge w:val="continue"/>
            <w:vAlign w:val="top"/>
          </w:tcPr>
          <w:p w14:paraId="214A14C1">
            <w:pPr>
              <w:pStyle w:val="22"/>
              <w:bidi w:val="0"/>
              <w:rPr>
                <w:highlight w:val="none"/>
              </w:rPr>
            </w:pPr>
          </w:p>
        </w:tc>
      </w:tr>
      <w:tr w14:paraId="1DA4EC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32CFEC10">
            <w:pPr>
              <w:pStyle w:val="25"/>
              <w:bidi w:val="0"/>
              <w:rPr>
                <w:highlight w:val="none"/>
              </w:rPr>
            </w:pPr>
            <w:r>
              <w:rPr>
                <w:highlight w:val="none"/>
              </w:rPr>
              <w:t>13</w:t>
            </w:r>
          </w:p>
        </w:tc>
        <w:tc>
          <w:tcPr>
            <w:tcW w:w="2426" w:type="dxa"/>
            <w:vAlign w:val="top"/>
          </w:tcPr>
          <w:p w14:paraId="5D310D50">
            <w:pPr>
              <w:pStyle w:val="25"/>
              <w:bidi w:val="0"/>
              <w:rPr>
                <w:highlight w:val="none"/>
              </w:rPr>
            </w:pPr>
            <w:r>
              <w:rPr>
                <w:highlight w:val="none"/>
              </w:rPr>
              <w:t>刺序木蓝群系</w:t>
            </w:r>
          </w:p>
        </w:tc>
        <w:tc>
          <w:tcPr>
            <w:tcW w:w="1902" w:type="dxa"/>
            <w:vAlign w:val="top"/>
          </w:tcPr>
          <w:p w14:paraId="69FA5A12">
            <w:pPr>
              <w:pStyle w:val="25"/>
              <w:bidi w:val="0"/>
              <w:rPr>
                <w:highlight w:val="none"/>
              </w:rPr>
            </w:pPr>
            <w:r>
              <w:rPr>
                <w:highlight w:val="none"/>
              </w:rPr>
              <w:t>115.54</w:t>
            </w:r>
          </w:p>
        </w:tc>
        <w:tc>
          <w:tcPr>
            <w:tcW w:w="3281" w:type="dxa"/>
            <w:vMerge w:val="restart"/>
            <w:vAlign w:val="top"/>
          </w:tcPr>
          <w:p w14:paraId="0B8EC450">
            <w:pPr>
              <w:pStyle w:val="22"/>
              <w:bidi w:val="0"/>
              <w:rPr>
                <w:highlight w:val="none"/>
              </w:rPr>
            </w:pPr>
            <w:r>
              <w:rPr>
                <w:rFonts w:ascii="Times New Roman" w:hAnsi="Times New Roman" w:eastAsia="Times New Roman" w:cs="Times New Roman"/>
                <w:spacing w:val="-5"/>
                <w:sz w:val="22"/>
                <w:szCs w:val="22"/>
                <w:highlight w:val="none"/>
              </w:rPr>
              <w:t>17.13</w:t>
            </w:r>
          </w:p>
        </w:tc>
      </w:tr>
      <w:tr w14:paraId="57ADD1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78994F56">
            <w:pPr>
              <w:pStyle w:val="25"/>
              <w:bidi w:val="0"/>
              <w:rPr>
                <w:highlight w:val="none"/>
              </w:rPr>
            </w:pPr>
            <w:r>
              <w:rPr>
                <w:highlight w:val="none"/>
              </w:rPr>
              <w:t>14</w:t>
            </w:r>
          </w:p>
        </w:tc>
        <w:tc>
          <w:tcPr>
            <w:tcW w:w="2426" w:type="dxa"/>
            <w:vAlign w:val="top"/>
          </w:tcPr>
          <w:p w14:paraId="22883304">
            <w:pPr>
              <w:pStyle w:val="25"/>
              <w:bidi w:val="0"/>
              <w:rPr>
                <w:highlight w:val="none"/>
              </w:rPr>
            </w:pPr>
            <w:r>
              <w:rPr>
                <w:highlight w:val="none"/>
              </w:rPr>
              <w:t>刺序木蓝群系</w:t>
            </w:r>
          </w:p>
        </w:tc>
        <w:tc>
          <w:tcPr>
            <w:tcW w:w="1902" w:type="dxa"/>
            <w:vAlign w:val="top"/>
          </w:tcPr>
          <w:p w14:paraId="0DAFF599">
            <w:pPr>
              <w:pStyle w:val="25"/>
              <w:bidi w:val="0"/>
              <w:rPr>
                <w:highlight w:val="none"/>
              </w:rPr>
            </w:pPr>
            <w:r>
              <w:rPr>
                <w:highlight w:val="none"/>
              </w:rPr>
              <w:t>107.36</w:t>
            </w:r>
          </w:p>
        </w:tc>
        <w:tc>
          <w:tcPr>
            <w:tcW w:w="3281" w:type="dxa"/>
            <w:vMerge w:val="continue"/>
            <w:vAlign w:val="top"/>
          </w:tcPr>
          <w:p w14:paraId="4B0453BA">
            <w:pPr>
              <w:pStyle w:val="22"/>
              <w:bidi w:val="0"/>
              <w:rPr>
                <w:highlight w:val="none"/>
              </w:rPr>
            </w:pPr>
          </w:p>
        </w:tc>
      </w:tr>
      <w:tr w14:paraId="7D35F3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667F52A3">
            <w:pPr>
              <w:pStyle w:val="25"/>
              <w:bidi w:val="0"/>
              <w:rPr>
                <w:highlight w:val="none"/>
              </w:rPr>
            </w:pPr>
            <w:r>
              <w:rPr>
                <w:highlight w:val="none"/>
              </w:rPr>
              <w:t>15</w:t>
            </w:r>
          </w:p>
        </w:tc>
        <w:tc>
          <w:tcPr>
            <w:tcW w:w="2426" w:type="dxa"/>
            <w:vAlign w:val="top"/>
          </w:tcPr>
          <w:p w14:paraId="3024D457">
            <w:pPr>
              <w:pStyle w:val="25"/>
              <w:bidi w:val="0"/>
              <w:rPr>
                <w:highlight w:val="none"/>
              </w:rPr>
            </w:pPr>
            <w:r>
              <w:rPr>
                <w:highlight w:val="none"/>
              </w:rPr>
              <w:t>刺序木蓝群系</w:t>
            </w:r>
          </w:p>
        </w:tc>
        <w:tc>
          <w:tcPr>
            <w:tcW w:w="1902" w:type="dxa"/>
            <w:vAlign w:val="top"/>
          </w:tcPr>
          <w:p w14:paraId="36E3FC48">
            <w:pPr>
              <w:pStyle w:val="25"/>
              <w:bidi w:val="0"/>
              <w:rPr>
                <w:highlight w:val="none"/>
              </w:rPr>
            </w:pPr>
            <w:r>
              <w:rPr>
                <w:highlight w:val="none"/>
              </w:rPr>
              <w:t>98.50</w:t>
            </w:r>
          </w:p>
        </w:tc>
        <w:tc>
          <w:tcPr>
            <w:tcW w:w="3281" w:type="dxa"/>
            <w:vMerge w:val="continue"/>
            <w:vAlign w:val="top"/>
          </w:tcPr>
          <w:p w14:paraId="6F61F582">
            <w:pPr>
              <w:pStyle w:val="22"/>
              <w:bidi w:val="0"/>
              <w:rPr>
                <w:highlight w:val="none"/>
              </w:rPr>
            </w:pPr>
          </w:p>
        </w:tc>
      </w:tr>
      <w:tr w14:paraId="6E9451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4" w:hRule="atLeast"/>
        </w:trPr>
        <w:tc>
          <w:tcPr>
            <w:tcW w:w="691" w:type="dxa"/>
            <w:vAlign w:val="top"/>
          </w:tcPr>
          <w:p w14:paraId="66E436E6">
            <w:pPr>
              <w:pStyle w:val="25"/>
              <w:bidi w:val="0"/>
              <w:rPr>
                <w:highlight w:val="none"/>
              </w:rPr>
            </w:pPr>
            <w:r>
              <w:rPr>
                <w:highlight w:val="none"/>
              </w:rPr>
              <w:t>16</w:t>
            </w:r>
          </w:p>
        </w:tc>
        <w:tc>
          <w:tcPr>
            <w:tcW w:w="2426" w:type="dxa"/>
            <w:vAlign w:val="top"/>
          </w:tcPr>
          <w:p w14:paraId="0470F627">
            <w:pPr>
              <w:pStyle w:val="25"/>
              <w:bidi w:val="0"/>
              <w:rPr>
                <w:highlight w:val="none"/>
              </w:rPr>
            </w:pPr>
            <w:r>
              <w:rPr>
                <w:highlight w:val="none"/>
              </w:rPr>
              <w:t>白刺花和小马鞍叶羊 蹄甲群系</w:t>
            </w:r>
          </w:p>
        </w:tc>
        <w:tc>
          <w:tcPr>
            <w:tcW w:w="1902" w:type="dxa"/>
            <w:vAlign w:val="top"/>
          </w:tcPr>
          <w:p w14:paraId="6612FFCC">
            <w:pPr>
              <w:pStyle w:val="25"/>
              <w:bidi w:val="0"/>
              <w:rPr>
                <w:highlight w:val="none"/>
              </w:rPr>
            </w:pPr>
            <w:r>
              <w:rPr>
                <w:highlight w:val="none"/>
              </w:rPr>
              <w:drawing>
                <wp:inline distT="0" distB="0" distL="0" distR="0">
                  <wp:extent cx="10160" cy="10160"/>
                  <wp:effectExtent l="0" t="0" r="8890" b="3810"/>
                  <wp:docPr id="36" name="IM 48"/>
                  <wp:cNvGraphicFramePr/>
                  <a:graphic xmlns:a="http://schemas.openxmlformats.org/drawingml/2006/main">
                    <a:graphicData uri="http://schemas.openxmlformats.org/drawingml/2006/picture">
                      <pic:pic xmlns:pic="http://schemas.openxmlformats.org/drawingml/2006/picture">
                        <pic:nvPicPr>
                          <pic:cNvPr id="36" name="IM 48"/>
                          <pic:cNvPicPr/>
                        </pic:nvPicPr>
                        <pic:blipFill>
                          <a:blip r:embed="rId29"/>
                          <a:stretch>
                            <a:fillRect/>
                          </a:stretch>
                        </pic:blipFill>
                        <pic:spPr>
                          <a:xfrm>
                            <a:off x="0" y="0"/>
                            <a:ext cx="10667" cy="10667"/>
                          </a:xfrm>
                          <a:prstGeom prst="rect">
                            <a:avLst/>
                          </a:prstGeom>
                        </pic:spPr>
                      </pic:pic>
                    </a:graphicData>
                  </a:graphic>
                </wp:inline>
              </w:drawing>
            </w:r>
            <w:r>
              <w:rPr>
                <w:highlight w:val="none"/>
              </w:rPr>
              <w:t>9.55</w:t>
            </w:r>
          </w:p>
        </w:tc>
        <w:tc>
          <w:tcPr>
            <w:tcW w:w="3281" w:type="dxa"/>
            <w:vMerge w:val="restart"/>
            <w:vAlign w:val="top"/>
          </w:tcPr>
          <w:p w14:paraId="2D64E52A">
            <w:pPr>
              <w:pStyle w:val="22"/>
              <w:bidi w:val="0"/>
              <w:rPr>
                <w:rFonts w:hint="default" w:eastAsiaTheme="minorEastAsia"/>
                <w:highlight w:val="none"/>
                <w:lang w:val="en-US" w:eastAsia="zh-CN"/>
              </w:rPr>
            </w:pPr>
            <w:r>
              <w:rPr>
                <w:rFonts w:hint="eastAsia"/>
                <w:highlight w:val="none"/>
                <w:lang w:val="en-US" w:eastAsia="zh-CN"/>
              </w:rPr>
              <w:t>8.90</w:t>
            </w:r>
          </w:p>
        </w:tc>
      </w:tr>
      <w:tr w14:paraId="379097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5E5CEA50">
            <w:pPr>
              <w:pStyle w:val="25"/>
              <w:bidi w:val="0"/>
              <w:rPr>
                <w:highlight w:val="none"/>
              </w:rPr>
            </w:pPr>
            <w:r>
              <w:rPr>
                <w:highlight w:val="none"/>
              </w:rPr>
              <w:t>17</w:t>
            </w:r>
          </w:p>
        </w:tc>
        <w:tc>
          <w:tcPr>
            <w:tcW w:w="2426" w:type="dxa"/>
            <w:vAlign w:val="top"/>
          </w:tcPr>
          <w:p w14:paraId="414FD7E4">
            <w:pPr>
              <w:pStyle w:val="25"/>
              <w:bidi w:val="0"/>
              <w:rPr>
                <w:highlight w:val="none"/>
              </w:rPr>
            </w:pPr>
            <w:r>
              <w:rPr>
                <w:highlight w:val="none"/>
              </w:rPr>
              <w:t>白刺花和小马鞍叶羊 蹄甲群系</w:t>
            </w:r>
          </w:p>
        </w:tc>
        <w:tc>
          <w:tcPr>
            <w:tcW w:w="1902" w:type="dxa"/>
            <w:vAlign w:val="top"/>
          </w:tcPr>
          <w:p w14:paraId="57035AA4">
            <w:pPr>
              <w:pStyle w:val="25"/>
              <w:bidi w:val="0"/>
              <w:rPr>
                <w:highlight w:val="none"/>
              </w:rPr>
            </w:pPr>
            <w:r>
              <w:rPr>
                <w:highlight w:val="none"/>
              </w:rPr>
              <w:drawing>
                <wp:inline distT="0" distB="0" distL="0" distR="0">
                  <wp:extent cx="10160" cy="10160"/>
                  <wp:effectExtent l="0" t="0" r="8890" b="3810"/>
                  <wp:docPr id="38" name="IM 54"/>
                  <wp:cNvGraphicFramePr/>
                  <a:graphic xmlns:a="http://schemas.openxmlformats.org/drawingml/2006/main">
                    <a:graphicData uri="http://schemas.openxmlformats.org/drawingml/2006/picture">
                      <pic:pic xmlns:pic="http://schemas.openxmlformats.org/drawingml/2006/picture">
                        <pic:nvPicPr>
                          <pic:cNvPr id="38" name="IM 54"/>
                          <pic:cNvPicPr/>
                        </pic:nvPicPr>
                        <pic:blipFill>
                          <a:blip r:embed="rId29"/>
                          <a:stretch>
                            <a:fillRect/>
                          </a:stretch>
                        </pic:blipFill>
                        <pic:spPr>
                          <a:xfrm>
                            <a:off x="0" y="0"/>
                            <a:ext cx="10667" cy="10667"/>
                          </a:xfrm>
                          <a:prstGeom prst="rect">
                            <a:avLst/>
                          </a:prstGeom>
                        </pic:spPr>
                      </pic:pic>
                    </a:graphicData>
                  </a:graphic>
                </wp:inline>
              </w:drawing>
            </w:r>
            <w:r>
              <w:rPr>
                <w:highlight w:val="none"/>
              </w:rPr>
              <w:t>9.05</w:t>
            </w:r>
          </w:p>
        </w:tc>
        <w:tc>
          <w:tcPr>
            <w:tcW w:w="3281" w:type="dxa"/>
            <w:vMerge w:val="continue"/>
            <w:vAlign w:val="top"/>
          </w:tcPr>
          <w:p w14:paraId="3662BF04">
            <w:pPr>
              <w:pStyle w:val="22"/>
              <w:bidi w:val="0"/>
              <w:rPr>
                <w:highlight w:val="none"/>
              </w:rPr>
            </w:pPr>
          </w:p>
        </w:tc>
      </w:tr>
      <w:tr w14:paraId="511269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243EEF99">
            <w:pPr>
              <w:pStyle w:val="25"/>
              <w:bidi w:val="0"/>
              <w:rPr>
                <w:highlight w:val="none"/>
              </w:rPr>
            </w:pPr>
            <w:r>
              <w:rPr>
                <w:highlight w:val="none"/>
              </w:rPr>
              <w:t>18</w:t>
            </w:r>
          </w:p>
        </w:tc>
        <w:tc>
          <w:tcPr>
            <w:tcW w:w="2426" w:type="dxa"/>
            <w:vAlign w:val="top"/>
          </w:tcPr>
          <w:p w14:paraId="1C80835E">
            <w:pPr>
              <w:pStyle w:val="25"/>
              <w:bidi w:val="0"/>
              <w:rPr>
                <w:highlight w:val="none"/>
              </w:rPr>
            </w:pPr>
            <w:r>
              <w:rPr>
                <w:highlight w:val="none"/>
              </w:rPr>
              <w:t>白刺花和小马鞍叶羊 蹄甲群系</w:t>
            </w:r>
          </w:p>
        </w:tc>
        <w:tc>
          <w:tcPr>
            <w:tcW w:w="1902" w:type="dxa"/>
            <w:vAlign w:val="top"/>
          </w:tcPr>
          <w:p w14:paraId="4AB111F4">
            <w:pPr>
              <w:pStyle w:val="25"/>
              <w:bidi w:val="0"/>
              <w:rPr>
                <w:highlight w:val="none"/>
              </w:rPr>
            </w:pPr>
            <w:r>
              <w:rPr>
                <w:highlight w:val="none"/>
              </w:rPr>
              <w:t>8.11</w:t>
            </w:r>
          </w:p>
        </w:tc>
        <w:tc>
          <w:tcPr>
            <w:tcW w:w="3281" w:type="dxa"/>
            <w:vMerge w:val="continue"/>
            <w:vAlign w:val="top"/>
          </w:tcPr>
          <w:p w14:paraId="78FC677E">
            <w:pPr>
              <w:pStyle w:val="22"/>
              <w:bidi w:val="0"/>
              <w:rPr>
                <w:highlight w:val="none"/>
              </w:rPr>
            </w:pPr>
          </w:p>
        </w:tc>
      </w:tr>
      <w:tr w14:paraId="15F1B6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447C0CB4">
            <w:pPr>
              <w:pStyle w:val="25"/>
              <w:bidi w:val="0"/>
              <w:rPr>
                <w:highlight w:val="none"/>
              </w:rPr>
            </w:pPr>
            <w:r>
              <w:rPr>
                <w:highlight w:val="none"/>
              </w:rPr>
              <w:t>19</w:t>
            </w:r>
          </w:p>
        </w:tc>
        <w:tc>
          <w:tcPr>
            <w:tcW w:w="2426" w:type="dxa"/>
            <w:vAlign w:val="top"/>
          </w:tcPr>
          <w:p w14:paraId="293301A2">
            <w:pPr>
              <w:pStyle w:val="25"/>
              <w:bidi w:val="0"/>
              <w:rPr>
                <w:highlight w:val="none"/>
              </w:rPr>
            </w:pPr>
            <w:r>
              <w:rPr>
                <w:highlight w:val="none"/>
              </w:rPr>
              <w:t>高丛珍珠梅群系</w:t>
            </w:r>
          </w:p>
        </w:tc>
        <w:tc>
          <w:tcPr>
            <w:tcW w:w="1902" w:type="dxa"/>
            <w:vAlign w:val="top"/>
          </w:tcPr>
          <w:p w14:paraId="6F394D02">
            <w:pPr>
              <w:pStyle w:val="25"/>
              <w:bidi w:val="0"/>
              <w:rPr>
                <w:highlight w:val="none"/>
              </w:rPr>
            </w:pPr>
            <w:r>
              <w:rPr>
                <w:highlight w:val="none"/>
              </w:rPr>
              <w:t>9.32</w:t>
            </w:r>
          </w:p>
        </w:tc>
        <w:tc>
          <w:tcPr>
            <w:tcW w:w="3281" w:type="dxa"/>
            <w:vMerge w:val="restart"/>
            <w:vAlign w:val="top"/>
          </w:tcPr>
          <w:p w14:paraId="641F7F9E">
            <w:pPr>
              <w:pStyle w:val="22"/>
              <w:bidi w:val="0"/>
              <w:rPr>
                <w:rFonts w:hint="default" w:eastAsiaTheme="minorEastAsia"/>
                <w:highlight w:val="none"/>
                <w:lang w:val="en-US" w:eastAsia="zh-CN"/>
              </w:rPr>
            </w:pPr>
            <w:r>
              <w:rPr>
                <w:rFonts w:hint="eastAsia"/>
                <w:highlight w:val="none"/>
                <w:lang w:val="en-US" w:eastAsia="zh-CN"/>
              </w:rPr>
              <w:t>9.18</w:t>
            </w:r>
          </w:p>
        </w:tc>
      </w:tr>
      <w:tr w14:paraId="3C6A3F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74C60A07">
            <w:pPr>
              <w:pStyle w:val="25"/>
              <w:bidi w:val="0"/>
              <w:rPr>
                <w:highlight w:val="none"/>
              </w:rPr>
            </w:pPr>
            <w:r>
              <w:rPr>
                <w:highlight w:val="none"/>
              </w:rPr>
              <w:t>20</w:t>
            </w:r>
          </w:p>
        </w:tc>
        <w:tc>
          <w:tcPr>
            <w:tcW w:w="2426" w:type="dxa"/>
            <w:vAlign w:val="top"/>
          </w:tcPr>
          <w:p w14:paraId="6159DAB7">
            <w:pPr>
              <w:pStyle w:val="25"/>
              <w:bidi w:val="0"/>
              <w:rPr>
                <w:highlight w:val="none"/>
              </w:rPr>
            </w:pPr>
            <w:r>
              <w:rPr>
                <w:highlight w:val="none"/>
              </w:rPr>
              <w:t>高丛珍珠梅群系</w:t>
            </w:r>
          </w:p>
        </w:tc>
        <w:tc>
          <w:tcPr>
            <w:tcW w:w="1902" w:type="dxa"/>
            <w:vAlign w:val="top"/>
          </w:tcPr>
          <w:p w14:paraId="69B024D9">
            <w:pPr>
              <w:pStyle w:val="25"/>
              <w:bidi w:val="0"/>
              <w:rPr>
                <w:highlight w:val="none"/>
              </w:rPr>
            </w:pPr>
            <w:r>
              <w:rPr>
                <w:highlight w:val="none"/>
              </w:rPr>
              <w:t>7.42</w:t>
            </w:r>
          </w:p>
        </w:tc>
        <w:tc>
          <w:tcPr>
            <w:tcW w:w="3281" w:type="dxa"/>
            <w:vMerge w:val="continue"/>
            <w:vAlign w:val="top"/>
          </w:tcPr>
          <w:p w14:paraId="50B6E96A">
            <w:pPr>
              <w:pStyle w:val="22"/>
              <w:bidi w:val="0"/>
              <w:rPr>
                <w:highlight w:val="none"/>
              </w:rPr>
            </w:pPr>
          </w:p>
        </w:tc>
      </w:tr>
      <w:tr w14:paraId="606BC4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91" w:type="dxa"/>
            <w:vAlign w:val="top"/>
          </w:tcPr>
          <w:p w14:paraId="2F93B85D">
            <w:pPr>
              <w:pStyle w:val="25"/>
              <w:bidi w:val="0"/>
              <w:rPr>
                <w:highlight w:val="none"/>
              </w:rPr>
            </w:pPr>
            <w:r>
              <w:rPr>
                <w:highlight w:val="none"/>
              </w:rPr>
              <w:t>21</w:t>
            </w:r>
          </w:p>
        </w:tc>
        <w:tc>
          <w:tcPr>
            <w:tcW w:w="2426" w:type="dxa"/>
            <w:vAlign w:val="top"/>
          </w:tcPr>
          <w:p w14:paraId="6CE91587">
            <w:pPr>
              <w:pStyle w:val="25"/>
              <w:bidi w:val="0"/>
              <w:rPr>
                <w:highlight w:val="none"/>
              </w:rPr>
            </w:pPr>
            <w:r>
              <w:rPr>
                <w:highlight w:val="none"/>
              </w:rPr>
              <w:t>高丛珍珠梅群系</w:t>
            </w:r>
          </w:p>
        </w:tc>
        <w:tc>
          <w:tcPr>
            <w:tcW w:w="1902" w:type="dxa"/>
            <w:vAlign w:val="top"/>
          </w:tcPr>
          <w:p w14:paraId="37BF7C91">
            <w:pPr>
              <w:pStyle w:val="25"/>
              <w:bidi w:val="0"/>
              <w:rPr>
                <w:highlight w:val="none"/>
              </w:rPr>
            </w:pPr>
            <w:r>
              <w:rPr>
                <w:highlight w:val="none"/>
              </w:rPr>
              <w:t>10.80</w:t>
            </w:r>
          </w:p>
        </w:tc>
        <w:tc>
          <w:tcPr>
            <w:tcW w:w="3281" w:type="dxa"/>
            <w:vMerge w:val="continue"/>
            <w:vAlign w:val="top"/>
          </w:tcPr>
          <w:p w14:paraId="530B6A49">
            <w:pPr>
              <w:pStyle w:val="22"/>
              <w:bidi w:val="0"/>
              <w:rPr>
                <w:highlight w:val="none"/>
              </w:rPr>
            </w:pPr>
          </w:p>
        </w:tc>
      </w:tr>
    </w:tbl>
    <w:p w14:paraId="46C681A3">
      <w:pPr>
        <w:bidi w:val="0"/>
        <w:rPr>
          <w:rFonts w:hint="default"/>
          <w:highlight w:val="none"/>
          <w:lang w:val="en-US" w:eastAsia="zh-CN"/>
        </w:rPr>
      </w:pPr>
      <w:r>
        <w:rPr>
          <w:rFonts w:hint="default"/>
          <w:highlight w:val="none"/>
          <w:lang w:val="en-US" w:eastAsia="zh-CN"/>
        </w:rPr>
        <w:t>根据计算，评价区的主要群系鳞皮冷杉群系、高山松群系、高山松和鳞皮 冷杉群系、长穗高山栎和高山松群系、刺序木蓝群系、白刺花和小马鞍叶羊蹄 甲群系、高丛珍珠梅群系的平均单位面积生物量为101.72 t/hm</w:t>
      </w:r>
      <w:r>
        <w:rPr>
          <w:rFonts w:hint="default"/>
          <w:highlight w:val="none"/>
          <w:vertAlign w:val="superscript"/>
          <w:lang w:val="en-US" w:eastAsia="zh-CN"/>
        </w:rPr>
        <w:t>2</w:t>
      </w:r>
      <w:r>
        <w:rPr>
          <w:rFonts w:hint="default"/>
          <w:highlight w:val="none"/>
          <w:lang w:val="en-US" w:eastAsia="zh-CN"/>
        </w:rPr>
        <w:t>、101.53 t/hm</w:t>
      </w:r>
      <w:r>
        <w:rPr>
          <w:rFonts w:hint="default"/>
          <w:highlight w:val="none"/>
          <w:vertAlign w:val="superscript"/>
          <w:lang w:val="en-US" w:eastAsia="zh-CN"/>
        </w:rPr>
        <w:t>2</w:t>
      </w:r>
      <w:r>
        <w:rPr>
          <w:rFonts w:hint="default"/>
          <w:highlight w:val="none"/>
          <w:lang w:val="en-US" w:eastAsia="zh-CN"/>
        </w:rPr>
        <w:t>、 60.09 t/hm</w:t>
      </w:r>
      <w:r>
        <w:rPr>
          <w:rFonts w:hint="default"/>
          <w:highlight w:val="none"/>
          <w:vertAlign w:val="superscript"/>
          <w:lang w:val="en-US" w:eastAsia="zh-CN"/>
        </w:rPr>
        <w:t>2</w:t>
      </w:r>
      <w:r>
        <w:rPr>
          <w:rFonts w:hint="default"/>
          <w:highlight w:val="none"/>
          <w:lang w:val="en-US" w:eastAsia="zh-CN"/>
        </w:rPr>
        <w:t xml:space="preserve"> 、98.60 t/hm</w:t>
      </w:r>
      <w:r>
        <w:rPr>
          <w:rFonts w:hint="default"/>
          <w:highlight w:val="none"/>
          <w:vertAlign w:val="superscript"/>
          <w:lang w:val="en-US" w:eastAsia="zh-CN"/>
        </w:rPr>
        <w:t>2</w:t>
      </w:r>
      <w:r>
        <w:rPr>
          <w:rFonts w:hint="default"/>
          <w:highlight w:val="none"/>
          <w:lang w:val="en-US" w:eastAsia="zh-CN"/>
        </w:rPr>
        <w:t xml:space="preserve"> 、17.13 t/hm</w:t>
      </w:r>
      <w:r>
        <w:rPr>
          <w:rFonts w:hint="default"/>
          <w:highlight w:val="none"/>
          <w:vertAlign w:val="superscript"/>
          <w:lang w:val="en-US" w:eastAsia="zh-CN"/>
        </w:rPr>
        <w:t>2</w:t>
      </w:r>
      <w:r>
        <w:rPr>
          <w:rFonts w:hint="default"/>
          <w:highlight w:val="none"/>
          <w:lang w:val="en-US" w:eastAsia="zh-CN"/>
        </w:rPr>
        <w:t>、8.90 t/hm</w:t>
      </w:r>
      <w:r>
        <w:rPr>
          <w:rFonts w:hint="default"/>
          <w:highlight w:val="none"/>
          <w:vertAlign w:val="superscript"/>
          <w:lang w:val="en-US" w:eastAsia="zh-CN"/>
        </w:rPr>
        <w:t>2</w:t>
      </w:r>
      <w:r>
        <w:rPr>
          <w:rFonts w:hint="default"/>
          <w:highlight w:val="none"/>
          <w:lang w:val="en-US" w:eastAsia="zh-CN"/>
        </w:rPr>
        <w:t xml:space="preserve"> 、9.18 t/hm</w:t>
      </w:r>
      <w:r>
        <w:rPr>
          <w:rFonts w:hint="default"/>
          <w:highlight w:val="none"/>
          <w:vertAlign w:val="superscript"/>
          <w:lang w:val="en-US" w:eastAsia="zh-CN"/>
        </w:rPr>
        <w:t>2</w:t>
      </w:r>
      <w:r>
        <w:rPr>
          <w:rFonts w:hint="default"/>
          <w:highlight w:val="none"/>
          <w:lang w:val="en-US" w:eastAsia="zh-CN"/>
        </w:rPr>
        <w:t>。</w:t>
      </w:r>
    </w:p>
    <w:p w14:paraId="731776F7">
      <w:pPr>
        <w:bidi w:val="0"/>
        <w:rPr>
          <w:rFonts w:hint="default"/>
          <w:highlight w:val="none"/>
          <w:lang w:val="en-US" w:eastAsia="zh-CN"/>
        </w:rPr>
      </w:pPr>
      <w:r>
        <w:rPr>
          <w:rFonts w:hint="default"/>
          <w:highlight w:val="none"/>
          <w:lang w:val="en-US" w:eastAsia="zh-CN"/>
        </w:rPr>
        <w:t>1、重点保护野生植物</w:t>
      </w:r>
    </w:p>
    <w:p w14:paraId="69B0C246">
      <w:pPr>
        <w:bidi w:val="0"/>
        <w:rPr>
          <w:rFonts w:hint="default"/>
          <w:highlight w:val="none"/>
          <w:lang w:val="en-US" w:eastAsia="zh-CN"/>
        </w:rPr>
      </w:pPr>
      <w:r>
        <w:rPr>
          <w:rFonts w:hint="default"/>
          <w:highlight w:val="none"/>
          <w:lang w:val="en-US" w:eastAsia="zh-CN"/>
        </w:rPr>
        <w:t>依据《国家重点保护野生植物名录》国家林业和草原局、农业农村部公告(2021年第 15 号) 、《四川省乡城县尼丁大峡谷自然保护区综合科学考察》可知，桃儿七（Sinopodophyllum hexandrum）、毛披碱草（Elymus villifer），乳头百合（Lilium papilliferum），西藏构兰（Cypripedium tibeticum），独蒜兰（Pleione bulbocodioides）、大花红景天（Rhodiola crenulata）、羽叶三七（Panax pseudoginseng var. bipinnatifidus）7种，这些国家重点保护植物多数有药用、科研、及用材价值等，且容易受人为因素影响。</w:t>
      </w:r>
    </w:p>
    <w:p w14:paraId="0406FB84">
      <w:pPr>
        <w:bidi w:val="0"/>
        <w:rPr>
          <w:rFonts w:hint="default"/>
          <w:highlight w:val="none"/>
          <w:lang w:val="en-US" w:eastAsia="zh-CN"/>
        </w:rPr>
      </w:pPr>
      <w:r>
        <w:rPr>
          <w:rFonts w:hint="default"/>
          <w:highlight w:val="none"/>
          <w:lang w:val="en-US" w:eastAsia="zh-CN"/>
        </w:rPr>
        <w:t>2、古木名树</w:t>
      </w:r>
    </w:p>
    <w:p w14:paraId="43C3B0CD">
      <w:pPr>
        <w:bidi w:val="0"/>
        <w:rPr>
          <w:rFonts w:hint="default"/>
          <w:highlight w:val="none"/>
          <w:lang w:val="en-US" w:eastAsia="zh-CN"/>
        </w:rPr>
      </w:pPr>
      <w:r>
        <w:rPr>
          <w:rFonts w:hint="default"/>
          <w:highlight w:val="none"/>
          <w:lang w:val="en-US" w:eastAsia="zh-CN"/>
        </w:rPr>
        <w:t>按照全国绿化委员会、国家林业局文件（全绿字</w:t>
      </w:r>
      <w:r>
        <w:rPr>
          <w:rFonts w:hint="eastAsia"/>
          <w:highlight w:val="none"/>
          <w:lang w:val="en-US" w:eastAsia="zh-CN"/>
        </w:rPr>
        <w:t>【</w:t>
      </w:r>
      <w:r>
        <w:rPr>
          <w:rFonts w:hint="default"/>
          <w:highlight w:val="none"/>
          <w:lang w:val="en-US" w:eastAsia="zh-CN"/>
        </w:rPr>
        <w:t>2001</w:t>
      </w:r>
      <w:r>
        <w:rPr>
          <w:rFonts w:hint="eastAsia"/>
          <w:highlight w:val="none"/>
          <w:lang w:val="en-US" w:eastAsia="zh-CN"/>
        </w:rPr>
        <w:t>】</w:t>
      </w:r>
      <w:r>
        <w:rPr>
          <w:rFonts w:hint="default"/>
          <w:highlight w:val="none"/>
          <w:lang w:val="en-US" w:eastAsia="zh-CN"/>
        </w:rPr>
        <w:t>15号）对名木古树 的界定，名木指在历史上或社会上有重大影响的中外历代名人、领袖人物所植 或者具有极其重要的历史、文化价值、具有纪念意义的树木；古树指树龄在 100 年以上的树木。根据实地调查以及查阅相关资料，在评价区内未发现挂牌 和登记在册的古树名木。</w:t>
      </w:r>
    </w:p>
    <w:p w14:paraId="3555C545">
      <w:pPr>
        <w:bidi w:val="0"/>
        <w:rPr>
          <w:rFonts w:hint="default"/>
          <w:highlight w:val="none"/>
          <w:lang w:val="en-US" w:eastAsia="zh-CN"/>
        </w:rPr>
      </w:pPr>
      <w:r>
        <w:rPr>
          <w:rFonts w:hint="default"/>
          <w:highlight w:val="none"/>
          <w:lang w:val="en-US" w:eastAsia="zh-CN"/>
        </w:rPr>
        <w:t>3、重要野生植物</w:t>
      </w:r>
    </w:p>
    <w:p w14:paraId="678DE79B">
      <w:pPr>
        <w:bidi w:val="0"/>
        <w:rPr>
          <w:rFonts w:hint="default"/>
          <w:highlight w:val="none"/>
          <w:lang w:val="en-US" w:eastAsia="zh-CN"/>
        </w:rPr>
      </w:pPr>
      <w:r>
        <w:rPr>
          <w:rFonts w:hint="default"/>
          <w:highlight w:val="none"/>
          <w:lang w:val="en-US" w:eastAsia="zh-CN"/>
        </w:rPr>
        <w:t>根据调查访问结合资料文献，此次评价区内137种植物中共有19种重要资源植物，60余种特有种，无极小种群野生植物，见附表2。</w:t>
      </w:r>
    </w:p>
    <w:p w14:paraId="146C3756">
      <w:pPr>
        <w:bidi w:val="0"/>
        <w:rPr>
          <w:rFonts w:hint="default"/>
          <w:highlight w:val="none"/>
          <w:lang w:val="en-US" w:eastAsia="zh-CN"/>
        </w:rPr>
      </w:pPr>
      <w:r>
        <w:rPr>
          <w:rFonts w:hint="default"/>
          <w:highlight w:val="none"/>
          <w:lang w:val="en-US" w:eastAsia="zh-CN"/>
        </w:rPr>
        <w:t>此外，桃儿七、毛披碱草，乳头百合，西藏构兰，独蒜兰、大花红景天、羽叶三七7种重要野生植物在评价区均存在一定分布范围。</w:t>
      </w:r>
    </w:p>
    <w:p w14:paraId="2BD1B007">
      <w:pPr>
        <w:bidi w:val="0"/>
        <w:rPr>
          <w:rFonts w:hint="default"/>
          <w:highlight w:val="none"/>
          <w:lang w:val="en-US" w:eastAsia="zh-CN"/>
        </w:rPr>
      </w:pPr>
      <w:r>
        <w:rPr>
          <w:rFonts w:hint="default"/>
          <w:highlight w:val="none"/>
          <w:lang w:val="en-US" w:eastAsia="zh-CN"/>
        </w:rPr>
        <w:t>但根据样线设置和现场走访调查，相关重点保护植物均不分布于水库库区且不临水。根据，分布图中大花红景天、羽叶三七均属于不奈临水植物分布范围。其余植物桃儿七、毛披碱草，乳头百合，西藏构兰 ，独蒜兰不喜好水源丰沛处生存，均位于支沟林地和草原内。</w:t>
      </w:r>
    </w:p>
    <w:p w14:paraId="57388BE0">
      <w:pPr>
        <w:bidi w:val="0"/>
        <w:ind w:left="0" w:leftChars="0" w:firstLine="0" w:firstLineChars="0"/>
        <w:rPr>
          <w:rFonts w:hint="default"/>
          <w:highlight w:val="none"/>
          <w:lang w:val="en-US" w:eastAsia="zh-CN"/>
        </w:rPr>
      </w:pPr>
      <w:r>
        <w:rPr>
          <w:position w:val="-84"/>
          <w:highlight w:val="none"/>
        </w:rPr>
        <w:drawing>
          <wp:inline distT="0" distB="0" distL="0" distR="0">
            <wp:extent cx="5269865" cy="2696845"/>
            <wp:effectExtent l="0" t="0" r="6985" b="8255"/>
            <wp:docPr id="4" name="IM 60"/>
            <wp:cNvGraphicFramePr/>
            <a:graphic xmlns:a="http://schemas.openxmlformats.org/drawingml/2006/main">
              <a:graphicData uri="http://schemas.openxmlformats.org/drawingml/2006/picture">
                <pic:pic xmlns:pic="http://schemas.openxmlformats.org/drawingml/2006/picture">
                  <pic:nvPicPr>
                    <pic:cNvPr id="4" name="IM 60"/>
                    <pic:cNvPicPr/>
                  </pic:nvPicPr>
                  <pic:blipFill>
                    <a:blip r:embed="rId30"/>
                    <a:stretch>
                      <a:fillRect/>
                    </a:stretch>
                  </pic:blipFill>
                  <pic:spPr>
                    <a:xfrm>
                      <a:off x="0" y="0"/>
                      <a:ext cx="5269991" cy="2697479"/>
                    </a:xfrm>
                    <a:prstGeom prst="rect">
                      <a:avLst/>
                    </a:prstGeom>
                  </pic:spPr>
                </pic:pic>
              </a:graphicData>
            </a:graphic>
          </wp:inline>
        </w:drawing>
      </w:r>
    </w:p>
    <w:p w14:paraId="16867BCE">
      <w:pPr>
        <w:pStyle w:val="11"/>
        <w:bidi w:val="0"/>
        <w:ind w:left="0" w:leftChars="0" w:firstLine="0" w:firstLineChars="0"/>
        <w:rPr>
          <w:rFonts w:hint="default"/>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14</w:t>
      </w:r>
      <w:r>
        <w:rPr>
          <w:highlight w:val="none"/>
        </w:rPr>
        <w:fldChar w:fldCharType="end"/>
      </w:r>
      <w:r>
        <w:rPr>
          <w:rFonts w:hint="default"/>
          <w:highlight w:val="none"/>
          <w:lang w:val="en-US" w:eastAsia="zh-CN"/>
        </w:rPr>
        <w:t xml:space="preserve"> 重点保护植物现场调查分布图</w:t>
      </w:r>
    </w:p>
    <w:p w14:paraId="622112F7">
      <w:pPr>
        <w:numPr>
          <w:ilvl w:val="0"/>
          <w:numId w:val="21"/>
        </w:numPr>
        <w:bidi w:val="0"/>
        <w:ind w:left="420" w:leftChars="0" w:hanging="420" w:firstLineChars="0"/>
        <w:rPr>
          <w:rFonts w:hint="default"/>
          <w:highlight w:val="none"/>
          <w:lang w:val="en-US" w:eastAsia="zh-CN"/>
        </w:rPr>
      </w:pPr>
      <w:r>
        <w:rPr>
          <w:rFonts w:hint="eastAsia"/>
          <w:highlight w:val="none"/>
          <w:lang w:val="en-US" w:eastAsia="zh-CN"/>
        </w:rPr>
        <w:t>植物多样性评价</w:t>
      </w:r>
    </w:p>
    <w:p w14:paraId="4CE89B96">
      <w:pPr>
        <w:bidi w:val="0"/>
        <w:rPr>
          <w:rFonts w:hint="default"/>
          <w:highlight w:val="none"/>
          <w:lang w:val="en-US" w:eastAsia="zh-CN"/>
        </w:rPr>
      </w:pPr>
      <w:r>
        <w:rPr>
          <w:rFonts w:hint="default"/>
          <w:highlight w:val="none"/>
          <w:lang w:val="en-US" w:eastAsia="zh-CN"/>
        </w:rPr>
        <w:t>生物多样性是生物(动物、植物、微生物)与环境形成的生态复合体以及与 此相关的各种生态过程的总和，物种多样性常用的评价指标包括物种丰富度、 香 农-威纳多样性指数、Pielou 均匀度指数、Simpson 优势度指数等。</w:t>
      </w:r>
    </w:p>
    <w:p w14:paraId="1EDBFC42">
      <w:pPr>
        <w:bidi w:val="0"/>
        <w:rPr>
          <w:rFonts w:hint="default"/>
          <w:highlight w:val="none"/>
          <w:lang w:val="en-US" w:eastAsia="zh-CN"/>
        </w:rPr>
      </w:pPr>
      <w:r>
        <w:rPr>
          <w:rFonts w:hint="default"/>
          <w:highlight w:val="none"/>
          <w:lang w:val="en-US" w:eastAsia="zh-CN"/>
        </w:rPr>
        <w:t>物种丰富度(species richness)：调查区域内物种种数之和。</w:t>
      </w:r>
    </w:p>
    <w:p w14:paraId="687B472E">
      <w:pPr>
        <w:bidi w:val="0"/>
        <w:rPr>
          <w:rFonts w:hint="default"/>
          <w:highlight w:val="none"/>
          <w:lang w:val="en-US" w:eastAsia="zh-CN"/>
        </w:rPr>
      </w:pPr>
      <w:r>
        <w:rPr>
          <w:rFonts w:hint="default"/>
          <w:highlight w:val="none"/>
          <w:lang w:val="en-US" w:eastAsia="zh-CN"/>
        </w:rPr>
        <w:t>香农-威纳多样性指数(Shannon-Wiener diversity index)计算公式为:</w:t>
      </w:r>
    </w:p>
    <w:p w14:paraId="3D3057BE">
      <w:pPr>
        <w:bidi w:val="0"/>
        <w:ind w:left="0" w:leftChars="0" w:firstLine="0" w:firstLineChars="0"/>
        <w:jc w:val="center"/>
        <w:rPr>
          <w:rFonts w:hint="default"/>
          <w:highlight w:val="none"/>
          <w:lang w:val="en-US" w:eastAsia="zh-CN"/>
        </w:rPr>
      </w:pPr>
      <w:r>
        <w:rPr>
          <w:position w:val="-23"/>
          <w:highlight w:val="none"/>
        </w:rPr>
        <w:drawing>
          <wp:inline distT="0" distB="0" distL="0" distR="0">
            <wp:extent cx="1866900" cy="758825"/>
            <wp:effectExtent l="0" t="0" r="0" b="3175"/>
            <wp:docPr id="5" name="IM 62"/>
            <wp:cNvGraphicFramePr/>
            <a:graphic xmlns:a="http://schemas.openxmlformats.org/drawingml/2006/main">
              <a:graphicData uri="http://schemas.openxmlformats.org/drawingml/2006/picture">
                <pic:pic xmlns:pic="http://schemas.openxmlformats.org/drawingml/2006/picture">
                  <pic:nvPicPr>
                    <pic:cNvPr id="5" name="IM 62"/>
                    <pic:cNvPicPr/>
                  </pic:nvPicPr>
                  <pic:blipFill>
                    <a:blip r:embed="rId31"/>
                    <a:stretch>
                      <a:fillRect/>
                    </a:stretch>
                  </pic:blipFill>
                  <pic:spPr>
                    <a:xfrm>
                      <a:off x="0" y="0"/>
                      <a:ext cx="1866900" cy="758952"/>
                    </a:xfrm>
                    <a:prstGeom prst="rect">
                      <a:avLst/>
                    </a:prstGeom>
                  </pic:spPr>
                </pic:pic>
              </a:graphicData>
            </a:graphic>
          </wp:inline>
        </w:drawing>
      </w:r>
    </w:p>
    <w:p w14:paraId="010F9A92">
      <w:pPr>
        <w:bidi w:val="0"/>
        <w:rPr>
          <w:rFonts w:hint="default"/>
          <w:highlight w:val="none"/>
          <w:lang w:val="en-US" w:eastAsia="zh-CN"/>
        </w:rPr>
      </w:pPr>
      <w:r>
        <w:rPr>
          <w:rFonts w:hint="default"/>
          <w:highlight w:val="none"/>
          <w:lang w:val="en-US" w:eastAsia="zh-CN"/>
        </w:rPr>
        <w:t>式中:H——香农-威纳多样性指数;</w:t>
      </w:r>
    </w:p>
    <w:p w14:paraId="490ED9F5">
      <w:pPr>
        <w:bidi w:val="0"/>
        <w:rPr>
          <w:rFonts w:hint="default"/>
          <w:highlight w:val="none"/>
          <w:lang w:val="en-US" w:eastAsia="zh-CN"/>
        </w:rPr>
      </w:pPr>
      <w:r>
        <w:rPr>
          <w:rFonts w:hint="default"/>
          <w:highlight w:val="none"/>
          <w:lang w:val="en-US" w:eastAsia="zh-CN"/>
        </w:rPr>
        <w:t>S——调查区域内物种种类总数;</w:t>
      </w:r>
    </w:p>
    <w:p w14:paraId="4733B682">
      <w:pPr>
        <w:bidi w:val="0"/>
        <w:rPr>
          <w:rFonts w:hint="default"/>
          <w:highlight w:val="none"/>
          <w:lang w:val="en-US" w:eastAsia="zh-CN"/>
        </w:rPr>
      </w:pPr>
      <w:r>
        <w:rPr>
          <w:rFonts w:hint="default"/>
          <w:highlight w:val="none"/>
          <w:lang w:val="en-US" w:eastAsia="zh-CN"/>
        </w:rPr>
        <w:t>Pi——调查区域内属于第 i 种的个体比例，如总个体数为 N ，第 i 种个体数 为 ni ，则 Pi=ni/N。</w:t>
      </w:r>
    </w:p>
    <w:p w14:paraId="5BAB1F89">
      <w:pPr>
        <w:bidi w:val="0"/>
        <w:rPr>
          <w:rFonts w:hint="default"/>
          <w:highlight w:val="none"/>
          <w:lang w:val="en-US" w:eastAsia="zh-CN"/>
        </w:rPr>
      </w:pPr>
      <w:r>
        <w:rPr>
          <w:rFonts w:hint="default"/>
          <w:highlight w:val="none"/>
          <w:lang w:val="en-US" w:eastAsia="zh-CN"/>
        </w:rPr>
        <w:t>Pielou 均匀度指数是反映调查区域各物种个体数目分配均匀程度的指数， 计算公式为:</w:t>
      </w:r>
    </w:p>
    <w:p w14:paraId="3280AAD5">
      <w:pPr>
        <w:bidi w:val="0"/>
        <w:ind w:left="0" w:leftChars="0" w:firstLine="0" w:firstLineChars="0"/>
        <w:jc w:val="center"/>
        <w:rPr>
          <w:rFonts w:hint="default"/>
          <w:highlight w:val="none"/>
          <w:lang w:val="en-US" w:eastAsia="zh-CN"/>
        </w:rPr>
      </w:pPr>
      <w:r>
        <w:rPr>
          <w:position w:val="-28"/>
          <w:highlight w:val="none"/>
        </w:rPr>
        <w:drawing>
          <wp:inline distT="0" distB="0" distL="0" distR="0">
            <wp:extent cx="2540000" cy="901700"/>
            <wp:effectExtent l="0" t="0" r="12700" b="12700"/>
            <wp:docPr id="8" name="IM 64"/>
            <wp:cNvGraphicFramePr/>
            <a:graphic xmlns:a="http://schemas.openxmlformats.org/drawingml/2006/main">
              <a:graphicData uri="http://schemas.openxmlformats.org/drawingml/2006/picture">
                <pic:pic xmlns:pic="http://schemas.openxmlformats.org/drawingml/2006/picture">
                  <pic:nvPicPr>
                    <pic:cNvPr id="8" name="IM 64"/>
                    <pic:cNvPicPr/>
                  </pic:nvPicPr>
                  <pic:blipFill>
                    <a:blip r:embed="rId32"/>
                    <a:stretch>
                      <a:fillRect/>
                    </a:stretch>
                  </pic:blipFill>
                  <pic:spPr>
                    <a:xfrm>
                      <a:off x="0" y="0"/>
                      <a:ext cx="2540507" cy="902208"/>
                    </a:xfrm>
                    <a:prstGeom prst="rect">
                      <a:avLst/>
                    </a:prstGeom>
                  </pic:spPr>
                </pic:pic>
              </a:graphicData>
            </a:graphic>
          </wp:inline>
        </w:drawing>
      </w:r>
    </w:p>
    <w:p w14:paraId="490A8B19">
      <w:pPr>
        <w:bidi w:val="0"/>
        <w:rPr>
          <w:rFonts w:hint="default"/>
          <w:highlight w:val="none"/>
          <w:lang w:val="en-US" w:eastAsia="zh-CN"/>
        </w:rPr>
      </w:pPr>
      <w:r>
        <w:rPr>
          <w:rFonts w:hint="default"/>
          <w:highlight w:val="none"/>
          <w:lang w:val="en-US" w:eastAsia="zh-CN"/>
        </w:rPr>
        <w:t>式中:J——Pielou均匀度指数;S——调查区域内物种种类总数;Pi——调查区域 内属于第 i 种的个体比例。</w:t>
      </w:r>
    </w:p>
    <w:p w14:paraId="76E491B3">
      <w:pPr>
        <w:bidi w:val="0"/>
        <w:rPr>
          <w:rFonts w:hint="default"/>
          <w:highlight w:val="none"/>
          <w:lang w:val="en-US" w:eastAsia="zh-CN"/>
        </w:rPr>
      </w:pPr>
      <w:r>
        <w:rPr>
          <w:rFonts w:hint="default"/>
          <w:highlight w:val="none"/>
          <w:lang w:val="en-US" w:eastAsia="zh-CN"/>
        </w:rPr>
        <w:t>Simpson 优势度指数与均匀度指数相对应，计算公式为:</w:t>
      </w:r>
    </w:p>
    <w:p w14:paraId="6C421081">
      <w:pPr>
        <w:bidi w:val="0"/>
        <w:ind w:left="0" w:leftChars="0" w:firstLine="0" w:firstLineChars="0"/>
        <w:jc w:val="center"/>
        <w:rPr>
          <w:rFonts w:hint="default"/>
          <w:highlight w:val="none"/>
          <w:lang w:val="en-US" w:eastAsia="zh-CN"/>
        </w:rPr>
      </w:pPr>
      <w:r>
        <w:rPr>
          <w:position w:val="-28"/>
          <w:highlight w:val="none"/>
        </w:rPr>
        <w:drawing>
          <wp:inline distT="0" distB="0" distL="0" distR="0">
            <wp:extent cx="1981200" cy="91440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33"/>
                    <a:stretch>
                      <a:fillRect/>
                    </a:stretch>
                  </pic:blipFill>
                  <pic:spPr>
                    <a:xfrm>
                      <a:off x="0" y="0"/>
                      <a:ext cx="1981200" cy="914400"/>
                    </a:xfrm>
                    <a:prstGeom prst="rect">
                      <a:avLst/>
                    </a:prstGeom>
                  </pic:spPr>
                </pic:pic>
              </a:graphicData>
            </a:graphic>
          </wp:inline>
        </w:drawing>
      </w:r>
    </w:p>
    <w:p w14:paraId="2593D534">
      <w:pPr>
        <w:bidi w:val="0"/>
        <w:rPr>
          <w:rFonts w:hint="default"/>
          <w:highlight w:val="none"/>
          <w:lang w:val="en-US" w:eastAsia="zh-CN"/>
        </w:rPr>
      </w:pPr>
      <w:r>
        <w:rPr>
          <w:rFonts w:hint="default"/>
          <w:highlight w:val="none"/>
          <w:lang w:val="en-US" w:eastAsia="zh-CN"/>
        </w:rPr>
        <w:t>式中:D——Simpson 优势度指数;</w:t>
      </w:r>
    </w:p>
    <w:p w14:paraId="2D10E362">
      <w:pPr>
        <w:bidi w:val="0"/>
        <w:rPr>
          <w:rFonts w:hint="default"/>
          <w:highlight w:val="none"/>
          <w:lang w:val="en-US" w:eastAsia="zh-CN"/>
        </w:rPr>
      </w:pPr>
      <w:r>
        <w:rPr>
          <w:rFonts w:hint="default"/>
          <w:highlight w:val="none"/>
          <w:lang w:val="en-US" w:eastAsia="zh-CN"/>
        </w:rPr>
        <w:t>S——调查区域内物种种类总数;</w:t>
      </w:r>
    </w:p>
    <w:p w14:paraId="4FA5B528">
      <w:pPr>
        <w:bidi w:val="0"/>
        <w:rPr>
          <w:rFonts w:hint="default"/>
          <w:highlight w:val="none"/>
          <w:lang w:val="en-US" w:eastAsia="zh-CN"/>
        </w:rPr>
      </w:pPr>
      <w:r>
        <w:rPr>
          <w:rFonts w:hint="default"/>
          <w:highlight w:val="none"/>
          <w:lang w:val="en-US" w:eastAsia="zh-CN"/>
        </w:rPr>
        <w:t>Pi——调查区域内属于第 i 种的个体比例。</w:t>
      </w:r>
    </w:p>
    <w:p w14:paraId="2A542B01">
      <w:pPr>
        <w:bidi w:val="0"/>
        <w:rPr>
          <w:rFonts w:hint="default"/>
          <w:highlight w:val="none"/>
          <w:lang w:val="en-US" w:eastAsia="zh-CN"/>
        </w:rPr>
      </w:pPr>
      <w:r>
        <w:rPr>
          <w:rFonts w:hint="default"/>
          <w:highlight w:val="none"/>
          <w:lang w:val="en-US" w:eastAsia="zh-CN"/>
        </w:rPr>
        <w:t>物种丰富度为调查区域内植物的物种种数之和。通过野外现场调查对现场采集的照片及实物标本查阅《中国高等植物图鉴》、《中国植物志》等相关专著进行鉴定，初步确认评估评价区内评价区内共有维管植物34科86属137种。其中蕨类植物4科4属5种，占评价区域总科数的11.76%，总属数的4.65%，总种数的3.69%；被子植物30科82属132种，占评价区域总科数的88.23%，总属数的95.34%，总种数的96.35%；从科、属、种的分布来看，评价区植物以被子植物为主，总体而言丰富度一般。</w:t>
      </w:r>
    </w:p>
    <w:p w14:paraId="124AC3F6">
      <w:pPr>
        <w:bidi w:val="0"/>
        <w:rPr>
          <w:rFonts w:hint="default"/>
          <w:highlight w:val="none"/>
          <w:lang w:val="en-US" w:eastAsia="zh-CN"/>
        </w:rPr>
      </w:pPr>
      <w:r>
        <w:rPr>
          <w:rFonts w:hint="default"/>
          <w:highlight w:val="none"/>
          <w:lang w:val="en-US" w:eastAsia="zh-CN"/>
        </w:rPr>
        <w:t>根据评价区样方的资料统计，比较各植被类型的植物多样性，由结果可知，香农-威纳多样性指数均表现为高丛珍珠梅群系&gt;白刺花和小马鞍叶羊蹄甲群系&gt;鳞皮冷杉群系&gt;刺序木蓝群系&gt;长穗高山栎和高山松群系&gt;高山松群系&gt;高山松和鳞皮冷杉群系，Pielou均匀度指数表现为高丛珍珠梅群系&gt;白刺花和小马鞍叶羊蹄甲群系&gt;刺序木蓝群系&gt;鳞皮冷杉群系&gt;长穗高山栎和高山松群系&gt;高山松群系&gt;高山松和鳞皮冷杉群系。高丛珍珠梅群系的物种多样性最大，而 高山松和鳞皮冷杉群系的物种多样性最小。</w:t>
      </w:r>
    </w:p>
    <w:p w14:paraId="152EA543">
      <w:pPr>
        <w:bidi w:val="0"/>
        <w:rPr>
          <w:rFonts w:hint="default"/>
          <w:highlight w:val="none"/>
          <w:lang w:val="en-US" w:eastAsia="zh-CN"/>
        </w:rPr>
      </w:pPr>
      <w:r>
        <w:rPr>
          <w:rFonts w:hint="default"/>
          <w:highlight w:val="none"/>
          <w:lang w:val="en-US" w:eastAsia="zh-CN"/>
        </w:rPr>
        <w:t>整体而言，评价区植物香农-威纳多样性指数、Pielou均匀度指数、Simpson优势度指数平均分别为2.2152、0.8876、0.8479，物种多样性指数一般。</w:t>
      </w:r>
    </w:p>
    <w:p w14:paraId="287CAD54">
      <w:pPr>
        <w:pStyle w:val="11"/>
        <w:bidi w:val="0"/>
        <w:rPr>
          <w:highlight w:val="none"/>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29</w:t>
      </w:r>
      <w:r>
        <w:rPr>
          <w:highlight w:val="none"/>
        </w:rPr>
        <w:fldChar w:fldCharType="end"/>
      </w:r>
      <w:r>
        <w:rPr>
          <w:highlight w:val="none"/>
        </w:rPr>
        <w:t>评价范围内不同群系植物多样性统计表</w:t>
      </w:r>
    </w:p>
    <w:p w14:paraId="70F5E5DE">
      <w:pPr>
        <w:spacing w:line="15" w:lineRule="exact"/>
        <w:rPr>
          <w:highlight w:val="none"/>
        </w:rPr>
      </w:pPr>
    </w:p>
    <w:tbl>
      <w:tblPr>
        <w:tblStyle w:val="24"/>
        <w:tblW w:w="830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63"/>
        <w:gridCol w:w="1658"/>
        <w:gridCol w:w="1658"/>
        <w:gridCol w:w="1658"/>
        <w:gridCol w:w="1663"/>
      </w:tblGrid>
      <w:tr w14:paraId="31051E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3ACB9C88">
            <w:pPr>
              <w:pStyle w:val="22"/>
              <w:bidi w:val="0"/>
              <w:rPr>
                <w:highlight w:val="none"/>
              </w:rPr>
            </w:pPr>
            <w:r>
              <w:rPr>
                <w:highlight w:val="none"/>
              </w:rPr>
              <w:t>样方号</w:t>
            </w:r>
          </w:p>
        </w:tc>
        <w:tc>
          <w:tcPr>
            <w:tcW w:w="1658" w:type="dxa"/>
            <w:vAlign w:val="top"/>
          </w:tcPr>
          <w:p w14:paraId="0C1E9AAA">
            <w:pPr>
              <w:pStyle w:val="22"/>
              <w:bidi w:val="0"/>
              <w:rPr>
                <w:highlight w:val="none"/>
              </w:rPr>
            </w:pPr>
            <w:r>
              <w:rPr>
                <w:highlight w:val="none"/>
              </w:rPr>
              <w:t>群系</w:t>
            </w:r>
          </w:p>
        </w:tc>
        <w:tc>
          <w:tcPr>
            <w:tcW w:w="1658" w:type="dxa"/>
            <w:vAlign w:val="top"/>
          </w:tcPr>
          <w:p w14:paraId="523BD782">
            <w:pPr>
              <w:pStyle w:val="22"/>
              <w:bidi w:val="0"/>
              <w:rPr>
                <w:highlight w:val="none"/>
              </w:rPr>
            </w:pPr>
            <w:r>
              <w:rPr>
                <w:highlight w:val="none"/>
              </w:rPr>
              <w:t>香农-威纳多样</w:t>
            </w:r>
          </w:p>
          <w:p w14:paraId="45D0BD32">
            <w:pPr>
              <w:pStyle w:val="22"/>
              <w:bidi w:val="0"/>
              <w:rPr>
                <w:highlight w:val="none"/>
              </w:rPr>
            </w:pPr>
            <w:r>
              <w:rPr>
                <w:highlight w:val="none"/>
              </w:rPr>
              <w:t>性 指数</w:t>
            </w:r>
          </w:p>
        </w:tc>
        <w:tc>
          <w:tcPr>
            <w:tcW w:w="1658" w:type="dxa"/>
            <w:vAlign w:val="top"/>
          </w:tcPr>
          <w:p w14:paraId="19C1EA63">
            <w:pPr>
              <w:pStyle w:val="22"/>
              <w:bidi w:val="0"/>
              <w:rPr>
                <w:highlight w:val="none"/>
              </w:rPr>
            </w:pPr>
            <w:r>
              <w:rPr>
                <w:highlight w:val="none"/>
              </w:rPr>
              <w:t>Pielou 均匀度</w:t>
            </w:r>
          </w:p>
          <w:p w14:paraId="1A7CFDD4">
            <w:pPr>
              <w:pStyle w:val="22"/>
              <w:bidi w:val="0"/>
              <w:rPr>
                <w:highlight w:val="none"/>
              </w:rPr>
            </w:pPr>
            <w:r>
              <w:rPr>
                <w:highlight w:val="none"/>
              </w:rPr>
              <w:t>指数</w:t>
            </w:r>
          </w:p>
        </w:tc>
        <w:tc>
          <w:tcPr>
            <w:tcW w:w="1663" w:type="dxa"/>
            <w:vAlign w:val="top"/>
          </w:tcPr>
          <w:p w14:paraId="09D807A0">
            <w:pPr>
              <w:pStyle w:val="22"/>
              <w:bidi w:val="0"/>
              <w:rPr>
                <w:highlight w:val="none"/>
              </w:rPr>
            </w:pPr>
            <w:r>
              <w:rPr>
                <w:highlight w:val="none"/>
              </w:rPr>
              <w:t>Simpson 优势</w:t>
            </w:r>
          </w:p>
          <w:p w14:paraId="0485B4CC">
            <w:pPr>
              <w:pStyle w:val="22"/>
              <w:bidi w:val="0"/>
              <w:rPr>
                <w:highlight w:val="none"/>
              </w:rPr>
            </w:pPr>
            <w:r>
              <w:rPr>
                <w:highlight w:val="none"/>
              </w:rPr>
              <w:t>度指数</w:t>
            </w:r>
          </w:p>
        </w:tc>
      </w:tr>
      <w:tr w14:paraId="34A98C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23B8074C">
            <w:pPr>
              <w:pStyle w:val="22"/>
              <w:bidi w:val="0"/>
              <w:rPr>
                <w:highlight w:val="none"/>
              </w:rPr>
            </w:pPr>
            <w:r>
              <w:rPr>
                <w:highlight w:val="none"/>
              </w:rPr>
              <w:t>1</w:t>
            </w:r>
          </w:p>
        </w:tc>
        <w:tc>
          <w:tcPr>
            <w:tcW w:w="1658" w:type="dxa"/>
            <w:vAlign w:val="top"/>
          </w:tcPr>
          <w:p w14:paraId="4C647B2D">
            <w:pPr>
              <w:pStyle w:val="22"/>
              <w:bidi w:val="0"/>
              <w:rPr>
                <w:highlight w:val="none"/>
              </w:rPr>
            </w:pPr>
            <w:r>
              <w:rPr>
                <w:highlight w:val="none"/>
              </w:rPr>
              <w:t>鳞皮冷杉群系</w:t>
            </w:r>
          </w:p>
        </w:tc>
        <w:tc>
          <w:tcPr>
            <w:tcW w:w="1658" w:type="dxa"/>
            <w:vAlign w:val="top"/>
          </w:tcPr>
          <w:p w14:paraId="35E2B134">
            <w:pPr>
              <w:pStyle w:val="22"/>
              <w:bidi w:val="0"/>
              <w:rPr>
                <w:highlight w:val="none"/>
              </w:rPr>
            </w:pPr>
            <w:r>
              <w:rPr>
                <w:highlight w:val="none"/>
              </w:rPr>
              <w:t>2.2943</w:t>
            </w:r>
          </w:p>
        </w:tc>
        <w:tc>
          <w:tcPr>
            <w:tcW w:w="1658" w:type="dxa"/>
            <w:vAlign w:val="top"/>
          </w:tcPr>
          <w:p w14:paraId="0DD9DFA9">
            <w:pPr>
              <w:pStyle w:val="22"/>
              <w:bidi w:val="0"/>
              <w:rPr>
                <w:highlight w:val="none"/>
              </w:rPr>
            </w:pPr>
            <w:r>
              <w:rPr>
                <w:highlight w:val="none"/>
              </w:rPr>
              <w:t>0.8694</w:t>
            </w:r>
          </w:p>
        </w:tc>
        <w:tc>
          <w:tcPr>
            <w:tcW w:w="1663" w:type="dxa"/>
            <w:vAlign w:val="top"/>
          </w:tcPr>
          <w:p w14:paraId="3239D860">
            <w:pPr>
              <w:pStyle w:val="22"/>
              <w:bidi w:val="0"/>
              <w:rPr>
                <w:highlight w:val="none"/>
              </w:rPr>
            </w:pPr>
            <w:r>
              <w:rPr>
                <w:highlight w:val="none"/>
              </w:rPr>
              <w:t>0.8486</w:t>
            </w:r>
          </w:p>
        </w:tc>
      </w:tr>
      <w:tr w14:paraId="5D4EA4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373BDBF2">
            <w:pPr>
              <w:pStyle w:val="22"/>
              <w:bidi w:val="0"/>
              <w:rPr>
                <w:highlight w:val="none"/>
              </w:rPr>
            </w:pPr>
            <w:r>
              <w:rPr>
                <w:highlight w:val="none"/>
              </w:rPr>
              <w:t>2</w:t>
            </w:r>
          </w:p>
        </w:tc>
        <w:tc>
          <w:tcPr>
            <w:tcW w:w="1658" w:type="dxa"/>
            <w:vAlign w:val="top"/>
          </w:tcPr>
          <w:p w14:paraId="3AD01F78">
            <w:pPr>
              <w:pStyle w:val="22"/>
              <w:bidi w:val="0"/>
              <w:rPr>
                <w:highlight w:val="none"/>
              </w:rPr>
            </w:pPr>
            <w:r>
              <w:rPr>
                <w:highlight w:val="none"/>
              </w:rPr>
              <w:t>鳞皮冷杉群系</w:t>
            </w:r>
          </w:p>
        </w:tc>
        <w:tc>
          <w:tcPr>
            <w:tcW w:w="1658" w:type="dxa"/>
            <w:vAlign w:val="top"/>
          </w:tcPr>
          <w:p w14:paraId="47C98FFE">
            <w:pPr>
              <w:pStyle w:val="22"/>
              <w:bidi w:val="0"/>
              <w:rPr>
                <w:highlight w:val="none"/>
              </w:rPr>
            </w:pPr>
            <w:r>
              <w:rPr>
                <w:highlight w:val="none"/>
              </w:rPr>
              <w:t>2.3415</w:t>
            </w:r>
          </w:p>
        </w:tc>
        <w:tc>
          <w:tcPr>
            <w:tcW w:w="1658" w:type="dxa"/>
            <w:vAlign w:val="top"/>
          </w:tcPr>
          <w:p w14:paraId="77C6FD29">
            <w:pPr>
              <w:pStyle w:val="22"/>
              <w:bidi w:val="0"/>
              <w:rPr>
                <w:highlight w:val="none"/>
              </w:rPr>
            </w:pPr>
            <w:r>
              <w:rPr>
                <w:highlight w:val="none"/>
              </w:rPr>
              <w:t>0.8867</w:t>
            </w:r>
          </w:p>
        </w:tc>
        <w:tc>
          <w:tcPr>
            <w:tcW w:w="1663" w:type="dxa"/>
            <w:vAlign w:val="top"/>
          </w:tcPr>
          <w:p w14:paraId="3E6F4122">
            <w:pPr>
              <w:pStyle w:val="22"/>
              <w:bidi w:val="0"/>
              <w:rPr>
                <w:highlight w:val="none"/>
              </w:rPr>
            </w:pPr>
            <w:r>
              <w:rPr>
                <w:highlight w:val="none"/>
              </w:rPr>
              <w:t>0.8583</w:t>
            </w:r>
          </w:p>
        </w:tc>
      </w:tr>
      <w:tr w14:paraId="309D83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3385E45C">
            <w:pPr>
              <w:pStyle w:val="22"/>
              <w:bidi w:val="0"/>
              <w:rPr>
                <w:highlight w:val="none"/>
              </w:rPr>
            </w:pPr>
            <w:r>
              <w:rPr>
                <w:highlight w:val="none"/>
              </w:rPr>
              <w:t>3</w:t>
            </w:r>
          </w:p>
        </w:tc>
        <w:tc>
          <w:tcPr>
            <w:tcW w:w="1658" w:type="dxa"/>
            <w:vAlign w:val="top"/>
          </w:tcPr>
          <w:p w14:paraId="05FDD886">
            <w:pPr>
              <w:pStyle w:val="22"/>
              <w:bidi w:val="0"/>
              <w:rPr>
                <w:highlight w:val="none"/>
              </w:rPr>
            </w:pPr>
            <w:r>
              <w:rPr>
                <w:highlight w:val="none"/>
              </w:rPr>
              <w:t>鳞皮冷杉群系</w:t>
            </w:r>
          </w:p>
        </w:tc>
        <w:tc>
          <w:tcPr>
            <w:tcW w:w="1658" w:type="dxa"/>
            <w:vAlign w:val="top"/>
          </w:tcPr>
          <w:p w14:paraId="718C5571">
            <w:pPr>
              <w:pStyle w:val="22"/>
              <w:bidi w:val="0"/>
              <w:rPr>
                <w:highlight w:val="none"/>
              </w:rPr>
            </w:pPr>
            <w:r>
              <w:rPr>
                <w:highlight w:val="none"/>
              </w:rPr>
              <w:t>2.3330</w:t>
            </w:r>
          </w:p>
        </w:tc>
        <w:tc>
          <w:tcPr>
            <w:tcW w:w="1658" w:type="dxa"/>
            <w:vAlign w:val="top"/>
          </w:tcPr>
          <w:p w14:paraId="6C0B2C93">
            <w:pPr>
              <w:pStyle w:val="22"/>
              <w:bidi w:val="0"/>
              <w:rPr>
                <w:highlight w:val="none"/>
              </w:rPr>
            </w:pPr>
            <w:r>
              <w:rPr>
                <w:highlight w:val="none"/>
              </w:rPr>
              <w:t>0.8840</w:t>
            </w:r>
          </w:p>
        </w:tc>
        <w:tc>
          <w:tcPr>
            <w:tcW w:w="1663" w:type="dxa"/>
            <w:vAlign w:val="top"/>
          </w:tcPr>
          <w:p w14:paraId="372CACA2">
            <w:pPr>
              <w:pStyle w:val="22"/>
              <w:bidi w:val="0"/>
              <w:rPr>
                <w:highlight w:val="none"/>
              </w:rPr>
            </w:pPr>
            <w:r>
              <w:rPr>
                <w:highlight w:val="none"/>
              </w:rPr>
              <w:t>0.8555</w:t>
            </w:r>
          </w:p>
        </w:tc>
      </w:tr>
      <w:tr w14:paraId="0BC0C8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02141E3F">
            <w:pPr>
              <w:pStyle w:val="22"/>
              <w:bidi w:val="0"/>
              <w:rPr>
                <w:highlight w:val="none"/>
              </w:rPr>
            </w:pPr>
            <w:r>
              <w:rPr>
                <w:highlight w:val="none"/>
              </w:rPr>
              <w:t>4</w:t>
            </w:r>
          </w:p>
        </w:tc>
        <w:tc>
          <w:tcPr>
            <w:tcW w:w="1658" w:type="dxa"/>
            <w:vAlign w:val="top"/>
          </w:tcPr>
          <w:p w14:paraId="4D2207A9">
            <w:pPr>
              <w:pStyle w:val="22"/>
              <w:bidi w:val="0"/>
              <w:rPr>
                <w:highlight w:val="none"/>
              </w:rPr>
            </w:pPr>
            <w:r>
              <w:rPr>
                <w:highlight w:val="none"/>
              </w:rPr>
              <w:t>高山松群系</w:t>
            </w:r>
          </w:p>
        </w:tc>
        <w:tc>
          <w:tcPr>
            <w:tcW w:w="1658" w:type="dxa"/>
            <w:vAlign w:val="top"/>
          </w:tcPr>
          <w:p w14:paraId="3FF0BF14">
            <w:pPr>
              <w:pStyle w:val="22"/>
              <w:bidi w:val="0"/>
              <w:rPr>
                <w:highlight w:val="none"/>
              </w:rPr>
            </w:pPr>
            <w:r>
              <w:rPr>
                <w:highlight w:val="none"/>
              </w:rPr>
              <w:t>2.1992</w:t>
            </w:r>
          </w:p>
        </w:tc>
        <w:tc>
          <w:tcPr>
            <w:tcW w:w="1658" w:type="dxa"/>
            <w:vAlign w:val="top"/>
          </w:tcPr>
          <w:p w14:paraId="68A52F94">
            <w:pPr>
              <w:pStyle w:val="22"/>
              <w:bidi w:val="0"/>
              <w:rPr>
                <w:highlight w:val="none"/>
              </w:rPr>
            </w:pPr>
            <w:r>
              <w:rPr>
                <w:highlight w:val="none"/>
              </w:rPr>
              <w:t>0.8850</w:t>
            </w:r>
          </w:p>
        </w:tc>
        <w:tc>
          <w:tcPr>
            <w:tcW w:w="1663" w:type="dxa"/>
            <w:vAlign w:val="top"/>
          </w:tcPr>
          <w:p w14:paraId="7135D71D">
            <w:pPr>
              <w:pStyle w:val="22"/>
              <w:bidi w:val="0"/>
              <w:rPr>
                <w:highlight w:val="none"/>
              </w:rPr>
            </w:pPr>
            <w:r>
              <w:rPr>
                <w:highlight w:val="none"/>
              </w:rPr>
              <w:t>0.8523</w:t>
            </w:r>
          </w:p>
        </w:tc>
      </w:tr>
      <w:tr w14:paraId="6F838E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0F48ED0F">
            <w:pPr>
              <w:pStyle w:val="22"/>
              <w:bidi w:val="0"/>
              <w:rPr>
                <w:highlight w:val="none"/>
              </w:rPr>
            </w:pPr>
            <w:r>
              <w:rPr>
                <w:highlight w:val="none"/>
              </w:rPr>
              <w:t>5</w:t>
            </w:r>
          </w:p>
        </w:tc>
        <w:tc>
          <w:tcPr>
            <w:tcW w:w="1658" w:type="dxa"/>
            <w:vAlign w:val="top"/>
          </w:tcPr>
          <w:p w14:paraId="7BBFF604">
            <w:pPr>
              <w:pStyle w:val="22"/>
              <w:bidi w:val="0"/>
              <w:rPr>
                <w:highlight w:val="none"/>
              </w:rPr>
            </w:pPr>
            <w:r>
              <w:rPr>
                <w:highlight w:val="none"/>
              </w:rPr>
              <w:t>高山松群系</w:t>
            </w:r>
          </w:p>
        </w:tc>
        <w:tc>
          <w:tcPr>
            <w:tcW w:w="1658" w:type="dxa"/>
            <w:vAlign w:val="top"/>
          </w:tcPr>
          <w:p w14:paraId="3C060647">
            <w:pPr>
              <w:pStyle w:val="22"/>
              <w:bidi w:val="0"/>
              <w:rPr>
                <w:highlight w:val="none"/>
              </w:rPr>
            </w:pPr>
            <w:r>
              <w:rPr>
                <w:highlight w:val="none"/>
              </w:rPr>
              <w:t>2.1271</w:t>
            </w:r>
          </w:p>
        </w:tc>
        <w:tc>
          <w:tcPr>
            <w:tcW w:w="1658" w:type="dxa"/>
            <w:vAlign w:val="top"/>
          </w:tcPr>
          <w:p w14:paraId="59653B3D">
            <w:pPr>
              <w:pStyle w:val="22"/>
              <w:bidi w:val="0"/>
              <w:rPr>
                <w:highlight w:val="none"/>
              </w:rPr>
            </w:pPr>
            <w:r>
              <w:rPr>
                <w:highlight w:val="none"/>
              </w:rPr>
              <w:t>0.8560</w:t>
            </w:r>
          </w:p>
        </w:tc>
        <w:tc>
          <w:tcPr>
            <w:tcW w:w="1663" w:type="dxa"/>
            <w:vAlign w:val="top"/>
          </w:tcPr>
          <w:p w14:paraId="2CE0645D">
            <w:pPr>
              <w:pStyle w:val="22"/>
              <w:bidi w:val="0"/>
              <w:rPr>
                <w:highlight w:val="none"/>
              </w:rPr>
            </w:pPr>
            <w:r>
              <w:rPr>
                <w:highlight w:val="none"/>
              </w:rPr>
              <w:t>0.8250</w:t>
            </w:r>
          </w:p>
        </w:tc>
      </w:tr>
      <w:tr w14:paraId="4ED6BC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30E06C2B">
            <w:pPr>
              <w:pStyle w:val="22"/>
              <w:bidi w:val="0"/>
              <w:rPr>
                <w:highlight w:val="none"/>
              </w:rPr>
            </w:pPr>
            <w:r>
              <w:rPr>
                <w:highlight w:val="none"/>
              </w:rPr>
              <w:t>6</w:t>
            </w:r>
          </w:p>
        </w:tc>
        <w:tc>
          <w:tcPr>
            <w:tcW w:w="1658" w:type="dxa"/>
            <w:vAlign w:val="top"/>
          </w:tcPr>
          <w:p w14:paraId="272855A3">
            <w:pPr>
              <w:pStyle w:val="22"/>
              <w:bidi w:val="0"/>
              <w:rPr>
                <w:highlight w:val="none"/>
              </w:rPr>
            </w:pPr>
            <w:r>
              <w:rPr>
                <w:highlight w:val="none"/>
              </w:rPr>
              <w:t>高山松群系</w:t>
            </w:r>
          </w:p>
        </w:tc>
        <w:tc>
          <w:tcPr>
            <w:tcW w:w="1658" w:type="dxa"/>
            <w:vAlign w:val="top"/>
          </w:tcPr>
          <w:p w14:paraId="3A6E5AA9">
            <w:pPr>
              <w:pStyle w:val="22"/>
              <w:bidi w:val="0"/>
              <w:rPr>
                <w:highlight w:val="none"/>
              </w:rPr>
            </w:pPr>
            <w:r>
              <w:rPr>
                <w:highlight w:val="none"/>
              </w:rPr>
              <w:t>2.1173</w:t>
            </w:r>
          </w:p>
        </w:tc>
        <w:tc>
          <w:tcPr>
            <w:tcW w:w="1658" w:type="dxa"/>
            <w:vAlign w:val="top"/>
          </w:tcPr>
          <w:p w14:paraId="3764407B">
            <w:pPr>
              <w:pStyle w:val="22"/>
              <w:bidi w:val="0"/>
              <w:rPr>
                <w:highlight w:val="none"/>
              </w:rPr>
            </w:pPr>
            <w:r>
              <w:rPr>
                <w:highlight w:val="none"/>
              </w:rPr>
              <w:t>0.8830</w:t>
            </w:r>
          </w:p>
        </w:tc>
        <w:tc>
          <w:tcPr>
            <w:tcW w:w="1663" w:type="dxa"/>
            <w:vAlign w:val="top"/>
          </w:tcPr>
          <w:p w14:paraId="1BF06518">
            <w:pPr>
              <w:pStyle w:val="22"/>
              <w:bidi w:val="0"/>
              <w:rPr>
                <w:highlight w:val="none"/>
              </w:rPr>
            </w:pPr>
            <w:r>
              <w:rPr>
                <w:highlight w:val="none"/>
              </w:rPr>
              <w:t>0.8360</w:t>
            </w:r>
          </w:p>
        </w:tc>
      </w:tr>
      <w:tr w14:paraId="7B94B4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567528FF">
            <w:pPr>
              <w:pStyle w:val="22"/>
              <w:bidi w:val="0"/>
              <w:rPr>
                <w:highlight w:val="none"/>
              </w:rPr>
            </w:pPr>
            <w:r>
              <w:rPr>
                <w:highlight w:val="none"/>
              </w:rPr>
              <w:t>7</w:t>
            </w:r>
          </w:p>
        </w:tc>
        <w:tc>
          <w:tcPr>
            <w:tcW w:w="1658" w:type="dxa"/>
            <w:vAlign w:val="top"/>
          </w:tcPr>
          <w:p w14:paraId="3BA07EF9">
            <w:pPr>
              <w:pStyle w:val="22"/>
              <w:bidi w:val="0"/>
              <w:rPr>
                <w:highlight w:val="none"/>
              </w:rPr>
            </w:pPr>
            <w:r>
              <w:rPr>
                <w:highlight w:val="none"/>
              </w:rPr>
              <w:t>高山松和鳞皮</w:t>
            </w:r>
          </w:p>
          <w:p w14:paraId="2C3F27D9">
            <w:pPr>
              <w:pStyle w:val="22"/>
              <w:bidi w:val="0"/>
              <w:rPr>
                <w:highlight w:val="none"/>
              </w:rPr>
            </w:pPr>
            <w:r>
              <w:rPr>
                <w:highlight w:val="none"/>
              </w:rPr>
              <w:t>冷杉群系</w:t>
            </w:r>
          </w:p>
        </w:tc>
        <w:tc>
          <w:tcPr>
            <w:tcW w:w="1658" w:type="dxa"/>
            <w:vAlign w:val="top"/>
          </w:tcPr>
          <w:p w14:paraId="3D27C171">
            <w:pPr>
              <w:pStyle w:val="22"/>
              <w:bidi w:val="0"/>
              <w:rPr>
                <w:highlight w:val="none"/>
              </w:rPr>
            </w:pPr>
            <w:r>
              <w:rPr>
                <w:highlight w:val="none"/>
              </w:rPr>
              <w:t>1.7563</w:t>
            </w:r>
          </w:p>
        </w:tc>
        <w:tc>
          <w:tcPr>
            <w:tcW w:w="1658" w:type="dxa"/>
            <w:vAlign w:val="top"/>
          </w:tcPr>
          <w:p w14:paraId="2A33AE63">
            <w:pPr>
              <w:pStyle w:val="22"/>
              <w:bidi w:val="0"/>
              <w:rPr>
                <w:highlight w:val="none"/>
              </w:rPr>
            </w:pPr>
            <w:r>
              <w:rPr>
                <w:highlight w:val="none"/>
              </w:rPr>
              <w:t>0.7324</w:t>
            </w:r>
          </w:p>
        </w:tc>
        <w:tc>
          <w:tcPr>
            <w:tcW w:w="1663" w:type="dxa"/>
            <w:vAlign w:val="top"/>
          </w:tcPr>
          <w:p w14:paraId="0B49D6F4">
            <w:pPr>
              <w:pStyle w:val="22"/>
              <w:bidi w:val="0"/>
              <w:rPr>
                <w:highlight w:val="none"/>
              </w:rPr>
            </w:pPr>
            <w:r>
              <w:rPr>
                <w:highlight w:val="none"/>
              </w:rPr>
              <w:t>0.6995</w:t>
            </w:r>
          </w:p>
        </w:tc>
      </w:tr>
      <w:tr w14:paraId="5CF44A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69CB8D50">
            <w:pPr>
              <w:pStyle w:val="22"/>
              <w:bidi w:val="0"/>
              <w:rPr>
                <w:highlight w:val="none"/>
              </w:rPr>
            </w:pPr>
            <w:r>
              <w:rPr>
                <w:highlight w:val="none"/>
              </w:rPr>
              <w:t>8</w:t>
            </w:r>
          </w:p>
        </w:tc>
        <w:tc>
          <w:tcPr>
            <w:tcW w:w="1658" w:type="dxa"/>
            <w:vAlign w:val="top"/>
          </w:tcPr>
          <w:p w14:paraId="1531A3BF">
            <w:pPr>
              <w:pStyle w:val="22"/>
              <w:bidi w:val="0"/>
              <w:rPr>
                <w:highlight w:val="none"/>
              </w:rPr>
            </w:pPr>
            <w:r>
              <w:rPr>
                <w:highlight w:val="none"/>
              </w:rPr>
              <w:t>高山松和鳞皮</w:t>
            </w:r>
          </w:p>
          <w:p w14:paraId="4FF2D131">
            <w:pPr>
              <w:pStyle w:val="22"/>
              <w:bidi w:val="0"/>
              <w:rPr>
                <w:highlight w:val="none"/>
              </w:rPr>
            </w:pPr>
            <w:r>
              <w:rPr>
                <w:highlight w:val="none"/>
              </w:rPr>
              <w:t>冷杉群系</w:t>
            </w:r>
          </w:p>
        </w:tc>
        <w:tc>
          <w:tcPr>
            <w:tcW w:w="1658" w:type="dxa"/>
            <w:vAlign w:val="top"/>
          </w:tcPr>
          <w:p w14:paraId="67D257DA">
            <w:pPr>
              <w:pStyle w:val="22"/>
              <w:bidi w:val="0"/>
              <w:rPr>
                <w:highlight w:val="none"/>
              </w:rPr>
            </w:pPr>
            <w:r>
              <w:rPr>
                <w:highlight w:val="none"/>
              </w:rPr>
              <w:t>1.7731</w:t>
            </w:r>
          </w:p>
        </w:tc>
        <w:tc>
          <w:tcPr>
            <w:tcW w:w="1658" w:type="dxa"/>
            <w:vAlign w:val="top"/>
          </w:tcPr>
          <w:p w14:paraId="3FC80DA5">
            <w:pPr>
              <w:pStyle w:val="22"/>
              <w:bidi w:val="0"/>
              <w:rPr>
                <w:highlight w:val="none"/>
              </w:rPr>
            </w:pPr>
            <w:r>
              <w:rPr>
                <w:highlight w:val="none"/>
              </w:rPr>
              <w:t>0.7396</w:t>
            </w:r>
          </w:p>
        </w:tc>
        <w:tc>
          <w:tcPr>
            <w:tcW w:w="1663" w:type="dxa"/>
            <w:vAlign w:val="top"/>
          </w:tcPr>
          <w:p w14:paraId="46E0C0B3">
            <w:pPr>
              <w:pStyle w:val="22"/>
              <w:bidi w:val="0"/>
              <w:rPr>
                <w:highlight w:val="none"/>
              </w:rPr>
            </w:pPr>
            <w:r>
              <w:rPr>
                <w:highlight w:val="none"/>
              </w:rPr>
              <w:t>0.7099</w:t>
            </w:r>
          </w:p>
        </w:tc>
      </w:tr>
      <w:tr w14:paraId="0331E6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7D82E5EA">
            <w:pPr>
              <w:pStyle w:val="22"/>
              <w:bidi w:val="0"/>
              <w:rPr>
                <w:highlight w:val="none"/>
              </w:rPr>
            </w:pPr>
            <w:r>
              <w:rPr>
                <w:highlight w:val="none"/>
              </w:rPr>
              <w:t>9</w:t>
            </w:r>
          </w:p>
        </w:tc>
        <w:tc>
          <w:tcPr>
            <w:tcW w:w="1658" w:type="dxa"/>
            <w:vAlign w:val="top"/>
          </w:tcPr>
          <w:p w14:paraId="7F841E63">
            <w:pPr>
              <w:pStyle w:val="22"/>
              <w:bidi w:val="0"/>
              <w:rPr>
                <w:highlight w:val="none"/>
              </w:rPr>
            </w:pPr>
            <w:r>
              <w:rPr>
                <w:highlight w:val="none"/>
              </w:rPr>
              <w:t>高山松和鳞皮</w:t>
            </w:r>
          </w:p>
          <w:p w14:paraId="436AD753">
            <w:pPr>
              <w:pStyle w:val="22"/>
              <w:bidi w:val="0"/>
              <w:rPr>
                <w:highlight w:val="none"/>
              </w:rPr>
            </w:pPr>
            <w:r>
              <w:rPr>
                <w:highlight w:val="none"/>
              </w:rPr>
              <w:t>冷杉群系</w:t>
            </w:r>
          </w:p>
        </w:tc>
        <w:tc>
          <w:tcPr>
            <w:tcW w:w="1658" w:type="dxa"/>
            <w:vAlign w:val="top"/>
          </w:tcPr>
          <w:p w14:paraId="5BE0F4E7">
            <w:pPr>
              <w:pStyle w:val="22"/>
              <w:bidi w:val="0"/>
              <w:rPr>
                <w:highlight w:val="none"/>
              </w:rPr>
            </w:pPr>
            <w:r>
              <w:rPr>
                <w:highlight w:val="none"/>
              </w:rPr>
              <w:t>1.8154</w:t>
            </w:r>
          </w:p>
        </w:tc>
        <w:tc>
          <w:tcPr>
            <w:tcW w:w="1658" w:type="dxa"/>
            <w:vAlign w:val="top"/>
          </w:tcPr>
          <w:p w14:paraId="0B5D24A1">
            <w:pPr>
              <w:pStyle w:val="22"/>
              <w:bidi w:val="0"/>
              <w:rPr>
                <w:highlight w:val="none"/>
              </w:rPr>
            </w:pPr>
            <w:r>
              <w:rPr>
                <w:highlight w:val="none"/>
              </w:rPr>
              <w:t>0.7402</w:t>
            </w:r>
          </w:p>
        </w:tc>
        <w:tc>
          <w:tcPr>
            <w:tcW w:w="1663" w:type="dxa"/>
            <w:vAlign w:val="top"/>
          </w:tcPr>
          <w:p w14:paraId="2719B45C">
            <w:pPr>
              <w:pStyle w:val="22"/>
              <w:bidi w:val="0"/>
              <w:rPr>
                <w:highlight w:val="none"/>
              </w:rPr>
            </w:pPr>
            <w:r>
              <w:rPr>
                <w:highlight w:val="none"/>
              </w:rPr>
              <w:t>0.7141</w:t>
            </w:r>
          </w:p>
        </w:tc>
      </w:tr>
      <w:tr w14:paraId="7510D0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2853C8AE">
            <w:pPr>
              <w:pStyle w:val="22"/>
              <w:bidi w:val="0"/>
              <w:rPr>
                <w:highlight w:val="none"/>
              </w:rPr>
            </w:pPr>
            <w:r>
              <w:rPr>
                <w:highlight w:val="none"/>
              </w:rPr>
              <w:t>10</w:t>
            </w:r>
          </w:p>
        </w:tc>
        <w:tc>
          <w:tcPr>
            <w:tcW w:w="1658" w:type="dxa"/>
            <w:vAlign w:val="top"/>
          </w:tcPr>
          <w:p w14:paraId="5236B083">
            <w:pPr>
              <w:pStyle w:val="22"/>
              <w:bidi w:val="0"/>
              <w:rPr>
                <w:highlight w:val="none"/>
              </w:rPr>
            </w:pPr>
            <w:r>
              <w:rPr>
                <w:highlight w:val="none"/>
              </w:rPr>
              <w:t>长穗高山栎和 高山松群系</w:t>
            </w:r>
          </w:p>
        </w:tc>
        <w:tc>
          <w:tcPr>
            <w:tcW w:w="1658" w:type="dxa"/>
            <w:vAlign w:val="top"/>
          </w:tcPr>
          <w:p w14:paraId="484B5A36">
            <w:pPr>
              <w:pStyle w:val="22"/>
              <w:bidi w:val="0"/>
              <w:rPr>
                <w:highlight w:val="none"/>
              </w:rPr>
            </w:pPr>
            <w:r>
              <w:rPr>
                <w:highlight w:val="none"/>
              </w:rPr>
              <w:t>2.2142</w:t>
            </w:r>
          </w:p>
        </w:tc>
        <w:tc>
          <w:tcPr>
            <w:tcW w:w="1658" w:type="dxa"/>
            <w:vAlign w:val="top"/>
          </w:tcPr>
          <w:p w14:paraId="5994B5BB">
            <w:pPr>
              <w:pStyle w:val="22"/>
              <w:bidi w:val="0"/>
              <w:rPr>
                <w:highlight w:val="none"/>
              </w:rPr>
            </w:pPr>
            <w:r>
              <w:rPr>
                <w:highlight w:val="none"/>
              </w:rPr>
              <w:t>0.8911</w:t>
            </w:r>
          </w:p>
        </w:tc>
        <w:tc>
          <w:tcPr>
            <w:tcW w:w="1663" w:type="dxa"/>
            <w:vAlign w:val="top"/>
          </w:tcPr>
          <w:p w14:paraId="79F397AB">
            <w:pPr>
              <w:pStyle w:val="22"/>
              <w:bidi w:val="0"/>
              <w:rPr>
                <w:highlight w:val="none"/>
              </w:rPr>
            </w:pPr>
            <w:r>
              <w:rPr>
                <w:highlight w:val="none"/>
              </w:rPr>
              <w:t>0.8610</w:t>
            </w:r>
          </w:p>
        </w:tc>
      </w:tr>
      <w:tr w14:paraId="00ADB1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2626C3AE">
            <w:pPr>
              <w:pStyle w:val="22"/>
              <w:bidi w:val="0"/>
              <w:rPr>
                <w:highlight w:val="none"/>
              </w:rPr>
            </w:pPr>
            <w:r>
              <w:rPr>
                <w:highlight w:val="none"/>
              </w:rPr>
              <w:t>11</w:t>
            </w:r>
          </w:p>
        </w:tc>
        <w:tc>
          <w:tcPr>
            <w:tcW w:w="1658" w:type="dxa"/>
            <w:vAlign w:val="top"/>
          </w:tcPr>
          <w:p w14:paraId="67AD6AD2">
            <w:pPr>
              <w:pStyle w:val="22"/>
              <w:bidi w:val="0"/>
              <w:rPr>
                <w:highlight w:val="none"/>
              </w:rPr>
            </w:pPr>
            <w:r>
              <w:rPr>
                <w:highlight w:val="none"/>
              </w:rPr>
              <w:t>长穗高山栎和 高山松群系</w:t>
            </w:r>
          </w:p>
        </w:tc>
        <w:tc>
          <w:tcPr>
            <w:tcW w:w="1658" w:type="dxa"/>
            <w:vAlign w:val="top"/>
          </w:tcPr>
          <w:p w14:paraId="37A838E4">
            <w:pPr>
              <w:pStyle w:val="22"/>
              <w:bidi w:val="0"/>
              <w:rPr>
                <w:highlight w:val="none"/>
              </w:rPr>
            </w:pPr>
            <w:r>
              <w:rPr>
                <w:highlight w:val="none"/>
              </w:rPr>
              <w:t>2.1691</w:t>
            </w:r>
          </w:p>
        </w:tc>
        <w:tc>
          <w:tcPr>
            <w:tcW w:w="1658" w:type="dxa"/>
            <w:vAlign w:val="top"/>
          </w:tcPr>
          <w:p w14:paraId="54B66B42">
            <w:pPr>
              <w:pStyle w:val="22"/>
              <w:bidi w:val="0"/>
              <w:rPr>
                <w:highlight w:val="none"/>
              </w:rPr>
            </w:pPr>
            <w:r>
              <w:rPr>
                <w:highlight w:val="none"/>
              </w:rPr>
              <w:t>0.8743</w:t>
            </w:r>
          </w:p>
        </w:tc>
        <w:tc>
          <w:tcPr>
            <w:tcW w:w="1663" w:type="dxa"/>
            <w:vAlign w:val="top"/>
          </w:tcPr>
          <w:p w14:paraId="33B9F38C">
            <w:pPr>
              <w:pStyle w:val="22"/>
              <w:bidi w:val="0"/>
              <w:rPr>
                <w:highlight w:val="none"/>
              </w:rPr>
            </w:pPr>
            <w:r>
              <w:rPr>
                <w:highlight w:val="none"/>
              </w:rPr>
              <w:t>0.8598</w:t>
            </w:r>
          </w:p>
        </w:tc>
      </w:tr>
      <w:tr w14:paraId="4DFD91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5AF9AD37">
            <w:pPr>
              <w:pStyle w:val="22"/>
              <w:bidi w:val="0"/>
              <w:rPr>
                <w:highlight w:val="none"/>
              </w:rPr>
            </w:pPr>
            <w:r>
              <w:rPr>
                <w:highlight w:val="none"/>
              </w:rPr>
              <w:t>12</w:t>
            </w:r>
          </w:p>
        </w:tc>
        <w:tc>
          <w:tcPr>
            <w:tcW w:w="1658" w:type="dxa"/>
            <w:vAlign w:val="top"/>
          </w:tcPr>
          <w:p w14:paraId="00009CD5">
            <w:pPr>
              <w:pStyle w:val="22"/>
              <w:bidi w:val="0"/>
              <w:rPr>
                <w:highlight w:val="none"/>
              </w:rPr>
            </w:pPr>
            <w:r>
              <w:rPr>
                <w:highlight w:val="none"/>
              </w:rPr>
              <w:t>长穗高山栎和 高山松群系</w:t>
            </w:r>
          </w:p>
        </w:tc>
        <w:tc>
          <w:tcPr>
            <w:tcW w:w="1658" w:type="dxa"/>
            <w:vAlign w:val="top"/>
          </w:tcPr>
          <w:p w14:paraId="64057446">
            <w:pPr>
              <w:pStyle w:val="22"/>
              <w:bidi w:val="0"/>
              <w:rPr>
                <w:highlight w:val="none"/>
              </w:rPr>
            </w:pPr>
            <w:r>
              <w:rPr>
                <w:highlight w:val="none"/>
              </w:rPr>
              <w:t>2.1465</w:t>
            </w:r>
          </w:p>
        </w:tc>
        <w:tc>
          <w:tcPr>
            <w:tcW w:w="1658" w:type="dxa"/>
            <w:vAlign w:val="top"/>
          </w:tcPr>
          <w:p w14:paraId="7D63EED4">
            <w:pPr>
              <w:pStyle w:val="22"/>
              <w:bidi w:val="0"/>
              <w:rPr>
                <w:highlight w:val="none"/>
              </w:rPr>
            </w:pPr>
            <w:r>
              <w:rPr>
                <w:highlight w:val="none"/>
              </w:rPr>
              <w:t>0.8638</w:t>
            </w:r>
          </w:p>
        </w:tc>
        <w:tc>
          <w:tcPr>
            <w:tcW w:w="1663" w:type="dxa"/>
            <w:vAlign w:val="top"/>
          </w:tcPr>
          <w:p w14:paraId="2AB5EA14">
            <w:pPr>
              <w:pStyle w:val="22"/>
              <w:bidi w:val="0"/>
              <w:rPr>
                <w:highlight w:val="none"/>
              </w:rPr>
            </w:pPr>
            <w:r>
              <w:rPr>
                <w:highlight w:val="none"/>
              </w:rPr>
              <w:t>0.8511</w:t>
            </w:r>
          </w:p>
        </w:tc>
      </w:tr>
      <w:tr w14:paraId="6542CE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12DC00A4">
            <w:pPr>
              <w:pStyle w:val="22"/>
              <w:bidi w:val="0"/>
              <w:rPr>
                <w:highlight w:val="none"/>
              </w:rPr>
            </w:pPr>
            <w:r>
              <w:rPr>
                <w:highlight w:val="none"/>
              </w:rPr>
              <w:t>13</w:t>
            </w:r>
          </w:p>
        </w:tc>
        <w:tc>
          <w:tcPr>
            <w:tcW w:w="1658" w:type="dxa"/>
            <w:vAlign w:val="top"/>
          </w:tcPr>
          <w:p w14:paraId="53B1A9DD">
            <w:pPr>
              <w:pStyle w:val="22"/>
              <w:bidi w:val="0"/>
              <w:rPr>
                <w:highlight w:val="none"/>
              </w:rPr>
            </w:pPr>
            <w:r>
              <w:rPr>
                <w:highlight w:val="none"/>
              </w:rPr>
              <w:t>刺序木蓝群系</w:t>
            </w:r>
          </w:p>
        </w:tc>
        <w:tc>
          <w:tcPr>
            <w:tcW w:w="1658" w:type="dxa"/>
            <w:vAlign w:val="top"/>
          </w:tcPr>
          <w:p w14:paraId="0939DDF2">
            <w:pPr>
              <w:pStyle w:val="22"/>
              <w:bidi w:val="0"/>
              <w:rPr>
                <w:highlight w:val="none"/>
              </w:rPr>
            </w:pPr>
            <w:r>
              <w:rPr>
                <w:highlight w:val="none"/>
              </w:rPr>
              <w:t>2.1921</w:t>
            </w:r>
          </w:p>
        </w:tc>
        <w:tc>
          <w:tcPr>
            <w:tcW w:w="1658" w:type="dxa"/>
            <w:vAlign w:val="top"/>
          </w:tcPr>
          <w:p w14:paraId="0AD30E96">
            <w:pPr>
              <w:pStyle w:val="22"/>
              <w:bidi w:val="0"/>
              <w:rPr>
                <w:highlight w:val="none"/>
              </w:rPr>
            </w:pPr>
            <w:r>
              <w:rPr>
                <w:highlight w:val="none"/>
              </w:rPr>
              <w:t>0.9142</w:t>
            </w:r>
          </w:p>
        </w:tc>
        <w:tc>
          <w:tcPr>
            <w:tcW w:w="1663" w:type="dxa"/>
            <w:vAlign w:val="top"/>
          </w:tcPr>
          <w:p w14:paraId="08D13EA7">
            <w:pPr>
              <w:pStyle w:val="22"/>
              <w:bidi w:val="0"/>
              <w:rPr>
                <w:highlight w:val="none"/>
              </w:rPr>
            </w:pPr>
            <w:r>
              <w:rPr>
                <w:highlight w:val="none"/>
              </w:rPr>
              <w:t>0.8673</w:t>
            </w:r>
          </w:p>
        </w:tc>
      </w:tr>
      <w:tr w14:paraId="4E5683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64D6B6A8">
            <w:pPr>
              <w:pStyle w:val="22"/>
              <w:bidi w:val="0"/>
              <w:rPr>
                <w:highlight w:val="none"/>
              </w:rPr>
            </w:pPr>
            <w:r>
              <w:rPr>
                <w:highlight w:val="none"/>
              </w:rPr>
              <w:t>14</w:t>
            </w:r>
          </w:p>
        </w:tc>
        <w:tc>
          <w:tcPr>
            <w:tcW w:w="1658" w:type="dxa"/>
            <w:vAlign w:val="top"/>
          </w:tcPr>
          <w:p w14:paraId="4BA981C4">
            <w:pPr>
              <w:pStyle w:val="22"/>
              <w:bidi w:val="0"/>
              <w:rPr>
                <w:highlight w:val="none"/>
              </w:rPr>
            </w:pPr>
            <w:r>
              <w:rPr>
                <w:highlight w:val="none"/>
              </w:rPr>
              <w:t>刺序木蓝群系</w:t>
            </w:r>
          </w:p>
        </w:tc>
        <w:tc>
          <w:tcPr>
            <w:tcW w:w="1658" w:type="dxa"/>
            <w:vAlign w:val="top"/>
          </w:tcPr>
          <w:p w14:paraId="3B72FC45">
            <w:pPr>
              <w:pStyle w:val="22"/>
              <w:bidi w:val="0"/>
              <w:rPr>
                <w:highlight w:val="none"/>
              </w:rPr>
            </w:pPr>
            <w:r>
              <w:rPr>
                <w:highlight w:val="none"/>
              </w:rPr>
              <w:t>2.2089</w:t>
            </w:r>
          </w:p>
        </w:tc>
        <w:tc>
          <w:tcPr>
            <w:tcW w:w="1658" w:type="dxa"/>
            <w:vAlign w:val="top"/>
          </w:tcPr>
          <w:p w14:paraId="4618ACA8">
            <w:pPr>
              <w:pStyle w:val="22"/>
              <w:bidi w:val="0"/>
              <w:rPr>
                <w:highlight w:val="none"/>
              </w:rPr>
            </w:pPr>
            <w:r>
              <w:rPr>
                <w:highlight w:val="none"/>
              </w:rPr>
              <w:t>0.9212</w:t>
            </w:r>
          </w:p>
        </w:tc>
        <w:tc>
          <w:tcPr>
            <w:tcW w:w="1663" w:type="dxa"/>
            <w:vAlign w:val="top"/>
          </w:tcPr>
          <w:p w14:paraId="5D06AFC1">
            <w:pPr>
              <w:pStyle w:val="22"/>
              <w:bidi w:val="0"/>
              <w:rPr>
                <w:highlight w:val="none"/>
              </w:rPr>
            </w:pPr>
            <w:r>
              <w:rPr>
                <w:highlight w:val="none"/>
              </w:rPr>
              <w:t>0.8669</w:t>
            </w:r>
          </w:p>
        </w:tc>
      </w:tr>
      <w:tr w14:paraId="77928C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42DA20E1">
            <w:pPr>
              <w:pStyle w:val="22"/>
              <w:bidi w:val="0"/>
              <w:rPr>
                <w:highlight w:val="none"/>
              </w:rPr>
            </w:pPr>
            <w:r>
              <w:rPr>
                <w:highlight w:val="none"/>
              </w:rPr>
              <w:t>15</w:t>
            </w:r>
          </w:p>
        </w:tc>
        <w:tc>
          <w:tcPr>
            <w:tcW w:w="1658" w:type="dxa"/>
            <w:vAlign w:val="top"/>
          </w:tcPr>
          <w:p w14:paraId="4BF1FF2D">
            <w:pPr>
              <w:pStyle w:val="22"/>
              <w:bidi w:val="0"/>
              <w:rPr>
                <w:highlight w:val="none"/>
              </w:rPr>
            </w:pPr>
            <w:r>
              <w:rPr>
                <w:highlight w:val="none"/>
              </w:rPr>
              <w:t>刺序木蓝群系</w:t>
            </w:r>
          </w:p>
        </w:tc>
        <w:tc>
          <w:tcPr>
            <w:tcW w:w="1658" w:type="dxa"/>
            <w:vAlign w:val="top"/>
          </w:tcPr>
          <w:p w14:paraId="030F1333">
            <w:pPr>
              <w:pStyle w:val="22"/>
              <w:bidi w:val="0"/>
              <w:rPr>
                <w:highlight w:val="none"/>
              </w:rPr>
            </w:pPr>
            <w:r>
              <w:rPr>
                <w:highlight w:val="none"/>
              </w:rPr>
              <w:t>2.2385</w:t>
            </w:r>
          </w:p>
        </w:tc>
        <w:tc>
          <w:tcPr>
            <w:tcW w:w="1658" w:type="dxa"/>
            <w:vAlign w:val="top"/>
          </w:tcPr>
          <w:p w14:paraId="1F8F8CE6">
            <w:pPr>
              <w:pStyle w:val="22"/>
              <w:bidi w:val="0"/>
              <w:rPr>
                <w:highlight w:val="none"/>
              </w:rPr>
            </w:pPr>
            <w:r>
              <w:rPr>
                <w:highlight w:val="none"/>
              </w:rPr>
              <w:t>0.9008</w:t>
            </w:r>
          </w:p>
        </w:tc>
        <w:tc>
          <w:tcPr>
            <w:tcW w:w="1663" w:type="dxa"/>
            <w:vAlign w:val="top"/>
          </w:tcPr>
          <w:p w14:paraId="494776B2">
            <w:pPr>
              <w:pStyle w:val="22"/>
              <w:bidi w:val="0"/>
              <w:rPr>
                <w:highlight w:val="none"/>
              </w:rPr>
            </w:pPr>
            <w:r>
              <w:rPr>
                <w:highlight w:val="none"/>
              </w:rPr>
              <w:t>0.8661</w:t>
            </w:r>
          </w:p>
        </w:tc>
      </w:tr>
      <w:tr w14:paraId="5DE9C9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54E32EDF">
            <w:pPr>
              <w:pStyle w:val="22"/>
              <w:bidi w:val="0"/>
              <w:rPr>
                <w:highlight w:val="none"/>
              </w:rPr>
            </w:pPr>
            <w:r>
              <w:rPr>
                <w:highlight w:val="none"/>
              </w:rPr>
              <w:t>16</w:t>
            </w:r>
          </w:p>
        </w:tc>
        <w:tc>
          <w:tcPr>
            <w:tcW w:w="1658" w:type="dxa"/>
            <w:vAlign w:val="top"/>
          </w:tcPr>
          <w:p w14:paraId="4D34D5CF">
            <w:pPr>
              <w:pStyle w:val="22"/>
              <w:bidi w:val="0"/>
              <w:rPr>
                <w:highlight w:val="none"/>
              </w:rPr>
            </w:pPr>
            <w:r>
              <w:rPr>
                <w:highlight w:val="none"/>
              </w:rPr>
              <w:t>白刺花和小马 鞍叶羊蹄甲群 系</w:t>
            </w:r>
          </w:p>
        </w:tc>
        <w:tc>
          <w:tcPr>
            <w:tcW w:w="1658" w:type="dxa"/>
            <w:vAlign w:val="top"/>
          </w:tcPr>
          <w:p w14:paraId="7254791D">
            <w:pPr>
              <w:pStyle w:val="22"/>
              <w:bidi w:val="0"/>
              <w:rPr>
                <w:highlight w:val="none"/>
              </w:rPr>
            </w:pPr>
            <w:r>
              <w:rPr>
                <w:highlight w:val="none"/>
              </w:rPr>
              <w:t>2.376</w:t>
            </w:r>
          </w:p>
        </w:tc>
        <w:tc>
          <w:tcPr>
            <w:tcW w:w="1658" w:type="dxa"/>
            <w:vAlign w:val="top"/>
          </w:tcPr>
          <w:p w14:paraId="08114131">
            <w:pPr>
              <w:pStyle w:val="22"/>
              <w:bidi w:val="0"/>
              <w:rPr>
                <w:highlight w:val="none"/>
              </w:rPr>
            </w:pPr>
            <w:r>
              <w:rPr>
                <w:highlight w:val="none"/>
              </w:rPr>
              <w:t>0.9734</w:t>
            </w:r>
          </w:p>
        </w:tc>
        <w:tc>
          <w:tcPr>
            <w:tcW w:w="1663" w:type="dxa"/>
            <w:vAlign w:val="top"/>
          </w:tcPr>
          <w:p w14:paraId="3C82A6CA">
            <w:pPr>
              <w:pStyle w:val="22"/>
              <w:bidi w:val="0"/>
              <w:rPr>
                <w:highlight w:val="none"/>
              </w:rPr>
            </w:pPr>
            <w:r>
              <w:rPr>
                <w:highlight w:val="none"/>
              </w:rPr>
              <w:t>0.9183</w:t>
            </w:r>
          </w:p>
        </w:tc>
      </w:tr>
      <w:tr w14:paraId="589B82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65A7BDD9">
            <w:pPr>
              <w:pStyle w:val="22"/>
              <w:bidi w:val="0"/>
              <w:rPr>
                <w:highlight w:val="none"/>
              </w:rPr>
            </w:pPr>
            <w:r>
              <w:rPr>
                <w:highlight w:val="none"/>
              </w:rPr>
              <w:t>17</w:t>
            </w:r>
          </w:p>
        </w:tc>
        <w:tc>
          <w:tcPr>
            <w:tcW w:w="1658" w:type="dxa"/>
            <w:vAlign w:val="top"/>
          </w:tcPr>
          <w:p w14:paraId="0A1B5BFE">
            <w:pPr>
              <w:pStyle w:val="22"/>
              <w:bidi w:val="0"/>
              <w:rPr>
                <w:highlight w:val="none"/>
              </w:rPr>
            </w:pPr>
            <w:r>
              <w:rPr>
                <w:highlight w:val="none"/>
              </w:rPr>
              <w:t>白刺花和小马 鞍叶羊蹄甲群 系</w:t>
            </w:r>
          </w:p>
        </w:tc>
        <w:tc>
          <w:tcPr>
            <w:tcW w:w="1658" w:type="dxa"/>
            <w:vAlign w:val="top"/>
          </w:tcPr>
          <w:p w14:paraId="30F2F562">
            <w:pPr>
              <w:pStyle w:val="22"/>
              <w:bidi w:val="0"/>
              <w:rPr>
                <w:highlight w:val="none"/>
              </w:rPr>
            </w:pPr>
            <w:r>
              <w:rPr>
                <w:highlight w:val="none"/>
              </w:rPr>
              <w:t>2.2751</w:t>
            </w:r>
          </w:p>
        </w:tc>
        <w:tc>
          <w:tcPr>
            <w:tcW w:w="1658" w:type="dxa"/>
            <w:vAlign w:val="top"/>
          </w:tcPr>
          <w:p w14:paraId="080741B5">
            <w:pPr>
              <w:pStyle w:val="22"/>
              <w:bidi w:val="0"/>
              <w:rPr>
                <w:highlight w:val="none"/>
              </w:rPr>
            </w:pPr>
            <w:r>
              <w:rPr>
                <w:highlight w:val="none"/>
              </w:rPr>
              <w:t>0.9488</w:t>
            </w:r>
          </w:p>
        </w:tc>
        <w:tc>
          <w:tcPr>
            <w:tcW w:w="1663" w:type="dxa"/>
            <w:vAlign w:val="top"/>
          </w:tcPr>
          <w:p w14:paraId="238D6BD3">
            <w:pPr>
              <w:pStyle w:val="22"/>
              <w:bidi w:val="0"/>
              <w:rPr>
                <w:highlight w:val="none"/>
              </w:rPr>
            </w:pPr>
            <w:r>
              <w:rPr>
                <w:highlight w:val="none"/>
              </w:rPr>
              <w:t>0.8797</w:t>
            </w:r>
          </w:p>
        </w:tc>
      </w:tr>
      <w:tr w14:paraId="366296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6DFF2366">
            <w:pPr>
              <w:pStyle w:val="22"/>
              <w:bidi w:val="0"/>
              <w:rPr>
                <w:highlight w:val="none"/>
              </w:rPr>
            </w:pPr>
            <w:r>
              <w:rPr>
                <w:highlight w:val="none"/>
              </w:rPr>
              <w:t>18</w:t>
            </w:r>
          </w:p>
        </w:tc>
        <w:tc>
          <w:tcPr>
            <w:tcW w:w="1658" w:type="dxa"/>
            <w:vAlign w:val="top"/>
          </w:tcPr>
          <w:p w14:paraId="44737E50">
            <w:pPr>
              <w:pStyle w:val="22"/>
              <w:bidi w:val="0"/>
              <w:rPr>
                <w:highlight w:val="none"/>
              </w:rPr>
            </w:pPr>
            <w:r>
              <w:rPr>
                <w:highlight w:val="none"/>
              </w:rPr>
              <w:t>白刺花和小马 鞍叶羊蹄甲群 系</w:t>
            </w:r>
          </w:p>
        </w:tc>
        <w:tc>
          <w:tcPr>
            <w:tcW w:w="1658" w:type="dxa"/>
            <w:vAlign w:val="top"/>
          </w:tcPr>
          <w:p w14:paraId="1EC4FA44">
            <w:pPr>
              <w:pStyle w:val="22"/>
              <w:bidi w:val="0"/>
              <w:rPr>
                <w:highlight w:val="none"/>
              </w:rPr>
            </w:pPr>
            <w:r>
              <w:rPr>
                <w:highlight w:val="none"/>
              </w:rPr>
              <w:t>2.4632</w:t>
            </w:r>
          </w:p>
        </w:tc>
        <w:tc>
          <w:tcPr>
            <w:tcW w:w="1658" w:type="dxa"/>
            <w:vAlign w:val="top"/>
          </w:tcPr>
          <w:p w14:paraId="6E3E512D">
            <w:pPr>
              <w:pStyle w:val="22"/>
              <w:bidi w:val="0"/>
              <w:rPr>
                <w:highlight w:val="none"/>
              </w:rPr>
            </w:pPr>
            <w:r>
              <w:rPr>
                <w:highlight w:val="none"/>
              </w:rPr>
              <w:t>0.9603</w:t>
            </w:r>
          </w:p>
        </w:tc>
        <w:tc>
          <w:tcPr>
            <w:tcW w:w="1663" w:type="dxa"/>
            <w:vAlign w:val="top"/>
          </w:tcPr>
          <w:p w14:paraId="0DB8125B">
            <w:pPr>
              <w:pStyle w:val="22"/>
              <w:bidi w:val="0"/>
              <w:rPr>
                <w:highlight w:val="none"/>
              </w:rPr>
            </w:pPr>
            <w:r>
              <w:rPr>
                <w:highlight w:val="none"/>
              </w:rPr>
              <w:t>0.9033</w:t>
            </w:r>
          </w:p>
        </w:tc>
      </w:tr>
      <w:tr w14:paraId="5A98B3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0F7FE0A4">
            <w:pPr>
              <w:pStyle w:val="22"/>
              <w:bidi w:val="0"/>
              <w:rPr>
                <w:highlight w:val="none"/>
              </w:rPr>
            </w:pPr>
            <w:r>
              <w:rPr>
                <w:highlight w:val="none"/>
              </w:rPr>
              <w:t>19</w:t>
            </w:r>
          </w:p>
        </w:tc>
        <w:tc>
          <w:tcPr>
            <w:tcW w:w="1658" w:type="dxa"/>
            <w:vAlign w:val="top"/>
          </w:tcPr>
          <w:p w14:paraId="5EFC43B9">
            <w:pPr>
              <w:pStyle w:val="22"/>
              <w:bidi w:val="0"/>
              <w:rPr>
                <w:highlight w:val="none"/>
              </w:rPr>
            </w:pPr>
            <w:r>
              <w:rPr>
                <w:highlight w:val="none"/>
              </w:rPr>
              <w:t>高丛珍珠梅群 系</w:t>
            </w:r>
          </w:p>
        </w:tc>
        <w:tc>
          <w:tcPr>
            <w:tcW w:w="1658" w:type="dxa"/>
            <w:vAlign w:val="top"/>
          </w:tcPr>
          <w:p w14:paraId="11BB66AC">
            <w:pPr>
              <w:pStyle w:val="22"/>
              <w:bidi w:val="0"/>
              <w:rPr>
                <w:highlight w:val="none"/>
              </w:rPr>
            </w:pPr>
            <w:r>
              <w:rPr>
                <w:highlight w:val="none"/>
              </w:rPr>
              <w:t>2.4977</w:t>
            </w:r>
          </w:p>
        </w:tc>
        <w:tc>
          <w:tcPr>
            <w:tcW w:w="1658" w:type="dxa"/>
            <w:vAlign w:val="top"/>
          </w:tcPr>
          <w:p w14:paraId="2162AA0A">
            <w:pPr>
              <w:pStyle w:val="22"/>
              <w:bidi w:val="0"/>
              <w:rPr>
                <w:highlight w:val="none"/>
              </w:rPr>
            </w:pPr>
            <w:r>
              <w:rPr>
                <w:highlight w:val="none"/>
              </w:rPr>
              <w:t>0.9738</w:t>
            </w:r>
          </w:p>
        </w:tc>
        <w:tc>
          <w:tcPr>
            <w:tcW w:w="1663" w:type="dxa"/>
            <w:vAlign w:val="top"/>
          </w:tcPr>
          <w:p w14:paraId="0BDE8E42">
            <w:pPr>
              <w:pStyle w:val="22"/>
              <w:bidi w:val="0"/>
              <w:rPr>
                <w:highlight w:val="none"/>
              </w:rPr>
            </w:pPr>
            <w:r>
              <w:rPr>
                <w:highlight w:val="none"/>
              </w:rPr>
              <w:t>0.9119</w:t>
            </w:r>
          </w:p>
        </w:tc>
      </w:tr>
      <w:tr w14:paraId="414D03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7FC4C390">
            <w:pPr>
              <w:pStyle w:val="22"/>
              <w:bidi w:val="0"/>
              <w:rPr>
                <w:highlight w:val="none"/>
              </w:rPr>
            </w:pPr>
            <w:r>
              <w:rPr>
                <w:highlight w:val="none"/>
              </w:rPr>
              <w:t>20</w:t>
            </w:r>
          </w:p>
        </w:tc>
        <w:tc>
          <w:tcPr>
            <w:tcW w:w="1658" w:type="dxa"/>
            <w:vAlign w:val="top"/>
          </w:tcPr>
          <w:p w14:paraId="55CF5C68">
            <w:pPr>
              <w:pStyle w:val="22"/>
              <w:bidi w:val="0"/>
              <w:rPr>
                <w:highlight w:val="none"/>
              </w:rPr>
            </w:pPr>
            <w:r>
              <w:rPr>
                <w:highlight w:val="none"/>
              </w:rPr>
              <w:t>高丛珍珠梅群 系</w:t>
            </w:r>
          </w:p>
        </w:tc>
        <w:tc>
          <w:tcPr>
            <w:tcW w:w="1658" w:type="dxa"/>
            <w:vAlign w:val="top"/>
          </w:tcPr>
          <w:p w14:paraId="78205E57">
            <w:pPr>
              <w:pStyle w:val="22"/>
              <w:bidi w:val="0"/>
              <w:rPr>
                <w:highlight w:val="none"/>
              </w:rPr>
            </w:pPr>
            <w:r>
              <w:rPr>
                <w:highlight w:val="none"/>
              </w:rPr>
              <w:t>2.4943</w:t>
            </w:r>
          </w:p>
        </w:tc>
        <w:tc>
          <w:tcPr>
            <w:tcW w:w="1658" w:type="dxa"/>
            <w:vAlign w:val="top"/>
          </w:tcPr>
          <w:p w14:paraId="7FF0176E">
            <w:pPr>
              <w:pStyle w:val="22"/>
              <w:bidi w:val="0"/>
              <w:rPr>
                <w:highlight w:val="none"/>
              </w:rPr>
            </w:pPr>
            <w:r>
              <w:rPr>
                <w:highlight w:val="none"/>
              </w:rPr>
              <w:t>0.9724</w:t>
            </w:r>
          </w:p>
        </w:tc>
        <w:tc>
          <w:tcPr>
            <w:tcW w:w="1663" w:type="dxa"/>
            <w:vAlign w:val="top"/>
          </w:tcPr>
          <w:p w14:paraId="5B1FFE15">
            <w:pPr>
              <w:pStyle w:val="22"/>
              <w:bidi w:val="0"/>
              <w:rPr>
                <w:highlight w:val="none"/>
              </w:rPr>
            </w:pPr>
            <w:r>
              <w:rPr>
                <w:highlight w:val="none"/>
              </w:rPr>
              <w:t>0.9116</w:t>
            </w:r>
          </w:p>
        </w:tc>
      </w:tr>
      <w:tr w14:paraId="6A27D7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7940CE78">
            <w:pPr>
              <w:pStyle w:val="22"/>
              <w:bidi w:val="0"/>
              <w:rPr>
                <w:highlight w:val="none"/>
              </w:rPr>
            </w:pPr>
            <w:r>
              <w:rPr>
                <w:highlight w:val="none"/>
              </w:rPr>
              <w:t>21</w:t>
            </w:r>
          </w:p>
        </w:tc>
        <w:tc>
          <w:tcPr>
            <w:tcW w:w="1658" w:type="dxa"/>
            <w:vAlign w:val="top"/>
          </w:tcPr>
          <w:p w14:paraId="225AA69C">
            <w:pPr>
              <w:pStyle w:val="22"/>
              <w:bidi w:val="0"/>
              <w:rPr>
                <w:highlight w:val="none"/>
              </w:rPr>
            </w:pPr>
            <w:r>
              <w:rPr>
                <w:highlight w:val="none"/>
              </w:rPr>
              <w:t>高丛珍珠梅群 系</w:t>
            </w:r>
          </w:p>
        </w:tc>
        <w:tc>
          <w:tcPr>
            <w:tcW w:w="1658" w:type="dxa"/>
            <w:vAlign w:val="top"/>
          </w:tcPr>
          <w:p w14:paraId="2783CBF5">
            <w:pPr>
              <w:pStyle w:val="22"/>
              <w:bidi w:val="0"/>
              <w:rPr>
                <w:highlight w:val="none"/>
              </w:rPr>
            </w:pPr>
            <w:r>
              <w:rPr>
                <w:highlight w:val="none"/>
              </w:rPr>
              <w:t>2.4864</w:t>
            </w:r>
          </w:p>
        </w:tc>
        <w:tc>
          <w:tcPr>
            <w:tcW w:w="1658" w:type="dxa"/>
            <w:vAlign w:val="top"/>
          </w:tcPr>
          <w:p w14:paraId="18D56C56">
            <w:pPr>
              <w:pStyle w:val="22"/>
              <w:bidi w:val="0"/>
              <w:rPr>
                <w:highlight w:val="none"/>
              </w:rPr>
            </w:pPr>
            <w:r>
              <w:rPr>
                <w:highlight w:val="none"/>
              </w:rPr>
              <w:t>0.9694</w:t>
            </w:r>
          </w:p>
        </w:tc>
        <w:tc>
          <w:tcPr>
            <w:tcW w:w="1663" w:type="dxa"/>
            <w:vAlign w:val="top"/>
          </w:tcPr>
          <w:p w14:paraId="0A9B98AF">
            <w:pPr>
              <w:pStyle w:val="22"/>
              <w:bidi w:val="0"/>
              <w:rPr>
                <w:highlight w:val="none"/>
              </w:rPr>
            </w:pPr>
            <w:r>
              <w:rPr>
                <w:highlight w:val="none"/>
              </w:rPr>
              <w:t>0.9097</w:t>
            </w:r>
          </w:p>
        </w:tc>
      </w:tr>
      <w:tr w14:paraId="533303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1EF08142">
            <w:pPr>
              <w:pStyle w:val="22"/>
              <w:bidi w:val="0"/>
              <w:rPr>
                <w:highlight w:val="none"/>
              </w:rPr>
            </w:pPr>
            <w:r>
              <w:rPr>
                <w:highlight w:val="none"/>
              </w:rPr>
              <w:t>10</w:t>
            </w:r>
          </w:p>
        </w:tc>
        <w:tc>
          <w:tcPr>
            <w:tcW w:w="1658" w:type="dxa"/>
            <w:vAlign w:val="top"/>
          </w:tcPr>
          <w:p w14:paraId="0045B83B">
            <w:pPr>
              <w:pStyle w:val="22"/>
              <w:bidi w:val="0"/>
              <w:rPr>
                <w:highlight w:val="none"/>
              </w:rPr>
            </w:pPr>
            <w:r>
              <w:rPr>
                <w:highlight w:val="none"/>
              </w:rPr>
              <w:t>长穗高山栎和 高山松群系</w:t>
            </w:r>
          </w:p>
        </w:tc>
        <w:tc>
          <w:tcPr>
            <w:tcW w:w="1658" w:type="dxa"/>
            <w:vAlign w:val="top"/>
          </w:tcPr>
          <w:p w14:paraId="07BA272F">
            <w:pPr>
              <w:pStyle w:val="22"/>
              <w:bidi w:val="0"/>
              <w:rPr>
                <w:highlight w:val="none"/>
              </w:rPr>
            </w:pPr>
            <w:r>
              <w:rPr>
                <w:highlight w:val="none"/>
              </w:rPr>
              <w:t>2.2142</w:t>
            </w:r>
          </w:p>
        </w:tc>
        <w:tc>
          <w:tcPr>
            <w:tcW w:w="1658" w:type="dxa"/>
            <w:vAlign w:val="top"/>
          </w:tcPr>
          <w:p w14:paraId="34648502">
            <w:pPr>
              <w:pStyle w:val="22"/>
              <w:bidi w:val="0"/>
              <w:rPr>
                <w:highlight w:val="none"/>
              </w:rPr>
            </w:pPr>
            <w:r>
              <w:rPr>
                <w:highlight w:val="none"/>
              </w:rPr>
              <w:t>0.8911</w:t>
            </w:r>
          </w:p>
        </w:tc>
        <w:tc>
          <w:tcPr>
            <w:tcW w:w="1663" w:type="dxa"/>
            <w:vAlign w:val="top"/>
          </w:tcPr>
          <w:p w14:paraId="4F82E907">
            <w:pPr>
              <w:pStyle w:val="22"/>
              <w:bidi w:val="0"/>
              <w:rPr>
                <w:highlight w:val="none"/>
              </w:rPr>
            </w:pPr>
            <w:r>
              <w:rPr>
                <w:highlight w:val="none"/>
              </w:rPr>
              <w:t>0.8610</w:t>
            </w:r>
          </w:p>
        </w:tc>
      </w:tr>
      <w:tr w14:paraId="68B390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0F20A25D">
            <w:pPr>
              <w:pStyle w:val="22"/>
              <w:bidi w:val="0"/>
              <w:rPr>
                <w:highlight w:val="none"/>
              </w:rPr>
            </w:pPr>
            <w:r>
              <w:rPr>
                <w:highlight w:val="none"/>
              </w:rPr>
              <w:t>11</w:t>
            </w:r>
          </w:p>
        </w:tc>
        <w:tc>
          <w:tcPr>
            <w:tcW w:w="1658" w:type="dxa"/>
            <w:vAlign w:val="top"/>
          </w:tcPr>
          <w:p w14:paraId="4A86BACA">
            <w:pPr>
              <w:pStyle w:val="22"/>
              <w:bidi w:val="0"/>
              <w:rPr>
                <w:highlight w:val="none"/>
              </w:rPr>
            </w:pPr>
            <w:r>
              <w:rPr>
                <w:highlight w:val="none"/>
              </w:rPr>
              <w:t>长穗高山栎和 高山松群系</w:t>
            </w:r>
          </w:p>
        </w:tc>
        <w:tc>
          <w:tcPr>
            <w:tcW w:w="1658" w:type="dxa"/>
            <w:vAlign w:val="top"/>
          </w:tcPr>
          <w:p w14:paraId="14DFE506">
            <w:pPr>
              <w:pStyle w:val="22"/>
              <w:bidi w:val="0"/>
              <w:rPr>
                <w:highlight w:val="none"/>
              </w:rPr>
            </w:pPr>
            <w:r>
              <w:rPr>
                <w:highlight w:val="none"/>
              </w:rPr>
              <w:t>2.1691</w:t>
            </w:r>
          </w:p>
        </w:tc>
        <w:tc>
          <w:tcPr>
            <w:tcW w:w="1658" w:type="dxa"/>
            <w:vAlign w:val="top"/>
          </w:tcPr>
          <w:p w14:paraId="564934C7">
            <w:pPr>
              <w:pStyle w:val="22"/>
              <w:bidi w:val="0"/>
              <w:rPr>
                <w:highlight w:val="none"/>
              </w:rPr>
            </w:pPr>
            <w:r>
              <w:rPr>
                <w:highlight w:val="none"/>
              </w:rPr>
              <w:t>0.8743</w:t>
            </w:r>
          </w:p>
        </w:tc>
        <w:tc>
          <w:tcPr>
            <w:tcW w:w="1663" w:type="dxa"/>
            <w:vAlign w:val="top"/>
          </w:tcPr>
          <w:p w14:paraId="583C67B6">
            <w:pPr>
              <w:pStyle w:val="22"/>
              <w:bidi w:val="0"/>
              <w:rPr>
                <w:highlight w:val="none"/>
              </w:rPr>
            </w:pPr>
            <w:r>
              <w:rPr>
                <w:highlight w:val="none"/>
              </w:rPr>
              <w:t>0.8598</w:t>
            </w:r>
          </w:p>
        </w:tc>
      </w:tr>
      <w:tr w14:paraId="6EEC2F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3" w:type="dxa"/>
            <w:vAlign w:val="top"/>
          </w:tcPr>
          <w:p w14:paraId="520D35F4">
            <w:pPr>
              <w:pStyle w:val="22"/>
              <w:bidi w:val="0"/>
              <w:rPr>
                <w:highlight w:val="none"/>
              </w:rPr>
            </w:pPr>
            <w:r>
              <w:rPr>
                <w:highlight w:val="none"/>
              </w:rPr>
              <w:t>12</w:t>
            </w:r>
          </w:p>
        </w:tc>
        <w:tc>
          <w:tcPr>
            <w:tcW w:w="1658" w:type="dxa"/>
            <w:vAlign w:val="top"/>
          </w:tcPr>
          <w:p w14:paraId="2F4C2BE8">
            <w:pPr>
              <w:pStyle w:val="22"/>
              <w:bidi w:val="0"/>
              <w:rPr>
                <w:highlight w:val="none"/>
              </w:rPr>
            </w:pPr>
            <w:r>
              <w:rPr>
                <w:highlight w:val="none"/>
              </w:rPr>
              <w:t>长穗高山栎和 高山松群系</w:t>
            </w:r>
          </w:p>
        </w:tc>
        <w:tc>
          <w:tcPr>
            <w:tcW w:w="1658" w:type="dxa"/>
            <w:vAlign w:val="top"/>
          </w:tcPr>
          <w:p w14:paraId="3CEF0120">
            <w:pPr>
              <w:pStyle w:val="22"/>
              <w:bidi w:val="0"/>
              <w:rPr>
                <w:highlight w:val="none"/>
              </w:rPr>
            </w:pPr>
            <w:r>
              <w:rPr>
                <w:highlight w:val="none"/>
              </w:rPr>
              <w:t>2.1465</w:t>
            </w:r>
          </w:p>
        </w:tc>
        <w:tc>
          <w:tcPr>
            <w:tcW w:w="1658" w:type="dxa"/>
            <w:vAlign w:val="top"/>
          </w:tcPr>
          <w:p w14:paraId="48429AAF">
            <w:pPr>
              <w:pStyle w:val="22"/>
              <w:bidi w:val="0"/>
              <w:rPr>
                <w:highlight w:val="none"/>
              </w:rPr>
            </w:pPr>
            <w:r>
              <w:rPr>
                <w:highlight w:val="none"/>
              </w:rPr>
              <w:t>0.8638</w:t>
            </w:r>
          </w:p>
        </w:tc>
        <w:tc>
          <w:tcPr>
            <w:tcW w:w="1663" w:type="dxa"/>
            <w:vAlign w:val="top"/>
          </w:tcPr>
          <w:p w14:paraId="3840EC31">
            <w:pPr>
              <w:pStyle w:val="22"/>
              <w:bidi w:val="0"/>
              <w:rPr>
                <w:highlight w:val="none"/>
              </w:rPr>
            </w:pPr>
            <w:r>
              <w:rPr>
                <w:highlight w:val="none"/>
              </w:rPr>
              <w:t>0.8511</w:t>
            </w:r>
          </w:p>
        </w:tc>
      </w:tr>
      <w:tr w14:paraId="13E827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321" w:type="dxa"/>
            <w:gridSpan w:val="2"/>
            <w:vAlign w:val="top"/>
          </w:tcPr>
          <w:p w14:paraId="0B4CD98E">
            <w:pPr>
              <w:pStyle w:val="22"/>
              <w:bidi w:val="0"/>
              <w:rPr>
                <w:highlight w:val="none"/>
              </w:rPr>
            </w:pPr>
            <w:r>
              <w:rPr>
                <w:highlight w:val="none"/>
              </w:rPr>
              <w:t>平均</w:t>
            </w:r>
          </w:p>
        </w:tc>
        <w:tc>
          <w:tcPr>
            <w:tcW w:w="1658" w:type="dxa"/>
            <w:vAlign w:val="top"/>
          </w:tcPr>
          <w:p w14:paraId="640C8AE2">
            <w:pPr>
              <w:pStyle w:val="22"/>
              <w:bidi w:val="0"/>
              <w:rPr>
                <w:highlight w:val="none"/>
              </w:rPr>
            </w:pPr>
            <w:r>
              <w:rPr>
                <w:highlight w:val="none"/>
              </w:rPr>
              <w:t>2.2152</w:t>
            </w:r>
          </w:p>
        </w:tc>
        <w:tc>
          <w:tcPr>
            <w:tcW w:w="1658" w:type="dxa"/>
            <w:vAlign w:val="top"/>
          </w:tcPr>
          <w:p w14:paraId="0B6880C4">
            <w:pPr>
              <w:pStyle w:val="22"/>
              <w:bidi w:val="0"/>
              <w:rPr>
                <w:highlight w:val="none"/>
              </w:rPr>
            </w:pPr>
            <w:r>
              <w:rPr>
                <w:highlight w:val="none"/>
              </w:rPr>
              <w:t>0.8876</w:t>
            </w:r>
          </w:p>
        </w:tc>
        <w:tc>
          <w:tcPr>
            <w:tcW w:w="1663" w:type="dxa"/>
            <w:vAlign w:val="top"/>
          </w:tcPr>
          <w:p w14:paraId="46A7230E">
            <w:pPr>
              <w:pStyle w:val="22"/>
              <w:bidi w:val="0"/>
              <w:rPr>
                <w:highlight w:val="none"/>
              </w:rPr>
            </w:pPr>
            <w:r>
              <w:rPr>
                <w:highlight w:val="none"/>
              </w:rPr>
              <w:t>0.8479</w:t>
            </w:r>
          </w:p>
        </w:tc>
      </w:tr>
    </w:tbl>
    <w:p w14:paraId="73CB5B57">
      <w:pPr>
        <w:pStyle w:val="6"/>
        <w:bidi w:val="0"/>
        <w:rPr>
          <w:rFonts w:hint="default"/>
          <w:highlight w:val="none"/>
          <w:lang w:val="en-US" w:eastAsia="zh-CN"/>
        </w:rPr>
      </w:pPr>
      <w:r>
        <w:rPr>
          <w:rFonts w:hint="eastAsia"/>
          <w:highlight w:val="none"/>
          <w:lang w:val="en-US" w:eastAsia="zh-CN"/>
        </w:rPr>
        <w:t>大型真菌</w:t>
      </w:r>
    </w:p>
    <w:p w14:paraId="36D8A710">
      <w:pPr>
        <w:rPr>
          <w:rFonts w:hint="default"/>
          <w:highlight w:val="none"/>
          <w:lang w:val="en-US" w:eastAsia="zh-CN"/>
        </w:rPr>
      </w:pPr>
      <w:r>
        <w:rPr>
          <w:rFonts w:hint="default"/>
          <w:highlight w:val="none"/>
          <w:lang w:val="en-US" w:eastAsia="zh-CN"/>
        </w:rPr>
        <w:t>大型真菌区别于霉菌和酵母菌等小型菌物，古时称之为蕈菌、蘑菇。大型 真菌具有维持陆地生态系统平衡、促进能量流动和保护生物多样性的作用。保 护区有多种多样的植物群落，为大型真菌提供了各种各样的生长环境。根据 《国家重点保护野生植物名录》，环评阶段尼色拥水库评价区内依据《国家重 点保护野生植物名录》国家林业和草原局、农业农村部公告(2021年第 15 号) 、 文献“冬虫夏草居谱系地理与适生区分布研究”及本次调查采集到 5 纲 7 目 18 科 34 种菌类；国家二级重点保护物种 1 种，冬虫夏草（Ophiocordyceps sinensis）；有 2 种被列为中国生物多样性红色名录易危物种 ，分别是松口蘑（松茸）（Tricholoma matsutake）和冬虫夏草（Ophiocordyceps sinensis），近危物种 1 种细枝瑚菌（Ramaria linearis）；特有种7种，云南小奥德蘑（Oudemansiella</w:t>
      </w:r>
      <w:r>
        <w:rPr>
          <w:rFonts w:hint="eastAsia"/>
          <w:highlight w:val="none"/>
          <w:lang w:val="en-US" w:eastAsia="zh-CN"/>
        </w:rPr>
        <w:t xml:space="preserve"> </w:t>
      </w:r>
      <w:r>
        <w:rPr>
          <w:rFonts w:hint="default"/>
          <w:highlight w:val="none"/>
          <w:lang w:val="en-US" w:eastAsia="zh-CN"/>
        </w:rPr>
        <w:t>yunnanensis）、美味黏肉菇 （Sarcomyxa edulis）、细枝瑚菌（Ramaria linearis）、东方褐盖鹅 膏（Amanita orientifulva ）、亚球基鹅 膏（Amanita subglobosa）、丛生粉褶蕈（Entoloma caespitosum）、橙黄蜡蘑（Laccaria aurantia）。将菌类按文献鉴定分为食用菌、药用真菌、毒蘑菇、木材腐朽菌，结果如下。</w:t>
      </w:r>
    </w:p>
    <w:p w14:paraId="2CD3D55D">
      <w:pPr>
        <w:numPr>
          <w:ilvl w:val="0"/>
          <w:numId w:val="22"/>
        </w:numPr>
        <w:ind w:left="420" w:leftChars="0" w:hanging="420" w:firstLineChars="0"/>
        <w:rPr>
          <w:rFonts w:hint="default"/>
          <w:highlight w:val="none"/>
          <w:lang w:val="en-US" w:eastAsia="zh-CN"/>
        </w:rPr>
      </w:pPr>
      <w:r>
        <w:rPr>
          <w:rFonts w:hint="default"/>
          <w:highlight w:val="none"/>
          <w:lang w:val="en-US" w:eastAsia="zh-CN"/>
        </w:rPr>
        <w:t>食用资源菌</w:t>
      </w:r>
    </w:p>
    <w:p w14:paraId="6B6BD5C0">
      <w:pPr>
        <w:bidi w:val="0"/>
        <w:rPr>
          <w:rFonts w:hint="default"/>
          <w:highlight w:val="none"/>
          <w:lang w:val="en-US" w:eastAsia="zh-CN"/>
        </w:rPr>
      </w:pPr>
      <w:r>
        <w:rPr>
          <w:rFonts w:hint="default"/>
          <w:highlight w:val="none"/>
          <w:lang w:val="en-US" w:eastAsia="zh-CN"/>
        </w:rPr>
        <w:t>调查期间，在工程影响区区内共采集到食用真菌12科18种，占本次调 查采集到菌类的52.9%，其中松口蘑（松茸）（Tricholoma matsutake）、冬虫夏草（Ophiocordyceps sinensis）具有经济价值，双孢蘑菇（Agaricus bisporus）可人工栽培。食用菌名录如下。</w:t>
      </w:r>
    </w:p>
    <w:p w14:paraId="71001FBA">
      <w:pPr>
        <w:pStyle w:val="11"/>
        <w:bidi w:val="0"/>
        <w:ind w:left="0" w:leftChars="0" w:firstLine="0" w:firstLineChars="0"/>
        <w:rPr>
          <w:rFonts w:hint="eastAsia"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30</w:t>
      </w:r>
      <w:r>
        <w:rPr>
          <w:highlight w:val="none"/>
        </w:rPr>
        <w:fldChar w:fldCharType="end"/>
      </w:r>
      <w:r>
        <w:rPr>
          <w:rFonts w:hint="eastAsia"/>
          <w:highlight w:val="none"/>
          <w:lang w:val="en-US" w:eastAsia="zh-CN"/>
        </w:rPr>
        <w:t xml:space="preserve"> 食用菌名录</w:t>
      </w:r>
    </w:p>
    <w:tbl>
      <w:tblPr>
        <w:tblStyle w:val="20"/>
        <w:tblW w:w="8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1"/>
        <w:gridCol w:w="2604"/>
        <w:gridCol w:w="1419"/>
        <w:gridCol w:w="927"/>
        <w:gridCol w:w="2195"/>
      </w:tblGrid>
      <w:tr w14:paraId="6411D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91" w:type="dxa"/>
            <w:vAlign w:val="center"/>
          </w:tcPr>
          <w:p w14:paraId="528BC584">
            <w:pPr>
              <w:pStyle w:val="22"/>
              <w:bidi w:val="0"/>
              <w:jc w:val="center"/>
              <w:rPr>
                <w:rFonts w:hint="default"/>
                <w:highlight w:val="none"/>
                <w:lang w:val="en-US" w:eastAsia="zh-CN"/>
              </w:rPr>
            </w:pPr>
            <w:r>
              <w:rPr>
                <w:rFonts w:hint="eastAsia"/>
                <w:highlight w:val="none"/>
                <w:lang w:val="en-US" w:eastAsia="zh-CN"/>
              </w:rPr>
              <w:t>物种名</w:t>
            </w:r>
          </w:p>
        </w:tc>
        <w:tc>
          <w:tcPr>
            <w:tcW w:w="2604" w:type="dxa"/>
            <w:vAlign w:val="center"/>
          </w:tcPr>
          <w:p w14:paraId="26CE27AD">
            <w:pPr>
              <w:pStyle w:val="22"/>
              <w:bidi w:val="0"/>
              <w:jc w:val="center"/>
              <w:rPr>
                <w:rFonts w:hint="default"/>
                <w:highlight w:val="none"/>
                <w:lang w:val="en-US" w:eastAsia="zh-CN"/>
              </w:rPr>
            </w:pPr>
            <w:r>
              <w:rPr>
                <w:rFonts w:hint="default"/>
                <w:highlight w:val="none"/>
                <w:lang w:val="en-US" w:eastAsia="zh-CN"/>
              </w:rPr>
              <w:t>拉丁名</w:t>
            </w:r>
          </w:p>
        </w:tc>
        <w:tc>
          <w:tcPr>
            <w:tcW w:w="1419" w:type="dxa"/>
            <w:vAlign w:val="center"/>
          </w:tcPr>
          <w:p w14:paraId="13415EEF">
            <w:pPr>
              <w:pStyle w:val="22"/>
              <w:bidi w:val="0"/>
              <w:jc w:val="center"/>
              <w:rPr>
                <w:rFonts w:hint="default"/>
                <w:highlight w:val="none"/>
                <w:lang w:val="en-US" w:eastAsia="zh-CN"/>
              </w:rPr>
            </w:pPr>
            <w:r>
              <w:rPr>
                <w:rFonts w:hint="default"/>
                <w:highlight w:val="none"/>
                <w:lang w:val="en-US" w:eastAsia="zh-CN"/>
              </w:rPr>
              <w:t>评估等级</w:t>
            </w:r>
          </w:p>
        </w:tc>
        <w:tc>
          <w:tcPr>
            <w:tcW w:w="927" w:type="dxa"/>
            <w:vAlign w:val="center"/>
          </w:tcPr>
          <w:p w14:paraId="2A36F58F">
            <w:pPr>
              <w:pStyle w:val="22"/>
              <w:bidi w:val="0"/>
              <w:jc w:val="center"/>
              <w:rPr>
                <w:rFonts w:hint="default"/>
                <w:highlight w:val="none"/>
                <w:lang w:val="en-US" w:eastAsia="zh-CN"/>
              </w:rPr>
            </w:pPr>
            <w:r>
              <w:rPr>
                <w:rFonts w:hint="default"/>
                <w:highlight w:val="none"/>
                <w:lang w:val="en-US" w:eastAsia="zh-CN"/>
              </w:rPr>
              <w:t>特有种</w:t>
            </w:r>
          </w:p>
        </w:tc>
        <w:tc>
          <w:tcPr>
            <w:tcW w:w="2195" w:type="dxa"/>
            <w:vAlign w:val="center"/>
          </w:tcPr>
          <w:p w14:paraId="2ACBC109">
            <w:pPr>
              <w:pStyle w:val="22"/>
              <w:bidi w:val="0"/>
              <w:jc w:val="center"/>
              <w:rPr>
                <w:rFonts w:hint="default"/>
                <w:highlight w:val="none"/>
                <w:lang w:val="en-US" w:eastAsia="zh-CN"/>
              </w:rPr>
            </w:pPr>
            <w:r>
              <w:rPr>
                <w:rFonts w:hint="default"/>
                <w:highlight w:val="none"/>
                <w:lang w:val="en-US" w:eastAsia="zh-CN"/>
              </w:rPr>
              <w:t>备注</w:t>
            </w:r>
          </w:p>
        </w:tc>
      </w:tr>
      <w:tr w14:paraId="60C88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7F13D57D">
            <w:pPr>
              <w:pStyle w:val="22"/>
              <w:bidi w:val="0"/>
              <w:jc w:val="center"/>
              <w:rPr>
                <w:rFonts w:hint="default"/>
                <w:b/>
                <w:bCs/>
                <w:highlight w:val="none"/>
                <w:lang w:val="en-US" w:eastAsia="zh-CN"/>
              </w:rPr>
            </w:pPr>
            <w:r>
              <w:rPr>
                <w:rFonts w:hint="default"/>
                <w:b/>
                <w:bCs/>
                <w:highlight w:val="none"/>
                <w:lang w:val="en-US" w:eastAsia="zh-CN"/>
              </w:rPr>
              <w:t>伞菌目</w:t>
            </w:r>
          </w:p>
        </w:tc>
        <w:tc>
          <w:tcPr>
            <w:tcW w:w="2604" w:type="dxa"/>
            <w:vAlign w:val="center"/>
          </w:tcPr>
          <w:p w14:paraId="43D261A4">
            <w:pPr>
              <w:pStyle w:val="22"/>
              <w:bidi w:val="0"/>
              <w:jc w:val="center"/>
              <w:rPr>
                <w:rFonts w:hint="default"/>
                <w:b/>
                <w:bCs/>
                <w:i/>
                <w:iCs w:val="0"/>
                <w:highlight w:val="none"/>
                <w:lang w:val="en-US" w:eastAsia="zh-CN"/>
              </w:rPr>
            </w:pPr>
            <w:r>
              <w:rPr>
                <w:rFonts w:hint="default"/>
                <w:b/>
                <w:bCs/>
                <w:i/>
                <w:iCs w:val="0"/>
                <w:highlight w:val="none"/>
                <w:lang w:val="en-US" w:eastAsia="zh-CN"/>
              </w:rPr>
              <w:t>Agaricales</w:t>
            </w:r>
          </w:p>
        </w:tc>
        <w:tc>
          <w:tcPr>
            <w:tcW w:w="1419" w:type="dxa"/>
            <w:vAlign w:val="center"/>
          </w:tcPr>
          <w:p w14:paraId="34772A53">
            <w:pPr>
              <w:pStyle w:val="22"/>
              <w:bidi w:val="0"/>
              <w:jc w:val="center"/>
              <w:rPr>
                <w:rFonts w:hint="default"/>
                <w:highlight w:val="none"/>
                <w:lang w:val="en-US" w:eastAsia="zh-CN"/>
              </w:rPr>
            </w:pPr>
          </w:p>
        </w:tc>
        <w:tc>
          <w:tcPr>
            <w:tcW w:w="927" w:type="dxa"/>
            <w:vAlign w:val="center"/>
          </w:tcPr>
          <w:p w14:paraId="5A3A4ABB">
            <w:pPr>
              <w:pStyle w:val="22"/>
              <w:bidi w:val="0"/>
              <w:jc w:val="center"/>
              <w:rPr>
                <w:rFonts w:hint="default"/>
                <w:highlight w:val="none"/>
                <w:lang w:val="en-US" w:eastAsia="zh-CN"/>
              </w:rPr>
            </w:pPr>
          </w:p>
        </w:tc>
        <w:tc>
          <w:tcPr>
            <w:tcW w:w="2195" w:type="dxa"/>
            <w:vAlign w:val="center"/>
          </w:tcPr>
          <w:p w14:paraId="609FBC4A">
            <w:pPr>
              <w:pStyle w:val="22"/>
              <w:bidi w:val="0"/>
              <w:jc w:val="center"/>
              <w:rPr>
                <w:rFonts w:hint="default"/>
                <w:highlight w:val="none"/>
                <w:lang w:val="en-US" w:eastAsia="zh-CN"/>
              </w:rPr>
            </w:pPr>
          </w:p>
        </w:tc>
      </w:tr>
      <w:tr w14:paraId="5806F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65384CA2">
            <w:pPr>
              <w:pStyle w:val="22"/>
              <w:bidi w:val="0"/>
              <w:jc w:val="center"/>
              <w:rPr>
                <w:rFonts w:hint="default"/>
                <w:b/>
                <w:bCs/>
                <w:highlight w:val="none"/>
                <w:lang w:val="en-US" w:eastAsia="zh-CN"/>
              </w:rPr>
            </w:pPr>
            <w:r>
              <w:rPr>
                <w:rFonts w:hint="default"/>
                <w:b/>
                <w:bCs/>
                <w:highlight w:val="none"/>
                <w:lang w:val="en-US" w:eastAsia="zh-CN"/>
              </w:rPr>
              <w:t>口蘑科</w:t>
            </w:r>
          </w:p>
        </w:tc>
        <w:tc>
          <w:tcPr>
            <w:tcW w:w="2604" w:type="dxa"/>
            <w:vAlign w:val="center"/>
          </w:tcPr>
          <w:p w14:paraId="406016A1">
            <w:pPr>
              <w:pStyle w:val="22"/>
              <w:bidi w:val="0"/>
              <w:jc w:val="center"/>
              <w:rPr>
                <w:rFonts w:hint="default"/>
                <w:b/>
                <w:bCs/>
                <w:i/>
                <w:iCs w:val="0"/>
                <w:highlight w:val="none"/>
                <w:lang w:val="en-US" w:eastAsia="zh-CN"/>
              </w:rPr>
            </w:pPr>
            <w:r>
              <w:rPr>
                <w:rFonts w:hint="default"/>
                <w:b/>
                <w:bCs/>
                <w:i/>
                <w:iCs w:val="0"/>
                <w:highlight w:val="none"/>
                <w:lang w:val="en-US" w:eastAsia="zh-CN"/>
              </w:rPr>
              <w:t>Tricholomataceae</w:t>
            </w:r>
          </w:p>
        </w:tc>
        <w:tc>
          <w:tcPr>
            <w:tcW w:w="1419" w:type="dxa"/>
            <w:vAlign w:val="center"/>
          </w:tcPr>
          <w:p w14:paraId="0DDD4F01">
            <w:pPr>
              <w:pStyle w:val="22"/>
              <w:bidi w:val="0"/>
              <w:jc w:val="center"/>
              <w:rPr>
                <w:rFonts w:hint="default"/>
                <w:highlight w:val="none"/>
                <w:lang w:val="en-US" w:eastAsia="zh-CN"/>
              </w:rPr>
            </w:pPr>
          </w:p>
        </w:tc>
        <w:tc>
          <w:tcPr>
            <w:tcW w:w="927" w:type="dxa"/>
            <w:vAlign w:val="center"/>
          </w:tcPr>
          <w:p w14:paraId="6D7A8832">
            <w:pPr>
              <w:pStyle w:val="22"/>
              <w:bidi w:val="0"/>
              <w:jc w:val="center"/>
              <w:rPr>
                <w:rFonts w:hint="default"/>
                <w:highlight w:val="none"/>
                <w:lang w:val="en-US" w:eastAsia="zh-CN"/>
              </w:rPr>
            </w:pPr>
          </w:p>
        </w:tc>
        <w:tc>
          <w:tcPr>
            <w:tcW w:w="2195" w:type="dxa"/>
            <w:vAlign w:val="center"/>
          </w:tcPr>
          <w:p w14:paraId="71D90B2F">
            <w:pPr>
              <w:pStyle w:val="22"/>
              <w:bidi w:val="0"/>
              <w:jc w:val="center"/>
              <w:rPr>
                <w:rFonts w:hint="default"/>
                <w:highlight w:val="none"/>
                <w:lang w:val="en-US" w:eastAsia="zh-CN"/>
              </w:rPr>
            </w:pPr>
          </w:p>
        </w:tc>
      </w:tr>
      <w:tr w14:paraId="49FE0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68AF8468">
            <w:pPr>
              <w:pStyle w:val="22"/>
              <w:bidi w:val="0"/>
              <w:jc w:val="center"/>
              <w:rPr>
                <w:rFonts w:hint="default"/>
                <w:highlight w:val="none"/>
                <w:lang w:val="en-US" w:eastAsia="zh-CN"/>
              </w:rPr>
            </w:pPr>
            <w:r>
              <w:rPr>
                <w:rFonts w:hint="default"/>
                <w:highlight w:val="none"/>
                <w:lang w:val="en-US" w:eastAsia="zh-CN"/>
              </w:rPr>
              <w:t>松口蘑(松茸)</w:t>
            </w:r>
          </w:p>
        </w:tc>
        <w:tc>
          <w:tcPr>
            <w:tcW w:w="2604" w:type="dxa"/>
            <w:vAlign w:val="center"/>
          </w:tcPr>
          <w:p w14:paraId="773FFEBD">
            <w:pPr>
              <w:pStyle w:val="22"/>
              <w:bidi w:val="0"/>
              <w:jc w:val="center"/>
              <w:rPr>
                <w:rFonts w:hint="default"/>
                <w:i/>
                <w:iCs w:val="0"/>
                <w:highlight w:val="none"/>
                <w:lang w:val="en-US" w:eastAsia="zh-CN"/>
              </w:rPr>
            </w:pPr>
            <w:r>
              <w:rPr>
                <w:rFonts w:hint="default"/>
                <w:i/>
                <w:iCs w:val="0"/>
                <w:highlight w:val="none"/>
                <w:lang w:val="en-US" w:eastAsia="zh-CN"/>
              </w:rPr>
              <w:t>Tricholoma</w:t>
            </w:r>
            <w:r>
              <w:rPr>
                <w:rFonts w:hint="eastAsia"/>
                <w:i/>
                <w:iCs w:val="0"/>
                <w:highlight w:val="none"/>
                <w:lang w:val="en-US" w:eastAsia="zh-CN"/>
              </w:rPr>
              <w:t xml:space="preserve"> </w:t>
            </w:r>
            <w:r>
              <w:rPr>
                <w:rFonts w:hint="default"/>
                <w:i/>
                <w:iCs w:val="0"/>
                <w:highlight w:val="none"/>
                <w:lang w:val="en-US" w:eastAsia="zh-CN"/>
              </w:rPr>
              <w:t>matsutake</w:t>
            </w:r>
          </w:p>
        </w:tc>
        <w:tc>
          <w:tcPr>
            <w:tcW w:w="1419" w:type="dxa"/>
            <w:vAlign w:val="center"/>
          </w:tcPr>
          <w:p w14:paraId="4036B60D">
            <w:pPr>
              <w:pStyle w:val="22"/>
              <w:bidi w:val="0"/>
              <w:jc w:val="center"/>
              <w:rPr>
                <w:rFonts w:hint="default"/>
                <w:highlight w:val="none"/>
                <w:lang w:val="en-US" w:eastAsia="zh-CN"/>
              </w:rPr>
            </w:pPr>
            <w:r>
              <w:rPr>
                <w:rFonts w:hint="default"/>
                <w:highlight w:val="none"/>
                <w:lang w:val="en-US" w:eastAsia="zh-CN"/>
              </w:rPr>
              <w:t>VU</w:t>
            </w:r>
          </w:p>
        </w:tc>
        <w:tc>
          <w:tcPr>
            <w:tcW w:w="927" w:type="dxa"/>
            <w:vAlign w:val="center"/>
          </w:tcPr>
          <w:p w14:paraId="69DD6020">
            <w:pPr>
              <w:pStyle w:val="22"/>
              <w:bidi w:val="0"/>
              <w:jc w:val="center"/>
              <w:rPr>
                <w:rFonts w:hint="default"/>
                <w:highlight w:val="none"/>
                <w:lang w:val="en-US" w:eastAsia="zh-CN"/>
              </w:rPr>
            </w:pPr>
          </w:p>
        </w:tc>
        <w:tc>
          <w:tcPr>
            <w:tcW w:w="2195" w:type="dxa"/>
            <w:vAlign w:val="center"/>
          </w:tcPr>
          <w:p w14:paraId="73F505EB">
            <w:pPr>
              <w:pStyle w:val="22"/>
              <w:bidi w:val="0"/>
              <w:jc w:val="center"/>
              <w:rPr>
                <w:rFonts w:hint="default"/>
                <w:highlight w:val="none"/>
                <w:lang w:val="en-US" w:eastAsia="zh-CN"/>
              </w:rPr>
            </w:pPr>
            <w:r>
              <w:rPr>
                <w:rFonts w:hint="default"/>
                <w:highlight w:val="none"/>
                <w:lang w:val="en-US" w:eastAsia="zh-CN"/>
              </w:rPr>
              <w:t>著名食用菌，有重要经济价值</w:t>
            </w:r>
          </w:p>
        </w:tc>
      </w:tr>
      <w:tr w14:paraId="29326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7A295C4D">
            <w:pPr>
              <w:pStyle w:val="22"/>
              <w:bidi w:val="0"/>
              <w:jc w:val="center"/>
              <w:rPr>
                <w:rFonts w:hint="default"/>
                <w:highlight w:val="none"/>
                <w:lang w:val="en-US" w:eastAsia="zh-CN"/>
              </w:rPr>
            </w:pPr>
            <w:r>
              <w:rPr>
                <w:rFonts w:hint="default"/>
                <w:highlight w:val="none"/>
                <w:lang w:val="en-US" w:eastAsia="zh-CN"/>
              </w:rPr>
              <w:t>肉色香蘑</w:t>
            </w:r>
          </w:p>
        </w:tc>
        <w:tc>
          <w:tcPr>
            <w:tcW w:w="2604" w:type="dxa"/>
            <w:vAlign w:val="center"/>
          </w:tcPr>
          <w:p w14:paraId="78A7C981">
            <w:pPr>
              <w:pStyle w:val="22"/>
              <w:bidi w:val="0"/>
              <w:jc w:val="center"/>
              <w:rPr>
                <w:rFonts w:hint="default"/>
                <w:i/>
                <w:iCs w:val="0"/>
                <w:highlight w:val="none"/>
                <w:lang w:val="en-US" w:eastAsia="zh-CN"/>
              </w:rPr>
            </w:pPr>
            <w:r>
              <w:rPr>
                <w:rFonts w:hint="default"/>
                <w:i/>
                <w:iCs w:val="0"/>
                <w:highlight w:val="none"/>
                <w:lang w:val="en-US" w:eastAsia="zh-CN"/>
              </w:rPr>
              <w:t>Lepista irina</w:t>
            </w:r>
          </w:p>
        </w:tc>
        <w:tc>
          <w:tcPr>
            <w:tcW w:w="1419" w:type="dxa"/>
            <w:vAlign w:val="center"/>
          </w:tcPr>
          <w:p w14:paraId="174BB58F">
            <w:pPr>
              <w:pStyle w:val="22"/>
              <w:bidi w:val="0"/>
              <w:jc w:val="center"/>
              <w:rPr>
                <w:rFonts w:hint="default"/>
                <w:highlight w:val="none"/>
                <w:lang w:val="en-US" w:eastAsia="zh-CN"/>
              </w:rPr>
            </w:pPr>
            <w:r>
              <w:rPr>
                <w:rFonts w:hint="default"/>
                <w:highlight w:val="none"/>
                <w:lang w:val="en-US" w:eastAsia="zh-CN"/>
              </w:rPr>
              <w:t>LC</w:t>
            </w:r>
          </w:p>
        </w:tc>
        <w:tc>
          <w:tcPr>
            <w:tcW w:w="927" w:type="dxa"/>
            <w:vAlign w:val="center"/>
          </w:tcPr>
          <w:p w14:paraId="765E333A">
            <w:pPr>
              <w:pStyle w:val="22"/>
              <w:bidi w:val="0"/>
              <w:jc w:val="center"/>
              <w:rPr>
                <w:rFonts w:hint="default"/>
                <w:highlight w:val="none"/>
                <w:lang w:val="en-US" w:eastAsia="zh-CN"/>
              </w:rPr>
            </w:pPr>
          </w:p>
        </w:tc>
        <w:tc>
          <w:tcPr>
            <w:tcW w:w="2195" w:type="dxa"/>
            <w:vAlign w:val="center"/>
          </w:tcPr>
          <w:p w14:paraId="4814C36B">
            <w:pPr>
              <w:pStyle w:val="22"/>
              <w:bidi w:val="0"/>
              <w:jc w:val="center"/>
              <w:rPr>
                <w:rFonts w:hint="default"/>
                <w:highlight w:val="none"/>
                <w:lang w:val="en-US" w:eastAsia="zh-CN"/>
              </w:rPr>
            </w:pPr>
            <w:r>
              <w:rPr>
                <w:rFonts w:hint="default"/>
                <w:highlight w:val="none"/>
                <w:lang w:val="en-US" w:eastAsia="zh-CN"/>
              </w:rPr>
              <w:t>重要野生食用菌</w:t>
            </w:r>
          </w:p>
        </w:tc>
      </w:tr>
      <w:tr w14:paraId="2FD88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27E2B5DA">
            <w:pPr>
              <w:pStyle w:val="22"/>
              <w:bidi w:val="0"/>
              <w:jc w:val="center"/>
              <w:rPr>
                <w:rFonts w:hint="default"/>
                <w:b/>
                <w:bCs/>
                <w:highlight w:val="none"/>
                <w:lang w:val="en-US" w:eastAsia="zh-CN"/>
              </w:rPr>
            </w:pPr>
            <w:r>
              <w:rPr>
                <w:rFonts w:hint="default"/>
                <w:b/>
                <w:bCs/>
                <w:highlight w:val="none"/>
                <w:lang w:val="en-US" w:eastAsia="zh-CN"/>
              </w:rPr>
              <w:t>泡头菌科</w:t>
            </w:r>
          </w:p>
        </w:tc>
        <w:tc>
          <w:tcPr>
            <w:tcW w:w="2604" w:type="dxa"/>
            <w:vAlign w:val="center"/>
          </w:tcPr>
          <w:p w14:paraId="4B759B3A">
            <w:pPr>
              <w:pStyle w:val="22"/>
              <w:bidi w:val="0"/>
              <w:jc w:val="center"/>
              <w:rPr>
                <w:rFonts w:hint="default"/>
                <w:b/>
                <w:bCs/>
                <w:i/>
                <w:iCs w:val="0"/>
                <w:highlight w:val="none"/>
                <w:lang w:val="en-US" w:eastAsia="zh-CN"/>
              </w:rPr>
            </w:pPr>
            <w:r>
              <w:rPr>
                <w:rFonts w:hint="default"/>
                <w:b/>
                <w:bCs/>
                <w:i/>
                <w:iCs w:val="0"/>
                <w:highlight w:val="none"/>
                <w:lang w:val="en-US" w:eastAsia="zh-CN"/>
              </w:rPr>
              <w:t>Physalacriaceae</w:t>
            </w:r>
          </w:p>
        </w:tc>
        <w:tc>
          <w:tcPr>
            <w:tcW w:w="1419" w:type="dxa"/>
            <w:vAlign w:val="center"/>
          </w:tcPr>
          <w:p w14:paraId="44A10067">
            <w:pPr>
              <w:pStyle w:val="22"/>
              <w:bidi w:val="0"/>
              <w:jc w:val="center"/>
              <w:rPr>
                <w:rFonts w:hint="default"/>
                <w:highlight w:val="none"/>
                <w:lang w:val="en-US" w:eastAsia="zh-CN"/>
              </w:rPr>
            </w:pPr>
          </w:p>
        </w:tc>
        <w:tc>
          <w:tcPr>
            <w:tcW w:w="927" w:type="dxa"/>
            <w:vAlign w:val="center"/>
          </w:tcPr>
          <w:p w14:paraId="307ABC50">
            <w:pPr>
              <w:pStyle w:val="22"/>
              <w:bidi w:val="0"/>
              <w:jc w:val="center"/>
              <w:rPr>
                <w:rFonts w:hint="default"/>
                <w:highlight w:val="none"/>
                <w:lang w:val="en-US" w:eastAsia="zh-CN"/>
              </w:rPr>
            </w:pPr>
          </w:p>
        </w:tc>
        <w:tc>
          <w:tcPr>
            <w:tcW w:w="2195" w:type="dxa"/>
            <w:vAlign w:val="center"/>
          </w:tcPr>
          <w:p w14:paraId="64056A93">
            <w:pPr>
              <w:pStyle w:val="22"/>
              <w:bidi w:val="0"/>
              <w:jc w:val="center"/>
              <w:rPr>
                <w:rFonts w:hint="default"/>
                <w:highlight w:val="none"/>
                <w:lang w:val="en-US" w:eastAsia="zh-CN"/>
              </w:rPr>
            </w:pPr>
          </w:p>
        </w:tc>
      </w:tr>
      <w:tr w14:paraId="17FAD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31761654">
            <w:pPr>
              <w:pStyle w:val="22"/>
              <w:bidi w:val="0"/>
              <w:jc w:val="center"/>
              <w:rPr>
                <w:rFonts w:hint="default"/>
                <w:highlight w:val="none"/>
                <w:lang w:val="en-US" w:eastAsia="zh-CN"/>
              </w:rPr>
            </w:pPr>
            <w:r>
              <w:rPr>
                <w:rFonts w:hint="default"/>
                <w:highlight w:val="none"/>
                <w:lang w:val="en-US" w:eastAsia="zh-CN"/>
              </w:rPr>
              <w:t>云南小奥德蘑</w:t>
            </w:r>
          </w:p>
        </w:tc>
        <w:tc>
          <w:tcPr>
            <w:tcW w:w="2604" w:type="dxa"/>
            <w:vAlign w:val="center"/>
          </w:tcPr>
          <w:p w14:paraId="580D3F32">
            <w:pPr>
              <w:pStyle w:val="22"/>
              <w:bidi w:val="0"/>
              <w:jc w:val="center"/>
              <w:rPr>
                <w:rFonts w:hint="default"/>
                <w:i/>
                <w:iCs w:val="0"/>
                <w:highlight w:val="none"/>
                <w:lang w:val="en-US" w:eastAsia="zh-CN"/>
              </w:rPr>
            </w:pPr>
            <w:r>
              <w:rPr>
                <w:rFonts w:hint="default"/>
                <w:i/>
                <w:iCs w:val="0"/>
                <w:highlight w:val="none"/>
                <w:lang w:val="en-US" w:eastAsia="zh-CN"/>
              </w:rPr>
              <w:t>Oudemansiella</w:t>
            </w:r>
            <w:r>
              <w:rPr>
                <w:rFonts w:hint="eastAsia"/>
                <w:i/>
                <w:iCs w:val="0"/>
                <w:highlight w:val="none"/>
                <w:lang w:val="en-US" w:eastAsia="zh-CN"/>
              </w:rPr>
              <w:t xml:space="preserve"> </w:t>
            </w:r>
            <w:r>
              <w:rPr>
                <w:rFonts w:hint="default"/>
                <w:i/>
                <w:iCs w:val="0"/>
                <w:highlight w:val="none"/>
                <w:lang w:val="en-US" w:eastAsia="zh-CN"/>
              </w:rPr>
              <w:t>yunnanensis</w:t>
            </w:r>
          </w:p>
        </w:tc>
        <w:tc>
          <w:tcPr>
            <w:tcW w:w="1419" w:type="dxa"/>
            <w:vAlign w:val="center"/>
          </w:tcPr>
          <w:p w14:paraId="5EB2DF46">
            <w:pPr>
              <w:pStyle w:val="22"/>
              <w:bidi w:val="0"/>
              <w:jc w:val="center"/>
              <w:rPr>
                <w:rFonts w:hint="default"/>
                <w:highlight w:val="none"/>
                <w:lang w:val="en-US" w:eastAsia="zh-CN"/>
              </w:rPr>
            </w:pPr>
            <w:r>
              <w:rPr>
                <w:rFonts w:hint="default"/>
                <w:highlight w:val="none"/>
                <w:lang w:val="en-US" w:eastAsia="zh-CN"/>
              </w:rPr>
              <w:t>DD</w:t>
            </w:r>
          </w:p>
        </w:tc>
        <w:tc>
          <w:tcPr>
            <w:tcW w:w="927" w:type="dxa"/>
            <w:vAlign w:val="center"/>
          </w:tcPr>
          <w:p w14:paraId="68050B2C">
            <w:pPr>
              <w:pStyle w:val="22"/>
              <w:bidi w:val="0"/>
              <w:jc w:val="center"/>
              <w:rPr>
                <w:rFonts w:hint="default"/>
                <w:highlight w:val="none"/>
                <w:lang w:val="en-US" w:eastAsia="zh-CN"/>
              </w:rPr>
            </w:pPr>
            <w:r>
              <w:rPr>
                <w:rFonts w:hint="default"/>
                <w:highlight w:val="none"/>
                <w:lang w:val="en-US" w:eastAsia="zh-CN"/>
              </w:rPr>
              <w:t>√</w:t>
            </w:r>
          </w:p>
        </w:tc>
        <w:tc>
          <w:tcPr>
            <w:tcW w:w="2195" w:type="dxa"/>
            <w:vAlign w:val="center"/>
          </w:tcPr>
          <w:p w14:paraId="5DA1CEF5">
            <w:pPr>
              <w:pStyle w:val="22"/>
              <w:bidi w:val="0"/>
              <w:jc w:val="center"/>
              <w:rPr>
                <w:rFonts w:hint="default"/>
                <w:highlight w:val="none"/>
                <w:lang w:val="en-US" w:eastAsia="zh-CN"/>
              </w:rPr>
            </w:pPr>
            <w:r>
              <w:rPr>
                <w:rFonts w:hint="default"/>
                <w:highlight w:val="none"/>
                <w:lang w:val="en-US" w:eastAsia="zh-CN"/>
              </w:rPr>
              <w:t>可食用</w:t>
            </w:r>
          </w:p>
        </w:tc>
      </w:tr>
      <w:tr w14:paraId="7727E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1CC0757C">
            <w:pPr>
              <w:pStyle w:val="22"/>
              <w:bidi w:val="0"/>
              <w:jc w:val="center"/>
              <w:rPr>
                <w:rFonts w:hint="default"/>
                <w:b/>
                <w:bCs/>
                <w:highlight w:val="none"/>
                <w:lang w:val="en-US" w:eastAsia="zh-CN"/>
              </w:rPr>
            </w:pPr>
            <w:r>
              <w:rPr>
                <w:rFonts w:hint="default"/>
                <w:b/>
                <w:bCs/>
                <w:highlight w:val="none"/>
                <w:lang w:val="en-US" w:eastAsia="zh-CN"/>
              </w:rPr>
              <w:t>丝膜菌科</w:t>
            </w:r>
          </w:p>
        </w:tc>
        <w:tc>
          <w:tcPr>
            <w:tcW w:w="2604" w:type="dxa"/>
            <w:vAlign w:val="center"/>
          </w:tcPr>
          <w:p w14:paraId="69C65CAF">
            <w:pPr>
              <w:pStyle w:val="22"/>
              <w:bidi w:val="0"/>
              <w:jc w:val="center"/>
              <w:rPr>
                <w:rFonts w:hint="default"/>
                <w:b/>
                <w:bCs/>
                <w:i/>
                <w:iCs w:val="0"/>
                <w:highlight w:val="none"/>
                <w:lang w:val="en-US" w:eastAsia="zh-CN"/>
              </w:rPr>
            </w:pPr>
            <w:r>
              <w:rPr>
                <w:rFonts w:hint="default"/>
                <w:b/>
                <w:bCs/>
                <w:i/>
                <w:iCs w:val="0"/>
                <w:highlight w:val="none"/>
                <w:lang w:val="en-US" w:eastAsia="zh-CN"/>
              </w:rPr>
              <w:t>Cortinariaceae</w:t>
            </w:r>
          </w:p>
        </w:tc>
        <w:tc>
          <w:tcPr>
            <w:tcW w:w="1419" w:type="dxa"/>
            <w:vAlign w:val="center"/>
          </w:tcPr>
          <w:p w14:paraId="5393CFE1">
            <w:pPr>
              <w:pStyle w:val="22"/>
              <w:bidi w:val="0"/>
              <w:jc w:val="center"/>
              <w:rPr>
                <w:rFonts w:hint="default"/>
                <w:highlight w:val="none"/>
                <w:lang w:val="en-US" w:eastAsia="zh-CN"/>
              </w:rPr>
            </w:pPr>
          </w:p>
        </w:tc>
        <w:tc>
          <w:tcPr>
            <w:tcW w:w="927" w:type="dxa"/>
            <w:vAlign w:val="center"/>
          </w:tcPr>
          <w:p w14:paraId="0395385B">
            <w:pPr>
              <w:pStyle w:val="22"/>
              <w:bidi w:val="0"/>
              <w:jc w:val="center"/>
              <w:rPr>
                <w:rFonts w:hint="default"/>
                <w:highlight w:val="none"/>
                <w:lang w:val="en-US" w:eastAsia="zh-CN"/>
              </w:rPr>
            </w:pPr>
          </w:p>
        </w:tc>
        <w:tc>
          <w:tcPr>
            <w:tcW w:w="2195" w:type="dxa"/>
            <w:vAlign w:val="center"/>
          </w:tcPr>
          <w:p w14:paraId="1922CBB8">
            <w:pPr>
              <w:pStyle w:val="22"/>
              <w:bidi w:val="0"/>
              <w:jc w:val="center"/>
              <w:rPr>
                <w:rFonts w:hint="default"/>
                <w:highlight w:val="none"/>
                <w:lang w:val="en-US" w:eastAsia="zh-CN"/>
              </w:rPr>
            </w:pPr>
          </w:p>
        </w:tc>
      </w:tr>
      <w:tr w14:paraId="52801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110C9B61">
            <w:pPr>
              <w:pStyle w:val="22"/>
              <w:bidi w:val="0"/>
              <w:jc w:val="center"/>
              <w:rPr>
                <w:rFonts w:hint="default"/>
                <w:highlight w:val="none"/>
                <w:lang w:val="en-US" w:eastAsia="zh-CN"/>
              </w:rPr>
            </w:pPr>
            <w:r>
              <w:rPr>
                <w:rFonts w:hint="default"/>
                <w:highlight w:val="none"/>
                <w:lang w:val="en-US" w:eastAsia="zh-CN"/>
              </w:rPr>
              <w:t>黏柄丝膜菌</w:t>
            </w:r>
          </w:p>
        </w:tc>
        <w:tc>
          <w:tcPr>
            <w:tcW w:w="2604" w:type="dxa"/>
            <w:vAlign w:val="center"/>
          </w:tcPr>
          <w:p w14:paraId="3C4FBEB6">
            <w:pPr>
              <w:pStyle w:val="22"/>
              <w:bidi w:val="0"/>
              <w:jc w:val="center"/>
              <w:rPr>
                <w:rFonts w:hint="default"/>
                <w:i/>
                <w:iCs w:val="0"/>
                <w:highlight w:val="none"/>
                <w:lang w:val="en-US" w:eastAsia="zh-CN"/>
              </w:rPr>
            </w:pPr>
            <w:r>
              <w:rPr>
                <w:rFonts w:hint="default"/>
                <w:i/>
                <w:iCs w:val="0"/>
                <w:highlight w:val="none"/>
                <w:lang w:val="en-US" w:eastAsia="zh-CN"/>
              </w:rPr>
              <w:t>Cortinarius collinitus</w:t>
            </w:r>
          </w:p>
        </w:tc>
        <w:tc>
          <w:tcPr>
            <w:tcW w:w="1419" w:type="dxa"/>
            <w:vAlign w:val="center"/>
          </w:tcPr>
          <w:p w14:paraId="45EB1DFA">
            <w:pPr>
              <w:pStyle w:val="22"/>
              <w:bidi w:val="0"/>
              <w:jc w:val="center"/>
              <w:rPr>
                <w:rFonts w:hint="default"/>
                <w:highlight w:val="none"/>
                <w:lang w:val="en-US" w:eastAsia="zh-CN"/>
              </w:rPr>
            </w:pPr>
            <w:r>
              <w:rPr>
                <w:rFonts w:hint="default"/>
                <w:highlight w:val="none"/>
                <w:lang w:val="en-US" w:eastAsia="zh-CN"/>
              </w:rPr>
              <w:t>DD</w:t>
            </w:r>
          </w:p>
        </w:tc>
        <w:tc>
          <w:tcPr>
            <w:tcW w:w="927" w:type="dxa"/>
            <w:vAlign w:val="center"/>
          </w:tcPr>
          <w:p w14:paraId="56ECF812">
            <w:pPr>
              <w:pStyle w:val="22"/>
              <w:bidi w:val="0"/>
              <w:jc w:val="center"/>
              <w:rPr>
                <w:rFonts w:hint="default"/>
                <w:highlight w:val="none"/>
                <w:lang w:val="en-US" w:eastAsia="zh-CN"/>
              </w:rPr>
            </w:pPr>
          </w:p>
        </w:tc>
        <w:tc>
          <w:tcPr>
            <w:tcW w:w="2195" w:type="dxa"/>
            <w:vAlign w:val="center"/>
          </w:tcPr>
          <w:p w14:paraId="0F0BC1BF">
            <w:pPr>
              <w:pStyle w:val="22"/>
              <w:bidi w:val="0"/>
              <w:jc w:val="center"/>
              <w:rPr>
                <w:rFonts w:hint="default"/>
                <w:highlight w:val="none"/>
                <w:lang w:val="en-US" w:eastAsia="zh-CN"/>
              </w:rPr>
            </w:pPr>
            <w:r>
              <w:rPr>
                <w:rFonts w:hint="default"/>
                <w:highlight w:val="none"/>
                <w:lang w:val="en-US" w:eastAsia="zh-CN"/>
              </w:rPr>
              <w:t>可食用</w:t>
            </w:r>
          </w:p>
        </w:tc>
      </w:tr>
      <w:tr w14:paraId="7AED1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2B635675">
            <w:pPr>
              <w:pStyle w:val="22"/>
              <w:bidi w:val="0"/>
              <w:jc w:val="center"/>
              <w:rPr>
                <w:rFonts w:hint="default"/>
                <w:b/>
                <w:bCs/>
                <w:highlight w:val="none"/>
                <w:lang w:val="en-US" w:eastAsia="zh-CN"/>
              </w:rPr>
            </w:pPr>
            <w:r>
              <w:rPr>
                <w:rFonts w:hint="default"/>
                <w:b/>
                <w:bCs/>
                <w:highlight w:val="none"/>
                <w:lang w:val="en-US" w:eastAsia="zh-CN"/>
              </w:rPr>
              <w:t>蘑菇科</w:t>
            </w:r>
          </w:p>
        </w:tc>
        <w:tc>
          <w:tcPr>
            <w:tcW w:w="2604" w:type="dxa"/>
            <w:vAlign w:val="center"/>
          </w:tcPr>
          <w:p w14:paraId="46008EF4">
            <w:pPr>
              <w:pStyle w:val="22"/>
              <w:bidi w:val="0"/>
              <w:jc w:val="center"/>
              <w:rPr>
                <w:rFonts w:hint="default"/>
                <w:b/>
                <w:bCs/>
                <w:i/>
                <w:iCs w:val="0"/>
                <w:highlight w:val="none"/>
                <w:lang w:val="en-US" w:eastAsia="zh-CN"/>
              </w:rPr>
            </w:pPr>
            <w:r>
              <w:rPr>
                <w:rFonts w:hint="default"/>
                <w:b/>
                <w:bCs/>
                <w:i/>
                <w:iCs w:val="0"/>
                <w:highlight w:val="none"/>
                <w:lang w:val="en-US" w:eastAsia="zh-CN"/>
              </w:rPr>
              <w:t>Agaricacene</w:t>
            </w:r>
          </w:p>
        </w:tc>
        <w:tc>
          <w:tcPr>
            <w:tcW w:w="1419" w:type="dxa"/>
            <w:vAlign w:val="center"/>
          </w:tcPr>
          <w:p w14:paraId="3BC5FC5B">
            <w:pPr>
              <w:pStyle w:val="22"/>
              <w:bidi w:val="0"/>
              <w:jc w:val="center"/>
              <w:rPr>
                <w:rFonts w:hint="default"/>
                <w:highlight w:val="none"/>
                <w:lang w:val="en-US" w:eastAsia="zh-CN"/>
              </w:rPr>
            </w:pPr>
          </w:p>
        </w:tc>
        <w:tc>
          <w:tcPr>
            <w:tcW w:w="927" w:type="dxa"/>
            <w:vAlign w:val="center"/>
          </w:tcPr>
          <w:p w14:paraId="1744AC30">
            <w:pPr>
              <w:pStyle w:val="22"/>
              <w:bidi w:val="0"/>
              <w:jc w:val="center"/>
              <w:rPr>
                <w:rFonts w:hint="default"/>
                <w:highlight w:val="none"/>
                <w:lang w:val="en-US" w:eastAsia="zh-CN"/>
              </w:rPr>
            </w:pPr>
          </w:p>
        </w:tc>
        <w:tc>
          <w:tcPr>
            <w:tcW w:w="2195" w:type="dxa"/>
            <w:vAlign w:val="center"/>
          </w:tcPr>
          <w:p w14:paraId="60046BD2">
            <w:pPr>
              <w:pStyle w:val="22"/>
              <w:bidi w:val="0"/>
              <w:jc w:val="center"/>
              <w:rPr>
                <w:rFonts w:hint="default"/>
                <w:highlight w:val="none"/>
                <w:lang w:val="en-US" w:eastAsia="zh-CN"/>
              </w:rPr>
            </w:pPr>
          </w:p>
        </w:tc>
      </w:tr>
      <w:tr w14:paraId="6CF27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04E6B7C0">
            <w:pPr>
              <w:pStyle w:val="22"/>
              <w:bidi w:val="0"/>
              <w:jc w:val="center"/>
              <w:rPr>
                <w:rFonts w:hint="default"/>
                <w:highlight w:val="none"/>
                <w:lang w:val="en-US" w:eastAsia="zh-CN"/>
              </w:rPr>
            </w:pPr>
            <w:r>
              <w:rPr>
                <w:rFonts w:hint="default"/>
                <w:highlight w:val="none"/>
                <w:lang w:val="en-US" w:eastAsia="zh-CN"/>
              </w:rPr>
              <w:t>双孢蘑菇</w:t>
            </w:r>
          </w:p>
        </w:tc>
        <w:tc>
          <w:tcPr>
            <w:tcW w:w="2604" w:type="dxa"/>
            <w:vAlign w:val="center"/>
          </w:tcPr>
          <w:p w14:paraId="3A0DD6C0">
            <w:pPr>
              <w:pStyle w:val="22"/>
              <w:bidi w:val="0"/>
              <w:jc w:val="center"/>
              <w:rPr>
                <w:rFonts w:hint="default"/>
                <w:i/>
                <w:iCs w:val="0"/>
                <w:highlight w:val="none"/>
                <w:lang w:val="en-US" w:eastAsia="zh-CN"/>
              </w:rPr>
            </w:pPr>
            <w:r>
              <w:rPr>
                <w:rFonts w:hint="default"/>
                <w:i/>
                <w:iCs w:val="0"/>
                <w:highlight w:val="none"/>
                <w:lang w:val="en-US" w:eastAsia="zh-CN"/>
              </w:rPr>
              <w:t>Agaricus bisporus</w:t>
            </w:r>
          </w:p>
        </w:tc>
        <w:tc>
          <w:tcPr>
            <w:tcW w:w="1419" w:type="dxa"/>
            <w:vAlign w:val="center"/>
          </w:tcPr>
          <w:p w14:paraId="370CDB5A">
            <w:pPr>
              <w:pStyle w:val="22"/>
              <w:bidi w:val="0"/>
              <w:jc w:val="center"/>
              <w:rPr>
                <w:rFonts w:hint="default"/>
                <w:highlight w:val="none"/>
                <w:lang w:val="en-US" w:eastAsia="zh-CN"/>
              </w:rPr>
            </w:pPr>
            <w:r>
              <w:rPr>
                <w:rFonts w:hint="default"/>
                <w:highlight w:val="none"/>
                <w:lang w:val="en-US" w:eastAsia="zh-CN"/>
              </w:rPr>
              <w:t>DD</w:t>
            </w:r>
          </w:p>
        </w:tc>
        <w:tc>
          <w:tcPr>
            <w:tcW w:w="927" w:type="dxa"/>
            <w:vAlign w:val="center"/>
          </w:tcPr>
          <w:p w14:paraId="08881CA1">
            <w:pPr>
              <w:pStyle w:val="22"/>
              <w:bidi w:val="0"/>
              <w:jc w:val="center"/>
              <w:rPr>
                <w:rFonts w:hint="default"/>
                <w:highlight w:val="none"/>
                <w:lang w:val="en-US" w:eastAsia="zh-CN"/>
              </w:rPr>
            </w:pPr>
          </w:p>
        </w:tc>
        <w:tc>
          <w:tcPr>
            <w:tcW w:w="2195" w:type="dxa"/>
            <w:vAlign w:val="center"/>
          </w:tcPr>
          <w:p w14:paraId="6D43EE0D">
            <w:pPr>
              <w:pStyle w:val="22"/>
              <w:bidi w:val="0"/>
              <w:jc w:val="center"/>
              <w:rPr>
                <w:rFonts w:hint="default"/>
                <w:highlight w:val="none"/>
                <w:lang w:val="en-US" w:eastAsia="zh-CN"/>
              </w:rPr>
            </w:pPr>
            <w:r>
              <w:rPr>
                <w:rFonts w:hint="default"/>
                <w:highlight w:val="none"/>
                <w:lang w:val="en-US" w:eastAsia="zh-CN"/>
              </w:rPr>
              <w:t>重要食用菌，可栽培</w:t>
            </w:r>
          </w:p>
        </w:tc>
      </w:tr>
      <w:tr w14:paraId="44F48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061B3F9D">
            <w:pPr>
              <w:pStyle w:val="22"/>
              <w:bidi w:val="0"/>
              <w:jc w:val="center"/>
              <w:rPr>
                <w:rFonts w:hint="default"/>
                <w:highlight w:val="none"/>
                <w:lang w:val="en-US" w:eastAsia="zh-CN"/>
              </w:rPr>
            </w:pPr>
            <w:r>
              <w:rPr>
                <w:rFonts w:hint="default"/>
                <w:highlight w:val="none"/>
                <w:lang w:val="en-US" w:eastAsia="zh-CN"/>
              </w:rPr>
              <w:t>网纹马勃</w:t>
            </w:r>
          </w:p>
        </w:tc>
        <w:tc>
          <w:tcPr>
            <w:tcW w:w="2604" w:type="dxa"/>
            <w:vAlign w:val="center"/>
          </w:tcPr>
          <w:p w14:paraId="661AD696">
            <w:pPr>
              <w:pStyle w:val="22"/>
              <w:bidi w:val="0"/>
              <w:jc w:val="center"/>
              <w:rPr>
                <w:rFonts w:hint="default"/>
                <w:i/>
                <w:iCs w:val="0"/>
                <w:highlight w:val="none"/>
                <w:lang w:val="en-US" w:eastAsia="zh-CN"/>
              </w:rPr>
            </w:pPr>
            <w:r>
              <w:rPr>
                <w:rFonts w:hint="default"/>
                <w:i/>
                <w:iCs w:val="0"/>
                <w:highlight w:val="none"/>
                <w:lang w:val="en-US" w:eastAsia="zh-CN"/>
              </w:rPr>
              <w:t>Lycoperdon perlatum</w:t>
            </w:r>
          </w:p>
        </w:tc>
        <w:tc>
          <w:tcPr>
            <w:tcW w:w="1419" w:type="dxa"/>
            <w:vAlign w:val="center"/>
          </w:tcPr>
          <w:p w14:paraId="5B37A8A5">
            <w:pPr>
              <w:pStyle w:val="22"/>
              <w:bidi w:val="0"/>
              <w:jc w:val="center"/>
              <w:rPr>
                <w:rFonts w:hint="default"/>
                <w:highlight w:val="none"/>
                <w:lang w:val="en-US" w:eastAsia="zh-CN"/>
              </w:rPr>
            </w:pPr>
            <w:r>
              <w:rPr>
                <w:rFonts w:hint="default"/>
                <w:highlight w:val="none"/>
                <w:lang w:val="en-US" w:eastAsia="zh-CN"/>
              </w:rPr>
              <w:t>LC</w:t>
            </w:r>
          </w:p>
        </w:tc>
        <w:tc>
          <w:tcPr>
            <w:tcW w:w="927" w:type="dxa"/>
            <w:vAlign w:val="center"/>
          </w:tcPr>
          <w:p w14:paraId="71B9EC14">
            <w:pPr>
              <w:pStyle w:val="22"/>
              <w:bidi w:val="0"/>
              <w:jc w:val="center"/>
              <w:rPr>
                <w:rFonts w:hint="default"/>
                <w:highlight w:val="none"/>
                <w:lang w:val="en-US" w:eastAsia="zh-CN"/>
              </w:rPr>
            </w:pPr>
          </w:p>
        </w:tc>
        <w:tc>
          <w:tcPr>
            <w:tcW w:w="2195" w:type="dxa"/>
            <w:vAlign w:val="center"/>
          </w:tcPr>
          <w:p w14:paraId="433D559B">
            <w:pPr>
              <w:pStyle w:val="22"/>
              <w:bidi w:val="0"/>
              <w:jc w:val="center"/>
              <w:rPr>
                <w:rFonts w:hint="default"/>
                <w:highlight w:val="none"/>
                <w:lang w:val="en-US" w:eastAsia="zh-CN"/>
              </w:rPr>
            </w:pPr>
            <w:r>
              <w:rPr>
                <w:rFonts w:hint="default"/>
                <w:highlight w:val="none"/>
                <w:lang w:val="en-US" w:eastAsia="zh-CN"/>
              </w:rPr>
              <w:t>幼时可食，成熟后可药用</w:t>
            </w:r>
          </w:p>
        </w:tc>
      </w:tr>
      <w:tr w14:paraId="25B30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4330D168">
            <w:pPr>
              <w:pStyle w:val="22"/>
              <w:bidi w:val="0"/>
              <w:jc w:val="center"/>
              <w:rPr>
                <w:rFonts w:hint="default"/>
                <w:highlight w:val="none"/>
                <w:lang w:val="en-US" w:eastAsia="zh-CN"/>
              </w:rPr>
            </w:pPr>
            <w:r>
              <w:rPr>
                <w:rFonts w:hint="default"/>
                <w:highlight w:val="none"/>
                <w:lang w:val="en-US" w:eastAsia="zh-CN"/>
              </w:rPr>
              <w:t>淡茶色蘑菇</w:t>
            </w:r>
          </w:p>
        </w:tc>
        <w:tc>
          <w:tcPr>
            <w:tcW w:w="2604" w:type="dxa"/>
            <w:vAlign w:val="center"/>
          </w:tcPr>
          <w:p w14:paraId="1D0A8EBC">
            <w:pPr>
              <w:pStyle w:val="22"/>
              <w:bidi w:val="0"/>
              <w:jc w:val="center"/>
              <w:rPr>
                <w:rFonts w:hint="default"/>
                <w:i/>
                <w:iCs w:val="0"/>
                <w:highlight w:val="none"/>
                <w:lang w:val="en-US" w:eastAsia="zh-CN"/>
              </w:rPr>
            </w:pPr>
            <w:r>
              <w:rPr>
                <w:rFonts w:hint="default"/>
                <w:i/>
                <w:iCs w:val="0"/>
                <w:highlight w:val="none"/>
                <w:lang w:val="en-US" w:eastAsia="zh-CN"/>
              </w:rPr>
              <w:t>Agaricus urinascens</w:t>
            </w:r>
          </w:p>
        </w:tc>
        <w:tc>
          <w:tcPr>
            <w:tcW w:w="1419" w:type="dxa"/>
            <w:vAlign w:val="center"/>
          </w:tcPr>
          <w:p w14:paraId="7398D891">
            <w:pPr>
              <w:pStyle w:val="22"/>
              <w:bidi w:val="0"/>
              <w:jc w:val="center"/>
              <w:rPr>
                <w:rFonts w:hint="default"/>
                <w:highlight w:val="none"/>
                <w:lang w:val="en-US" w:eastAsia="zh-CN"/>
              </w:rPr>
            </w:pPr>
            <w:r>
              <w:rPr>
                <w:rFonts w:hint="default"/>
                <w:highlight w:val="none"/>
                <w:lang w:val="en-US" w:eastAsia="zh-CN"/>
              </w:rPr>
              <w:t>LC</w:t>
            </w:r>
          </w:p>
        </w:tc>
        <w:tc>
          <w:tcPr>
            <w:tcW w:w="927" w:type="dxa"/>
            <w:vAlign w:val="center"/>
          </w:tcPr>
          <w:p w14:paraId="78376AF2">
            <w:pPr>
              <w:pStyle w:val="22"/>
              <w:bidi w:val="0"/>
              <w:jc w:val="center"/>
              <w:rPr>
                <w:rFonts w:hint="default"/>
                <w:highlight w:val="none"/>
                <w:lang w:val="en-US" w:eastAsia="zh-CN"/>
              </w:rPr>
            </w:pPr>
          </w:p>
        </w:tc>
        <w:tc>
          <w:tcPr>
            <w:tcW w:w="2195" w:type="dxa"/>
            <w:vAlign w:val="center"/>
          </w:tcPr>
          <w:p w14:paraId="45DCD41B">
            <w:pPr>
              <w:pStyle w:val="22"/>
              <w:bidi w:val="0"/>
              <w:jc w:val="center"/>
              <w:rPr>
                <w:rFonts w:hint="default"/>
                <w:highlight w:val="none"/>
                <w:lang w:val="en-US" w:eastAsia="zh-CN"/>
              </w:rPr>
            </w:pPr>
            <w:r>
              <w:rPr>
                <w:rFonts w:hint="default"/>
                <w:highlight w:val="none"/>
                <w:lang w:val="en-US" w:eastAsia="zh-CN"/>
              </w:rPr>
              <w:t>可食用</w:t>
            </w:r>
          </w:p>
        </w:tc>
      </w:tr>
      <w:tr w14:paraId="66E3F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424549E2">
            <w:pPr>
              <w:pStyle w:val="22"/>
              <w:bidi w:val="0"/>
              <w:jc w:val="center"/>
              <w:rPr>
                <w:rFonts w:hint="default"/>
                <w:b/>
                <w:bCs/>
                <w:highlight w:val="none"/>
                <w:lang w:val="en-US" w:eastAsia="zh-CN"/>
              </w:rPr>
            </w:pPr>
            <w:r>
              <w:rPr>
                <w:rFonts w:hint="default"/>
                <w:b/>
                <w:bCs/>
                <w:highlight w:val="none"/>
                <w:lang w:val="en-US" w:eastAsia="zh-CN"/>
              </w:rPr>
              <w:t>小菇科</w:t>
            </w:r>
          </w:p>
        </w:tc>
        <w:tc>
          <w:tcPr>
            <w:tcW w:w="2604" w:type="dxa"/>
            <w:vAlign w:val="center"/>
          </w:tcPr>
          <w:p w14:paraId="2200FE7A">
            <w:pPr>
              <w:pStyle w:val="22"/>
              <w:bidi w:val="0"/>
              <w:jc w:val="center"/>
              <w:rPr>
                <w:rFonts w:hint="default"/>
                <w:b/>
                <w:bCs/>
                <w:i/>
                <w:iCs w:val="0"/>
                <w:highlight w:val="none"/>
                <w:lang w:val="en-US" w:eastAsia="zh-CN"/>
              </w:rPr>
            </w:pPr>
            <w:r>
              <w:rPr>
                <w:rFonts w:hint="default"/>
                <w:b/>
                <w:bCs/>
                <w:i/>
                <w:iCs w:val="0"/>
                <w:highlight w:val="none"/>
                <w:lang w:val="en-US" w:eastAsia="zh-CN"/>
              </w:rPr>
              <w:t>Mycenaceae</w:t>
            </w:r>
          </w:p>
        </w:tc>
        <w:tc>
          <w:tcPr>
            <w:tcW w:w="1419" w:type="dxa"/>
            <w:vAlign w:val="center"/>
          </w:tcPr>
          <w:p w14:paraId="405B9131">
            <w:pPr>
              <w:pStyle w:val="22"/>
              <w:bidi w:val="0"/>
              <w:jc w:val="center"/>
              <w:rPr>
                <w:rFonts w:hint="default"/>
                <w:highlight w:val="none"/>
                <w:lang w:val="en-US" w:eastAsia="zh-CN"/>
              </w:rPr>
            </w:pPr>
          </w:p>
        </w:tc>
        <w:tc>
          <w:tcPr>
            <w:tcW w:w="927" w:type="dxa"/>
            <w:vAlign w:val="center"/>
          </w:tcPr>
          <w:p w14:paraId="38321329">
            <w:pPr>
              <w:pStyle w:val="22"/>
              <w:bidi w:val="0"/>
              <w:jc w:val="center"/>
              <w:rPr>
                <w:rFonts w:hint="default"/>
                <w:highlight w:val="none"/>
                <w:lang w:val="en-US" w:eastAsia="zh-CN"/>
              </w:rPr>
            </w:pPr>
          </w:p>
        </w:tc>
        <w:tc>
          <w:tcPr>
            <w:tcW w:w="2195" w:type="dxa"/>
            <w:vAlign w:val="center"/>
          </w:tcPr>
          <w:p w14:paraId="6F9DCBE4">
            <w:pPr>
              <w:pStyle w:val="22"/>
              <w:bidi w:val="0"/>
              <w:jc w:val="center"/>
              <w:rPr>
                <w:rFonts w:hint="default"/>
                <w:highlight w:val="none"/>
                <w:lang w:val="en-US" w:eastAsia="zh-CN"/>
              </w:rPr>
            </w:pPr>
          </w:p>
        </w:tc>
      </w:tr>
      <w:tr w14:paraId="2A181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27D2A658">
            <w:pPr>
              <w:pStyle w:val="22"/>
              <w:bidi w:val="0"/>
              <w:jc w:val="center"/>
              <w:rPr>
                <w:rFonts w:hint="default"/>
                <w:highlight w:val="none"/>
                <w:lang w:val="en-US" w:eastAsia="zh-CN"/>
              </w:rPr>
            </w:pPr>
            <w:r>
              <w:rPr>
                <w:rFonts w:hint="default"/>
                <w:highlight w:val="none"/>
                <w:lang w:val="en-US" w:eastAsia="zh-CN"/>
              </w:rPr>
              <w:t>美味黏肉菇</w:t>
            </w:r>
          </w:p>
        </w:tc>
        <w:tc>
          <w:tcPr>
            <w:tcW w:w="2604" w:type="dxa"/>
            <w:vAlign w:val="center"/>
          </w:tcPr>
          <w:p w14:paraId="7A7FD162">
            <w:pPr>
              <w:pStyle w:val="22"/>
              <w:bidi w:val="0"/>
              <w:jc w:val="center"/>
              <w:rPr>
                <w:rFonts w:hint="default"/>
                <w:i/>
                <w:iCs w:val="0"/>
                <w:highlight w:val="none"/>
                <w:lang w:val="en-US" w:eastAsia="zh-CN"/>
              </w:rPr>
            </w:pPr>
            <w:r>
              <w:rPr>
                <w:rFonts w:hint="default"/>
                <w:i/>
                <w:iCs w:val="0"/>
                <w:highlight w:val="none"/>
                <w:lang w:val="en-US" w:eastAsia="zh-CN"/>
              </w:rPr>
              <w:t>Sarcomyxa edulis</w:t>
            </w:r>
          </w:p>
        </w:tc>
        <w:tc>
          <w:tcPr>
            <w:tcW w:w="1419" w:type="dxa"/>
            <w:vAlign w:val="center"/>
          </w:tcPr>
          <w:p w14:paraId="53F1890B">
            <w:pPr>
              <w:pStyle w:val="22"/>
              <w:bidi w:val="0"/>
              <w:jc w:val="center"/>
              <w:rPr>
                <w:rFonts w:hint="default"/>
                <w:highlight w:val="none"/>
                <w:lang w:val="en-US" w:eastAsia="zh-CN"/>
              </w:rPr>
            </w:pPr>
            <w:r>
              <w:rPr>
                <w:rFonts w:hint="default"/>
                <w:highlight w:val="none"/>
                <w:lang w:val="en-US" w:eastAsia="zh-CN"/>
              </w:rPr>
              <w:t>LC</w:t>
            </w:r>
          </w:p>
        </w:tc>
        <w:tc>
          <w:tcPr>
            <w:tcW w:w="927" w:type="dxa"/>
            <w:vAlign w:val="center"/>
          </w:tcPr>
          <w:p w14:paraId="7A63A102">
            <w:pPr>
              <w:pStyle w:val="22"/>
              <w:bidi w:val="0"/>
              <w:jc w:val="center"/>
              <w:rPr>
                <w:rFonts w:hint="default"/>
                <w:highlight w:val="none"/>
                <w:lang w:val="en-US" w:eastAsia="zh-CN"/>
              </w:rPr>
            </w:pPr>
            <w:r>
              <w:rPr>
                <w:rFonts w:hint="default"/>
                <w:highlight w:val="none"/>
                <w:lang w:val="en-US" w:eastAsia="zh-CN"/>
              </w:rPr>
              <w:t>√</w:t>
            </w:r>
          </w:p>
        </w:tc>
        <w:tc>
          <w:tcPr>
            <w:tcW w:w="2195" w:type="dxa"/>
            <w:vAlign w:val="center"/>
          </w:tcPr>
          <w:p w14:paraId="2CD7738A">
            <w:pPr>
              <w:pStyle w:val="22"/>
              <w:bidi w:val="0"/>
              <w:jc w:val="center"/>
              <w:rPr>
                <w:rFonts w:hint="default"/>
                <w:highlight w:val="none"/>
                <w:lang w:val="en-US" w:eastAsia="zh-CN"/>
              </w:rPr>
            </w:pPr>
            <w:r>
              <w:rPr>
                <w:rFonts w:hint="default"/>
                <w:highlight w:val="none"/>
                <w:lang w:val="en-US" w:eastAsia="zh-CN"/>
              </w:rPr>
              <w:t>可食用</w:t>
            </w:r>
          </w:p>
        </w:tc>
      </w:tr>
      <w:tr w14:paraId="69209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6606DA9B">
            <w:pPr>
              <w:pStyle w:val="22"/>
              <w:bidi w:val="0"/>
              <w:jc w:val="center"/>
              <w:rPr>
                <w:rFonts w:hint="default"/>
                <w:b/>
                <w:bCs/>
                <w:highlight w:val="none"/>
                <w:lang w:val="en-US" w:eastAsia="zh-CN"/>
              </w:rPr>
            </w:pPr>
            <w:r>
              <w:rPr>
                <w:rFonts w:hint="default"/>
                <w:b/>
                <w:bCs/>
                <w:highlight w:val="none"/>
                <w:lang w:val="en-US" w:eastAsia="zh-CN"/>
              </w:rPr>
              <w:t>红菇科</w:t>
            </w:r>
          </w:p>
        </w:tc>
        <w:tc>
          <w:tcPr>
            <w:tcW w:w="2604" w:type="dxa"/>
            <w:vAlign w:val="center"/>
          </w:tcPr>
          <w:p w14:paraId="536EED3D">
            <w:pPr>
              <w:pStyle w:val="22"/>
              <w:bidi w:val="0"/>
              <w:jc w:val="center"/>
              <w:rPr>
                <w:rFonts w:hint="default"/>
                <w:b/>
                <w:bCs/>
                <w:i/>
                <w:iCs w:val="0"/>
                <w:highlight w:val="none"/>
                <w:lang w:val="en-US" w:eastAsia="zh-CN"/>
              </w:rPr>
            </w:pPr>
            <w:r>
              <w:rPr>
                <w:rFonts w:hint="default"/>
                <w:b/>
                <w:bCs/>
                <w:i/>
                <w:iCs w:val="0"/>
                <w:highlight w:val="none"/>
                <w:lang w:val="en-US" w:eastAsia="zh-CN"/>
              </w:rPr>
              <w:t>Russulaceae</w:t>
            </w:r>
          </w:p>
        </w:tc>
        <w:tc>
          <w:tcPr>
            <w:tcW w:w="1419" w:type="dxa"/>
            <w:vAlign w:val="center"/>
          </w:tcPr>
          <w:p w14:paraId="0822BA39">
            <w:pPr>
              <w:pStyle w:val="22"/>
              <w:bidi w:val="0"/>
              <w:jc w:val="center"/>
              <w:rPr>
                <w:rFonts w:hint="default"/>
                <w:highlight w:val="none"/>
                <w:lang w:val="en-US" w:eastAsia="zh-CN"/>
              </w:rPr>
            </w:pPr>
          </w:p>
        </w:tc>
        <w:tc>
          <w:tcPr>
            <w:tcW w:w="927" w:type="dxa"/>
            <w:vAlign w:val="center"/>
          </w:tcPr>
          <w:p w14:paraId="2641F28D">
            <w:pPr>
              <w:pStyle w:val="22"/>
              <w:bidi w:val="0"/>
              <w:jc w:val="center"/>
              <w:rPr>
                <w:rFonts w:hint="default"/>
                <w:highlight w:val="none"/>
                <w:lang w:val="en-US" w:eastAsia="zh-CN"/>
              </w:rPr>
            </w:pPr>
          </w:p>
        </w:tc>
        <w:tc>
          <w:tcPr>
            <w:tcW w:w="2195" w:type="dxa"/>
            <w:vAlign w:val="center"/>
          </w:tcPr>
          <w:p w14:paraId="4AE1573D">
            <w:pPr>
              <w:pStyle w:val="22"/>
              <w:bidi w:val="0"/>
              <w:jc w:val="center"/>
              <w:rPr>
                <w:rFonts w:hint="default"/>
                <w:highlight w:val="none"/>
                <w:lang w:val="en-US" w:eastAsia="zh-CN"/>
              </w:rPr>
            </w:pPr>
          </w:p>
        </w:tc>
      </w:tr>
      <w:tr w14:paraId="6C8A6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2E85E44F">
            <w:pPr>
              <w:pStyle w:val="22"/>
              <w:bidi w:val="0"/>
              <w:jc w:val="center"/>
              <w:rPr>
                <w:rFonts w:hint="default"/>
                <w:highlight w:val="none"/>
                <w:lang w:val="en-US" w:eastAsia="zh-CN"/>
              </w:rPr>
            </w:pPr>
            <w:r>
              <w:rPr>
                <w:rFonts w:hint="default"/>
                <w:highlight w:val="none"/>
                <w:lang w:val="en-US" w:eastAsia="zh-CN"/>
              </w:rPr>
              <w:t>紫罗兰红菇</w:t>
            </w:r>
            <w:r>
              <w:rPr>
                <w:rFonts w:hint="default"/>
                <w:highlight w:val="none"/>
                <w:lang w:val="en-US" w:eastAsia="zh-CN"/>
              </w:rPr>
              <w:tab/>
            </w:r>
          </w:p>
        </w:tc>
        <w:tc>
          <w:tcPr>
            <w:tcW w:w="2604" w:type="dxa"/>
            <w:vAlign w:val="center"/>
          </w:tcPr>
          <w:p w14:paraId="2179AC1A">
            <w:pPr>
              <w:pStyle w:val="22"/>
              <w:bidi w:val="0"/>
              <w:jc w:val="center"/>
              <w:rPr>
                <w:rFonts w:hint="default"/>
                <w:i/>
                <w:iCs w:val="0"/>
                <w:highlight w:val="none"/>
                <w:lang w:val="en-US" w:eastAsia="zh-CN"/>
              </w:rPr>
            </w:pPr>
            <w:r>
              <w:rPr>
                <w:rFonts w:hint="default"/>
                <w:i/>
                <w:iCs w:val="0"/>
                <w:highlight w:val="none"/>
                <w:lang w:val="en-US" w:eastAsia="zh-CN"/>
              </w:rPr>
              <w:t>Russula amethystina</w:t>
            </w:r>
          </w:p>
        </w:tc>
        <w:tc>
          <w:tcPr>
            <w:tcW w:w="1419" w:type="dxa"/>
            <w:vAlign w:val="center"/>
          </w:tcPr>
          <w:p w14:paraId="678011DC">
            <w:pPr>
              <w:pStyle w:val="22"/>
              <w:bidi w:val="0"/>
              <w:jc w:val="center"/>
              <w:rPr>
                <w:rFonts w:hint="default"/>
                <w:highlight w:val="none"/>
                <w:lang w:val="en-US" w:eastAsia="zh-CN"/>
              </w:rPr>
            </w:pPr>
          </w:p>
        </w:tc>
        <w:tc>
          <w:tcPr>
            <w:tcW w:w="927" w:type="dxa"/>
            <w:vAlign w:val="center"/>
          </w:tcPr>
          <w:p w14:paraId="54E5F938">
            <w:pPr>
              <w:pStyle w:val="22"/>
              <w:bidi w:val="0"/>
              <w:jc w:val="center"/>
              <w:rPr>
                <w:rFonts w:hint="default"/>
                <w:highlight w:val="none"/>
                <w:lang w:val="en-US" w:eastAsia="zh-CN"/>
              </w:rPr>
            </w:pPr>
          </w:p>
        </w:tc>
        <w:tc>
          <w:tcPr>
            <w:tcW w:w="2195" w:type="dxa"/>
            <w:vAlign w:val="center"/>
          </w:tcPr>
          <w:p w14:paraId="5ED3207B">
            <w:pPr>
              <w:pStyle w:val="22"/>
              <w:bidi w:val="0"/>
              <w:jc w:val="center"/>
              <w:rPr>
                <w:rFonts w:hint="default"/>
                <w:highlight w:val="none"/>
                <w:lang w:val="en-US" w:eastAsia="zh-CN"/>
              </w:rPr>
            </w:pPr>
            <w:r>
              <w:rPr>
                <w:rFonts w:hint="default"/>
                <w:highlight w:val="none"/>
                <w:lang w:val="en-US" w:eastAsia="zh-CN"/>
              </w:rPr>
              <w:t>可食用</w:t>
            </w:r>
          </w:p>
        </w:tc>
      </w:tr>
      <w:tr w14:paraId="50A58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6770A121">
            <w:pPr>
              <w:pStyle w:val="22"/>
              <w:bidi w:val="0"/>
              <w:jc w:val="center"/>
              <w:rPr>
                <w:rFonts w:hint="default"/>
                <w:highlight w:val="none"/>
                <w:lang w:val="en-US" w:eastAsia="zh-CN"/>
              </w:rPr>
            </w:pPr>
            <w:r>
              <w:rPr>
                <w:rFonts w:hint="default"/>
                <w:highlight w:val="none"/>
                <w:lang w:val="en-US" w:eastAsia="zh-CN"/>
              </w:rPr>
              <w:t>玫瑰红菇</w:t>
            </w:r>
          </w:p>
        </w:tc>
        <w:tc>
          <w:tcPr>
            <w:tcW w:w="2604" w:type="dxa"/>
            <w:vAlign w:val="center"/>
          </w:tcPr>
          <w:p w14:paraId="053A6193">
            <w:pPr>
              <w:pStyle w:val="22"/>
              <w:bidi w:val="0"/>
              <w:jc w:val="center"/>
              <w:rPr>
                <w:rFonts w:hint="default"/>
                <w:i/>
                <w:iCs w:val="0"/>
                <w:highlight w:val="none"/>
                <w:lang w:val="en-US" w:eastAsia="zh-CN"/>
              </w:rPr>
            </w:pPr>
            <w:r>
              <w:rPr>
                <w:rFonts w:hint="default"/>
                <w:i/>
                <w:iCs w:val="0"/>
                <w:highlight w:val="none"/>
                <w:lang w:val="en-US" w:eastAsia="zh-CN"/>
              </w:rPr>
              <w:t>Russula rosacea</w:t>
            </w:r>
          </w:p>
        </w:tc>
        <w:tc>
          <w:tcPr>
            <w:tcW w:w="1419" w:type="dxa"/>
            <w:vAlign w:val="center"/>
          </w:tcPr>
          <w:p w14:paraId="518A5A84">
            <w:pPr>
              <w:pStyle w:val="22"/>
              <w:bidi w:val="0"/>
              <w:jc w:val="center"/>
              <w:rPr>
                <w:rFonts w:hint="default"/>
                <w:highlight w:val="none"/>
                <w:lang w:val="en-US" w:eastAsia="zh-CN"/>
              </w:rPr>
            </w:pPr>
          </w:p>
        </w:tc>
        <w:tc>
          <w:tcPr>
            <w:tcW w:w="927" w:type="dxa"/>
            <w:vAlign w:val="center"/>
          </w:tcPr>
          <w:p w14:paraId="4312A5DA">
            <w:pPr>
              <w:pStyle w:val="22"/>
              <w:bidi w:val="0"/>
              <w:jc w:val="center"/>
              <w:rPr>
                <w:rFonts w:hint="default"/>
                <w:highlight w:val="none"/>
                <w:lang w:val="en-US" w:eastAsia="zh-CN"/>
              </w:rPr>
            </w:pPr>
          </w:p>
        </w:tc>
        <w:tc>
          <w:tcPr>
            <w:tcW w:w="2195" w:type="dxa"/>
            <w:vAlign w:val="center"/>
          </w:tcPr>
          <w:p w14:paraId="23A80291">
            <w:pPr>
              <w:pStyle w:val="22"/>
              <w:bidi w:val="0"/>
              <w:jc w:val="center"/>
              <w:rPr>
                <w:rFonts w:hint="default"/>
                <w:highlight w:val="none"/>
                <w:lang w:val="en-US" w:eastAsia="zh-CN"/>
              </w:rPr>
            </w:pPr>
            <w:r>
              <w:rPr>
                <w:rFonts w:hint="default"/>
                <w:highlight w:val="none"/>
                <w:lang w:val="en-US" w:eastAsia="zh-CN"/>
              </w:rPr>
              <w:t>可食用</w:t>
            </w:r>
          </w:p>
        </w:tc>
      </w:tr>
      <w:tr w14:paraId="263CE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3BBB7F6B">
            <w:pPr>
              <w:pStyle w:val="22"/>
              <w:bidi w:val="0"/>
              <w:jc w:val="center"/>
              <w:rPr>
                <w:rFonts w:hint="default"/>
                <w:highlight w:val="none"/>
                <w:lang w:val="en-US" w:eastAsia="zh-CN"/>
              </w:rPr>
            </w:pPr>
            <w:r>
              <w:rPr>
                <w:rFonts w:hint="default"/>
                <w:highlight w:val="none"/>
                <w:lang w:val="en-US" w:eastAsia="zh-CN"/>
              </w:rPr>
              <w:t>冷杉乳菇</w:t>
            </w:r>
          </w:p>
        </w:tc>
        <w:tc>
          <w:tcPr>
            <w:tcW w:w="2604" w:type="dxa"/>
            <w:vAlign w:val="center"/>
          </w:tcPr>
          <w:p w14:paraId="009520D8">
            <w:pPr>
              <w:pStyle w:val="22"/>
              <w:bidi w:val="0"/>
              <w:jc w:val="center"/>
              <w:rPr>
                <w:rFonts w:hint="default"/>
                <w:i/>
                <w:iCs w:val="0"/>
                <w:highlight w:val="none"/>
                <w:lang w:val="en-US" w:eastAsia="zh-CN"/>
              </w:rPr>
            </w:pPr>
            <w:r>
              <w:rPr>
                <w:rFonts w:hint="default"/>
                <w:i/>
                <w:iCs w:val="0"/>
                <w:highlight w:val="none"/>
                <w:lang w:val="en-US" w:eastAsia="zh-CN"/>
              </w:rPr>
              <w:t>Lactarius abieticola</w:t>
            </w:r>
          </w:p>
        </w:tc>
        <w:tc>
          <w:tcPr>
            <w:tcW w:w="1419" w:type="dxa"/>
            <w:vAlign w:val="center"/>
          </w:tcPr>
          <w:p w14:paraId="7B92F976">
            <w:pPr>
              <w:pStyle w:val="22"/>
              <w:bidi w:val="0"/>
              <w:jc w:val="center"/>
              <w:rPr>
                <w:rFonts w:hint="default"/>
                <w:highlight w:val="none"/>
                <w:lang w:val="en-US" w:eastAsia="zh-CN"/>
              </w:rPr>
            </w:pPr>
          </w:p>
        </w:tc>
        <w:tc>
          <w:tcPr>
            <w:tcW w:w="927" w:type="dxa"/>
            <w:vAlign w:val="center"/>
          </w:tcPr>
          <w:p w14:paraId="0D5973AB">
            <w:pPr>
              <w:pStyle w:val="22"/>
              <w:bidi w:val="0"/>
              <w:jc w:val="center"/>
              <w:rPr>
                <w:rFonts w:hint="default"/>
                <w:highlight w:val="none"/>
                <w:lang w:val="en-US" w:eastAsia="zh-CN"/>
              </w:rPr>
            </w:pPr>
          </w:p>
        </w:tc>
        <w:tc>
          <w:tcPr>
            <w:tcW w:w="2195" w:type="dxa"/>
            <w:vAlign w:val="center"/>
          </w:tcPr>
          <w:p w14:paraId="69C88F0C">
            <w:pPr>
              <w:pStyle w:val="22"/>
              <w:bidi w:val="0"/>
              <w:jc w:val="center"/>
              <w:rPr>
                <w:rFonts w:hint="default"/>
                <w:highlight w:val="none"/>
                <w:lang w:val="en-US" w:eastAsia="zh-CN"/>
              </w:rPr>
            </w:pPr>
            <w:r>
              <w:rPr>
                <w:rFonts w:hint="default"/>
                <w:highlight w:val="none"/>
                <w:lang w:val="en-US" w:eastAsia="zh-CN"/>
              </w:rPr>
              <w:t>重要野生食用菌</w:t>
            </w:r>
          </w:p>
        </w:tc>
      </w:tr>
      <w:tr w14:paraId="0482B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262D015C">
            <w:pPr>
              <w:pStyle w:val="22"/>
              <w:bidi w:val="0"/>
              <w:jc w:val="center"/>
              <w:rPr>
                <w:rFonts w:hint="default"/>
                <w:b/>
                <w:bCs/>
                <w:highlight w:val="none"/>
                <w:lang w:val="en-US" w:eastAsia="zh-CN"/>
              </w:rPr>
            </w:pPr>
            <w:r>
              <w:rPr>
                <w:rFonts w:hint="default"/>
                <w:b/>
                <w:bCs/>
                <w:highlight w:val="none"/>
                <w:lang w:val="en-US" w:eastAsia="zh-CN"/>
              </w:rPr>
              <w:t>牛肝菌科</w:t>
            </w:r>
          </w:p>
        </w:tc>
        <w:tc>
          <w:tcPr>
            <w:tcW w:w="2604" w:type="dxa"/>
            <w:vAlign w:val="center"/>
          </w:tcPr>
          <w:p w14:paraId="33106854">
            <w:pPr>
              <w:pStyle w:val="22"/>
              <w:bidi w:val="0"/>
              <w:jc w:val="center"/>
              <w:rPr>
                <w:rFonts w:hint="default"/>
                <w:b/>
                <w:bCs/>
                <w:i/>
                <w:iCs w:val="0"/>
                <w:highlight w:val="none"/>
                <w:lang w:val="en-US" w:eastAsia="zh-CN"/>
              </w:rPr>
            </w:pPr>
            <w:r>
              <w:rPr>
                <w:rFonts w:hint="default"/>
                <w:b/>
                <w:bCs/>
                <w:i/>
                <w:iCs w:val="0"/>
                <w:highlight w:val="none"/>
                <w:lang w:val="en-US" w:eastAsia="zh-CN"/>
              </w:rPr>
              <w:t>Boletaceae</w:t>
            </w:r>
          </w:p>
        </w:tc>
        <w:tc>
          <w:tcPr>
            <w:tcW w:w="1419" w:type="dxa"/>
            <w:vAlign w:val="center"/>
          </w:tcPr>
          <w:p w14:paraId="5A998A10">
            <w:pPr>
              <w:pStyle w:val="22"/>
              <w:bidi w:val="0"/>
              <w:jc w:val="center"/>
              <w:rPr>
                <w:rFonts w:hint="default"/>
                <w:highlight w:val="none"/>
                <w:lang w:val="en-US" w:eastAsia="zh-CN"/>
              </w:rPr>
            </w:pPr>
          </w:p>
        </w:tc>
        <w:tc>
          <w:tcPr>
            <w:tcW w:w="927" w:type="dxa"/>
            <w:vAlign w:val="center"/>
          </w:tcPr>
          <w:p w14:paraId="193E9E9A">
            <w:pPr>
              <w:pStyle w:val="22"/>
              <w:bidi w:val="0"/>
              <w:jc w:val="center"/>
              <w:rPr>
                <w:rFonts w:hint="default"/>
                <w:highlight w:val="none"/>
                <w:lang w:val="en-US" w:eastAsia="zh-CN"/>
              </w:rPr>
            </w:pPr>
          </w:p>
        </w:tc>
        <w:tc>
          <w:tcPr>
            <w:tcW w:w="2195" w:type="dxa"/>
            <w:vAlign w:val="center"/>
          </w:tcPr>
          <w:p w14:paraId="2184502E">
            <w:pPr>
              <w:pStyle w:val="22"/>
              <w:bidi w:val="0"/>
              <w:jc w:val="center"/>
              <w:rPr>
                <w:rFonts w:hint="default"/>
                <w:highlight w:val="none"/>
                <w:lang w:val="en-US" w:eastAsia="zh-CN"/>
              </w:rPr>
            </w:pPr>
          </w:p>
        </w:tc>
      </w:tr>
      <w:tr w14:paraId="35393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5889C49E">
            <w:pPr>
              <w:pStyle w:val="22"/>
              <w:bidi w:val="0"/>
              <w:jc w:val="center"/>
              <w:rPr>
                <w:rFonts w:hint="default"/>
                <w:highlight w:val="none"/>
                <w:lang w:val="en-US" w:eastAsia="zh-CN"/>
              </w:rPr>
            </w:pPr>
            <w:r>
              <w:rPr>
                <w:rFonts w:hint="default"/>
                <w:highlight w:val="none"/>
                <w:lang w:val="en-US" w:eastAsia="zh-CN"/>
              </w:rPr>
              <w:t>橙黄疣柄牛肝菌</w:t>
            </w:r>
          </w:p>
        </w:tc>
        <w:tc>
          <w:tcPr>
            <w:tcW w:w="2604" w:type="dxa"/>
            <w:vAlign w:val="center"/>
          </w:tcPr>
          <w:p w14:paraId="148A95EA">
            <w:pPr>
              <w:pStyle w:val="22"/>
              <w:bidi w:val="0"/>
              <w:jc w:val="center"/>
              <w:rPr>
                <w:rFonts w:hint="default"/>
                <w:i/>
                <w:iCs w:val="0"/>
                <w:highlight w:val="none"/>
                <w:lang w:val="en-US" w:eastAsia="zh-CN"/>
              </w:rPr>
            </w:pPr>
            <w:r>
              <w:rPr>
                <w:rFonts w:hint="default"/>
                <w:i/>
                <w:iCs w:val="0"/>
                <w:highlight w:val="none"/>
                <w:lang w:val="en-US" w:eastAsia="zh-CN"/>
              </w:rPr>
              <w:t>Leccinum aurantiacum</w:t>
            </w:r>
          </w:p>
        </w:tc>
        <w:tc>
          <w:tcPr>
            <w:tcW w:w="1419" w:type="dxa"/>
            <w:vAlign w:val="center"/>
          </w:tcPr>
          <w:p w14:paraId="797BA7D4">
            <w:pPr>
              <w:pStyle w:val="22"/>
              <w:bidi w:val="0"/>
              <w:jc w:val="center"/>
              <w:rPr>
                <w:rFonts w:hint="default"/>
                <w:highlight w:val="none"/>
                <w:lang w:val="en-US" w:eastAsia="zh-CN"/>
              </w:rPr>
            </w:pPr>
            <w:r>
              <w:rPr>
                <w:rFonts w:hint="default"/>
                <w:highlight w:val="none"/>
                <w:lang w:val="en-US" w:eastAsia="zh-CN"/>
              </w:rPr>
              <w:t>LC</w:t>
            </w:r>
          </w:p>
        </w:tc>
        <w:tc>
          <w:tcPr>
            <w:tcW w:w="927" w:type="dxa"/>
            <w:vAlign w:val="center"/>
          </w:tcPr>
          <w:p w14:paraId="4C222EC8">
            <w:pPr>
              <w:pStyle w:val="22"/>
              <w:bidi w:val="0"/>
              <w:jc w:val="center"/>
              <w:rPr>
                <w:rFonts w:hint="default"/>
                <w:highlight w:val="none"/>
                <w:lang w:val="en-US" w:eastAsia="zh-CN"/>
              </w:rPr>
            </w:pPr>
          </w:p>
        </w:tc>
        <w:tc>
          <w:tcPr>
            <w:tcW w:w="2195" w:type="dxa"/>
            <w:vAlign w:val="center"/>
          </w:tcPr>
          <w:p w14:paraId="116EA240">
            <w:pPr>
              <w:pStyle w:val="22"/>
              <w:bidi w:val="0"/>
              <w:jc w:val="center"/>
              <w:rPr>
                <w:rFonts w:hint="default"/>
                <w:highlight w:val="none"/>
                <w:lang w:val="en-US" w:eastAsia="zh-CN"/>
              </w:rPr>
            </w:pPr>
            <w:r>
              <w:rPr>
                <w:rFonts w:hint="default"/>
                <w:highlight w:val="none"/>
                <w:lang w:val="en-US" w:eastAsia="zh-CN"/>
              </w:rPr>
              <w:t>可食用</w:t>
            </w:r>
          </w:p>
        </w:tc>
      </w:tr>
      <w:tr w14:paraId="2DA9F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184F0EF6">
            <w:pPr>
              <w:pStyle w:val="22"/>
              <w:bidi w:val="0"/>
              <w:jc w:val="center"/>
              <w:rPr>
                <w:rFonts w:hint="default"/>
                <w:b/>
                <w:bCs/>
                <w:highlight w:val="none"/>
                <w:lang w:val="en-US" w:eastAsia="zh-CN"/>
              </w:rPr>
            </w:pPr>
            <w:r>
              <w:rPr>
                <w:rFonts w:hint="default"/>
                <w:b/>
                <w:bCs/>
                <w:highlight w:val="none"/>
                <w:lang w:val="en-US" w:eastAsia="zh-CN"/>
              </w:rPr>
              <w:t>小脆柄菇科</w:t>
            </w:r>
          </w:p>
        </w:tc>
        <w:tc>
          <w:tcPr>
            <w:tcW w:w="2604" w:type="dxa"/>
            <w:vAlign w:val="center"/>
          </w:tcPr>
          <w:p w14:paraId="67ECF4F8">
            <w:pPr>
              <w:pStyle w:val="22"/>
              <w:bidi w:val="0"/>
              <w:jc w:val="center"/>
              <w:rPr>
                <w:rFonts w:hint="default"/>
                <w:b/>
                <w:bCs/>
                <w:i/>
                <w:iCs w:val="0"/>
                <w:highlight w:val="none"/>
                <w:lang w:val="en-US" w:eastAsia="zh-CN"/>
              </w:rPr>
            </w:pPr>
            <w:r>
              <w:rPr>
                <w:rFonts w:hint="default"/>
                <w:b/>
                <w:bCs/>
                <w:i/>
                <w:iCs w:val="0"/>
                <w:highlight w:val="none"/>
                <w:lang w:val="en-US" w:eastAsia="zh-CN"/>
              </w:rPr>
              <w:t>Psathyrellaceae</w:t>
            </w:r>
          </w:p>
        </w:tc>
        <w:tc>
          <w:tcPr>
            <w:tcW w:w="1419" w:type="dxa"/>
            <w:vAlign w:val="center"/>
          </w:tcPr>
          <w:p w14:paraId="13E04C73">
            <w:pPr>
              <w:pStyle w:val="22"/>
              <w:bidi w:val="0"/>
              <w:jc w:val="center"/>
              <w:rPr>
                <w:rFonts w:hint="default"/>
                <w:highlight w:val="none"/>
                <w:lang w:val="en-US" w:eastAsia="zh-CN"/>
              </w:rPr>
            </w:pPr>
          </w:p>
        </w:tc>
        <w:tc>
          <w:tcPr>
            <w:tcW w:w="927" w:type="dxa"/>
            <w:vAlign w:val="center"/>
          </w:tcPr>
          <w:p w14:paraId="66D2937A">
            <w:pPr>
              <w:pStyle w:val="22"/>
              <w:bidi w:val="0"/>
              <w:jc w:val="center"/>
              <w:rPr>
                <w:rFonts w:hint="default"/>
                <w:highlight w:val="none"/>
                <w:lang w:val="en-US" w:eastAsia="zh-CN"/>
              </w:rPr>
            </w:pPr>
          </w:p>
        </w:tc>
        <w:tc>
          <w:tcPr>
            <w:tcW w:w="2195" w:type="dxa"/>
            <w:vAlign w:val="center"/>
          </w:tcPr>
          <w:p w14:paraId="1BE32205">
            <w:pPr>
              <w:pStyle w:val="22"/>
              <w:bidi w:val="0"/>
              <w:jc w:val="center"/>
              <w:rPr>
                <w:rFonts w:hint="default"/>
                <w:highlight w:val="none"/>
                <w:lang w:val="en-US" w:eastAsia="zh-CN"/>
              </w:rPr>
            </w:pPr>
          </w:p>
        </w:tc>
      </w:tr>
      <w:tr w14:paraId="54A52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4294D6D2">
            <w:pPr>
              <w:pStyle w:val="22"/>
              <w:bidi w:val="0"/>
              <w:jc w:val="center"/>
              <w:rPr>
                <w:rFonts w:hint="default"/>
                <w:highlight w:val="none"/>
                <w:lang w:val="en-US" w:eastAsia="zh-CN"/>
              </w:rPr>
            </w:pPr>
            <w:r>
              <w:rPr>
                <w:rFonts w:hint="default"/>
                <w:highlight w:val="none"/>
                <w:lang w:val="en-US" w:eastAsia="zh-CN"/>
              </w:rPr>
              <w:t>品粒小鬼伞</w:t>
            </w:r>
          </w:p>
        </w:tc>
        <w:tc>
          <w:tcPr>
            <w:tcW w:w="2604" w:type="dxa"/>
            <w:vAlign w:val="center"/>
          </w:tcPr>
          <w:p w14:paraId="7B328CB8">
            <w:pPr>
              <w:pStyle w:val="22"/>
              <w:bidi w:val="0"/>
              <w:jc w:val="center"/>
              <w:rPr>
                <w:rFonts w:hint="default"/>
                <w:i/>
                <w:iCs w:val="0"/>
                <w:highlight w:val="none"/>
                <w:lang w:val="en-US" w:eastAsia="zh-CN"/>
              </w:rPr>
            </w:pPr>
            <w:r>
              <w:rPr>
                <w:rFonts w:hint="default"/>
                <w:i/>
                <w:iCs w:val="0"/>
                <w:highlight w:val="none"/>
                <w:lang w:val="en-US" w:eastAsia="zh-CN"/>
              </w:rPr>
              <w:t>Coprinellus micaceus</w:t>
            </w:r>
          </w:p>
        </w:tc>
        <w:tc>
          <w:tcPr>
            <w:tcW w:w="1419" w:type="dxa"/>
            <w:vAlign w:val="center"/>
          </w:tcPr>
          <w:p w14:paraId="38E7AF10">
            <w:pPr>
              <w:pStyle w:val="22"/>
              <w:bidi w:val="0"/>
              <w:jc w:val="center"/>
              <w:rPr>
                <w:rFonts w:hint="default"/>
                <w:highlight w:val="none"/>
                <w:lang w:val="en-US" w:eastAsia="zh-CN"/>
              </w:rPr>
            </w:pPr>
            <w:r>
              <w:rPr>
                <w:rFonts w:hint="default"/>
                <w:highlight w:val="none"/>
                <w:lang w:val="en-US" w:eastAsia="zh-CN"/>
              </w:rPr>
              <w:t>LC</w:t>
            </w:r>
          </w:p>
        </w:tc>
        <w:tc>
          <w:tcPr>
            <w:tcW w:w="927" w:type="dxa"/>
            <w:vAlign w:val="center"/>
          </w:tcPr>
          <w:p w14:paraId="086E0558">
            <w:pPr>
              <w:pStyle w:val="22"/>
              <w:bidi w:val="0"/>
              <w:jc w:val="center"/>
              <w:rPr>
                <w:rFonts w:hint="default"/>
                <w:highlight w:val="none"/>
                <w:lang w:val="en-US" w:eastAsia="zh-CN"/>
              </w:rPr>
            </w:pPr>
          </w:p>
        </w:tc>
        <w:tc>
          <w:tcPr>
            <w:tcW w:w="2195" w:type="dxa"/>
            <w:vAlign w:val="center"/>
          </w:tcPr>
          <w:p w14:paraId="3DCBACA5">
            <w:pPr>
              <w:pStyle w:val="22"/>
              <w:bidi w:val="0"/>
              <w:jc w:val="center"/>
              <w:rPr>
                <w:rFonts w:hint="default"/>
                <w:highlight w:val="none"/>
                <w:lang w:val="en-US" w:eastAsia="zh-CN"/>
              </w:rPr>
            </w:pPr>
            <w:r>
              <w:rPr>
                <w:rFonts w:hint="default"/>
                <w:highlight w:val="none"/>
                <w:lang w:val="en-US" w:eastAsia="zh-CN"/>
              </w:rPr>
              <w:t>幼嫩时可食</w:t>
            </w:r>
          </w:p>
        </w:tc>
      </w:tr>
      <w:tr w14:paraId="033D2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40E22606">
            <w:pPr>
              <w:pStyle w:val="22"/>
              <w:bidi w:val="0"/>
              <w:jc w:val="center"/>
              <w:rPr>
                <w:rFonts w:hint="default"/>
                <w:b/>
                <w:bCs/>
                <w:highlight w:val="none"/>
                <w:lang w:val="en-US" w:eastAsia="zh-CN"/>
              </w:rPr>
            </w:pPr>
            <w:r>
              <w:rPr>
                <w:rFonts w:hint="default"/>
                <w:b/>
                <w:bCs/>
                <w:highlight w:val="none"/>
                <w:lang w:val="en-US" w:eastAsia="zh-CN"/>
              </w:rPr>
              <w:t>钉菇科</w:t>
            </w:r>
          </w:p>
        </w:tc>
        <w:tc>
          <w:tcPr>
            <w:tcW w:w="2604" w:type="dxa"/>
            <w:vAlign w:val="center"/>
          </w:tcPr>
          <w:p w14:paraId="71997DE8">
            <w:pPr>
              <w:pStyle w:val="22"/>
              <w:bidi w:val="0"/>
              <w:jc w:val="center"/>
              <w:rPr>
                <w:rFonts w:hint="default"/>
                <w:b/>
                <w:bCs/>
                <w:i/>
                <w:iCs w:val="0"/>
                <w:highlight w:val="none"/>
                <w:lang w:val="en-US" w:eastAsia="zh-CN"/>
              </w:rPr>
            </w:pPr>
            <w:r>
              <w:rPr>
                <w:rFonts w:hint="default"/>
                <w:b/>
                <w:bCs/>
                <w:i/>
                <w:iCs w:val="0"/>
                <w:highlight w:val="none"/>
                <w:lang w:val="en-US" w:eastAsia="zh-CN"/>
              </w:rPr>
              <w:t>Gomphaceae</w:t>
            </w:r>
          </w:p>
        </w:tc>
        <w:tc>
          <w:tcPr>
            <w:tcW w:w="1419" w:type="dxa"/>
            <w:vAlign w:val="center"/>
          </w:tcPr>
          <w:p w14:paraId="1C60F32B">
            <w:pPr>
              <w:pStyle w:val="22"/>
              <w:bidi w:val="0"/>
              <w:jc w:val="center"/>
              <w:rPr>
                <w:rFonts w:hint="default"/>
                <w:highlight w:val="none"/>
                <w:lang w:val="en-US" w:eastAsia="zh-CN"/>
              </w:rPr>
            </w:pPr>
          </w:p>
        </w:tc>
        <w:tc>
          <w:tcPr>
            <w:tcW w:w="927" w:type="dxa"/>
            <w:vAlign w:val="center"/>
          </w:tcPr>
          <w:p w14:paraId="5E735CC3">
            <w:pPr>
              <w:pStyle w:val="22"/>
              <w:bidi w:val="0"/>
              <w:jc w:val="center"/>
              <w:rPr>
                <w:rFonts w:hint="default"/>
                <w:highlight w:val="none"/>
                <w:lang w:val="en-US" w:eastAsia="zh-CN"/>
              </w:rPr>
            </w:pPr>
          </w:p>
        </w:tc>
        <w:tc>
          <w:tcPr>
            <w:tcW w:w="2195" w:type="dxa"/>
            <w:vAlign w:val="center"/>
          </w:tcPr>
          <w:p w14:paraId="2A9064FE">
            <w:pPr>
              <w:pStyle w:val="22"/>
              <w:bidi w:val="0"/>
              <w:jc w:val="center"/>
              <w:rPr>
                <w:rFonts w:hint="default"/>
                <w:highlight w:val="none"/>
                <w:lang w:val="en-US" w:eastAsia="zh-CN"/>
              </w:rPr>
            </w:pPr>
          </w:p>
        </w:tc>
      </w:tr>
      <w:tr w14:paraId="2DE15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78282954">
            <w:pPr>
              <w:pStyle w:val="22"/>
              <w:bidi w:val="0"/>
              <w:jc w:val="center"/>
              <w:rPr>
                <w:rFonts w:hint="default"/>
                <w:highlight w:val="none"/>
                <w:lang w:val="en-US" w:eastAsia="zh-CN"/>
              </w:rPr>
            </w:pPr>
            <w:r>
              <w:rPr>
                <w:rFonts w:hint="default"/>
                <w:highlight w:val="none"/>
                <w:lang w:val="en-US" w:eastAsia="zh-CN"/>
              </w:rPr>
              <w:t>细枝瑚菌</w:t>
            </w:r>
          </w:p>
        </w:tc>
        <w:tc>
          <w:tcPr>
            <w:tcW w:w="2604" w:type="dxa"/>
            <w:vAlign w:val="center"/>
          </w:tcPr>
          <w:p w14:paraId="274508FA">
            <w:pPr>
              <w:pStyle w:val="22"/>
              <w:bidi w:val="0"/>
              <w:jc w:val="center"/>
              <w:rPr>
                <w:rFonts w:hint="default"/>
                <w:i/>
                <w:iCs w:val="0"/>
                <w:highlight w:val="none"/>
                <w:lang w:val="en-US" w:eastAsia="zh-CN"/>
              </w:rPr>
            </w:pPr>
            <w:r>
              <w:rPr>
                <w:rFonts w:hint="default"/>
                <w:i/>
                <w:iCs w:val="0"/>
                <w:highlight w:val="none"/>
                <w:lang w:val="en-US" w:eastAsia="zh-CN"/>
              </w:rPr>
              <w:t>Ramaria linearis</w:t>
            </w:r>
          </w:p>
        </w:tc>
        <w:tc>
          <w:tcPr>
            <w:tcW w:w="1419" w:type="dxa"/>
            <w:vAlign w:val="center"/>
          </w:tcPr>
          <w:p w14:paraId="245487DD">
            <w:pPr>
              <w:pStyle w:val="22"/>
              <w:bidi w:val="0"/>
              <w:jc w:val="center"/>
              <w:rPr>
                <w:rFonts w:hint="default"/>
                <w:highlight w:val="none"/>
                <w:lang w:val="en-US" w:eastAsia="zh-CN"/>
              </w:rPr>
            </w:pPr>
            <w:r>
              <w:rPr>
                <w:rFonts w:hint="default"/>
                <w:highlight w:val="none"/>
                <w:lang w:val="en-US" w:eastAsia="zh-CN"/>
              </w:rPr>
              <w:t>NT</w:t>
            </w:r>
          </w:p>
        </w:tc>
        <w:tc>
          <w:tcPr>
            <w:tcW w:w="927" w:type="dxa"/>
            <w:vAlign w:val="center"/>
          </w:tcPr>
          <w:p w14:paraId="47426104">
            <w:pPr>
              <w:pStyle w:val="22"/>
              <w:bidi w:val="0"/>
              <w:jc w:val="center"/>
              <w:rPr>
                <w:rFonts w:hint="default"/>
                <w:highlight w:val="none"/>
                <w:lang w:val="en-US" w:eastAsia="zh-CN"/>
              </w:rPr>
            </w:pPr>
            <w:r>
              <w:rPr>
                <w:rFonts w:hint="default"/>
                <w:highlight w:val="none"/>
                <w:lang w:val="en-US" w:eastAsia="zh-CN"/>
              </w:rPr>
              <w:t>√</w:t>
            </w:r>
          </w:p>
        </w:tc>
        <w:tc>
          <w:tcPr>
            <w:tcW w:w="2195" w:type="dxa"/>
            <w:vAlign w:val="center"/>
          </w:tcPr>
          <w:p w14:paraId="4BBFE774">
            <w:pPr>
              <w:pStyle w:val="22"/>
              <w:bidi w:val="0"/>
              <w:jc w:val="center"/>
              <w:rPr>
                <w:rFonts w:hint="default"/>
                <w:highlight w:val="none"/>
                <w:lang w:val="en-US" w:eastAsia="zh-CN"/>
              </w:rPr>
            </w:pPr>
            <w:r>
              <w:rPr>
                <w:rFonts w:hint="default"/>
                <w:highlight w:val="none"/>
                <w:lang w:val="en-US" w:eastAsia="zh-CN"/>
              </w:rPr>
              <w:t>可食用</w:t>
            </w:r>
          </w:p>
        </w:tc>
      </w:tr>
      <w:tr w14:paraId="31A07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38193067">
            <w:pPr>
              <w:pStyle w:val="22"/>
              <w:bidi w:val="0"/>
              <w:jc w:val="center"/>
              <w:rPr>
                <w:rFonts w:hint="default"/>
                <w:b/>
                <w:bCs/>
                <w:highlight w:val="none"/>
                <w:lang w:val="en-US" w:eastAsia="zh-CN"/>
              </w:rPr>
            </w:pPr>
            <w:r>
              <w:rPr>
                <w:rFonts w:hint="default"/>
                <w:b/>
                <w:bCs/>
                <w:highlight w:val="none"/>
                <w:lang w:val="en-US" w:eastAsia="zh-CN"/>
              </w:rPr>
              <w:t>麦角菌目</w:t>
            </w:r>
          </w:p>
        </w:tc>
        <w:tc>
          <w:tcPr>
            <w:tcW w:w="2604" w:type="dxa"/>
            <w:vAlign w:val="center"/>
          </w:tcPr>
          <w:p w14:paraId="40809C46">
            <w:pPr>
              <w:pStyle w:val="22"/>
              <w:bidi w:val="0"/>
              <w:jc w:val="center"/>
              <w:rPr>
                <w:rFonts w:hint="default"/>
                <w:b/>
                <w:bCs/>
                <w:i/>
                <w:iCs w:val="0"/>
                <w:highlight w:val="none"/>
                <w:lang w:val="en-US" w:eastAsia="zh-CN"/>
              </w:rPr>
            </w:pPr>
            <w:r>
              <w:rPr>
                <w:rFonts w:hint="default"/>
                <w:b/>
                <w:bCs/>
                <w:i/>
                <w:iCs w:val="0"/>
                <w:highlight w:val="none"/>
                <w:lang w:val="en-US" w:eastAsia="zh-CN"/>
              </w:rPr>
              <w:t>Clavicipitales</w:t>
            </w:r>
          </w:p>
        </w:tc>
        <w:tc>
          <w:tcPr>
            <w:tcW w:w="1419" w:type="dxa"/>
            <w:vAlign w:val="center"/>
          </w:tcPr>
          <w:p w14:paraId="01AB7232">
            <w:pPr>
              <w:pStyle w:val="22"/>
              <w:bidi w:val="0"/>
              <w:jc w:val="center"/>
              <w:rPr>
                <w:rFonts w:hint="default"/>
                <w:highlight w:val="none"/>
                <w:lang w:val="en-US" w:eastAsia="zh-CN"/>
              </w:rPr>
            </w:pPr>
          </w:p>
        </w:tc>
        <w:tc>
          <w:tcPr>
            <w:tcW w:w="927" w:type="dxa"/>
            <w:vAlign w:val="center"/>
          </w:tcPr>
          <w:p w14:paraId="2FCEC00B">
            <w:pPr>
              <w:pStyle w:val="22"/>
              <w:bidi w:val="0"/>
              <w:jc w:val="center"/>
              <w:rPr>
                <w:rFonts w:hint="default"/>
                <w:highlight w:val="none"/>
                <w:lang w:val="en-US" w:eastAsia="zh-CN"/>
              </w:rPr>
            </w:pPr>
          </w:p>
        </w:tc>
        <w:tc>
          <w:tcPr>
            <w:tcW w:w="2195" w:type="dxa"/>
            <w:vAlign w:val="center"/>
          </w:tcPr>
          <w:p w14:paraId="7B61846B">
            <w:pPr>
              <w:pStyle w:val="22"/>
              <w:bidi w:val="0"/>
              <w:jc w:val="center"/>
              <w:rPr>
                <w:rFonts w:hint="default"/>
                <w:highlight w:val="none"/>
                <w:lang w:val="en-US" w:eastAsia="zh-CN"/>
              </w:rPr>
            </w:pPr>
          </w:p>
        </w:tc>
      </w:tr>
      <w:tr w14:paraId="746E7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259EA218">
            <w:pPr>
              <w:pStyle w:val="22"/>
              <w:bidi w:val="0"/>
              <w:jc w:val="center"/>
              <w:rPr>
                <w:rFonts w:hint="default"/>
                <w:b/>
                <w:bCs/>
                <w:highlight w:val="none"/>
                <w:lang w:val="en-US" w:eastAsia="zh-CN"/>
              </w:rPr>
            </w:pPr>
            <w:r>
              <w:rPr>
                <w:rFonts w:hint="default"/>
                <w:b/>
                <w:bCs/>
                <w:highlight w:val="none"/>
                <w:lang w:val="en-US" w:eastAsia="zh-CN"/>
              </w:rPr>
              <w:t>线虫草科</w:t>
            </w:r>
          </w:p>
        </w:tc>
        <w:tc>
          <w:tcPr>
            <w:tcW w:w="2604" w:type="dxa"/>
            <w:vAlign w:val="center"/>
          </w:tcPr>
          <w:p w14:paraId="72293434">
            <w:pPr>
              <w:pStyle w:val="22"/>
              <w:bidi w:val="0"/>
              <w:jc w:val="center"/>
              <w:rPr>
                <w:rFonts w:hint="default"/>
                <w:b/>
                <w:bCs/>
                <w:i/>
                <w:iCs w:val="0"/>
                <w:highlight w:val="none"/>
                <w:lang w:val="en-US" w:eastAsia="zh-CN"/>
              </w:rPr>
            </w:pPr>
            <w:r>
              <w:rPr>
                <w:rFonts w:hint="default"/>
                <w:b/>
                <w:bCs/>
                <w:i/>
                <w:iCs w:val="0"/>
                <w:highlight w:val="none"/>
                <w:lang w:val="en-US" w:eastAsia="zh-CN"/>
              </w:rPr>
              <w:t>Ophiocordycipitaceae</w:t>
            </w:r>
          </w:p>
        </w:tc>
        <w:tc>
          <w:tcPr>
            <w:tcW w:w="1419" w:type="dxa"/>
            <w:vAlign w:val="center"/>
          </w:tcPr>
          <w:p w14:paraId="12697AFC">
            <w:pPr>
              <w:pStyle w:val="22"/>
              <w:bidi w:val="0"/>
              <w:jc w:val="center"/>
              <w:rPr>
                <w:rFonts w:hint="default"/>
                <w:highlight w:val="none"/>
                <w:lang w:val="en-US" w:eastAsia="zh-CN"/>
              </w:rPr>
            </w:pPr>
          </w:p>
        </w:tc>
        <w:tc>
          <w:tcPr>
            <w:tcW w:w="927" w:type="dxa"/>
            <w:vAlign w:val="center"/>
          </w:tcPr>
          <w:p w14:paraId="6DAF57F0">
            <w:pPr>
              <w:pStyle w:val="22"/>
              <w:bidi w:val="0"/>
              <w:jc w:val="center"/>
              <w:rPr>
                <w:rFonts w:hint="default"/>
                <w:highlight w:val="none"/>
                <w:lang w:val="en-US" w:eastAsia="zh-CN"/>
              </w:rPr>
            </w:pPr>
          </w:p>
        </w:tc>
        <w:tc>
          <w:tcPr>
            <w:tcW w:w="2195" w:type="dxa"/>
            <w:vAlign w:val="center"/>
          </w:tcPr>
          <w:p w14:paraId="55808985">
            <w:pPr>
              <w:pStyle w:val="22"/>
              <w:bidi w:val="0"/>
              <w:jc w:val="center"/>
              <w:rPr>
                <w:rFonts w:hint="default"/>
                <w:highlight w:val="none"/>
                <w:lang w:val="en-US" w:eastAsia="zh-CN"/>
              </w:rPr>
            </w:pPr>
          </w:p>
        </w:tc>
      </w:tr>
      <w:tr w14:paraId="39490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37135632">
            <w:pPr>
              <w:pStyle w:val="22"/>
              <w:bidi w:val="0"/>
              <w:jc w:val="center"/>
              <w:rPr>
                <w:rFonts w:hint="default"/>
                <w:highlight w:val="none"/>
                <w:lang w:val="en-US" w:eastAsia="zh-CN"/>
              </w:rPr>
            </w:pPr>
            <w:r>
              <w:rPr>
                <w:rFonts w:hint="default"/>
                <w:highlight w:val="none"/>
                <w:lang w:val="en-US" w:eastAsia="zh-CN"/>
              </w:rPr>
              <w:t>冬虫夏草</w:t>
            </w:r>
          </w:p>
        </w:tc>
        <w:tc>
          <w:tcPr>
            <w:tcW w:w="2604" w:type="dxa"/>
            <w:vAlign w:val="center"/>
          </w:tcPr>
          <w:p w14:paraId="11CF6B1D">
            <w:pPr>
              <w:pStyle w:val="22"/>
              <w:bidi w:val="0"/>
              <w:jc w:val="center"/>
              <w:rPr>
                <w:rFonts w:hint="default"/>
                <w:i/>
                <w:iCs w:val="0"/>
                <w:highlight w:val="none"/>
                <w:lang w:val="en-US" w:eastAsia="zh-CN"/>
              </w:rPr>
            </w:pPr>
            <w:r>
              <w:rPr>
                <w:rFonts w:hint="default"/>
                <w:i/>
                <w:iCs w:val="0"/>
                <w:highlight w:val="none"/>
                <w:lang w:val="en-US" w:eastAsia="zh-CN"/>
              </w:rPr>
              <w:t>Ophiocordyceps sinensis</w:t>
            </w:r>
          </w:p>
        </w:tc>
        <w:tc>
          <w:tcPr>
            <w:tcW w:w="1419" w:type="dxa"/>
            <w:vAlign w:val="center"/>
          </w:tcPr>
          <w:p w14:paraId="6740A0D6">
            <w:pPr>
              <w:pStyle w:val="22"/>
              <w:bidi w:val="0"/>
              <w:jc w:val="center"/>
              <w:rPr>
                <w:rFonts w:hint="default"/>
                <w:highlight w:val="none"/>
                <w:lang w:val="en-US" w:eastAsia="zh-CN"/>
              </w:rPr>
            </w:pPr>
            <w:r>
              <w:rPr>
                <w:rFonts w:hint="default"/>
                <w:highlight w:val="none"/>
                <w:lang w:val="en-US" w:eastAsia="zh-CN"/>
              </w:rPr>
              <w:t>VU</w:t>
            </w:r>
          </w:p>
        </w:tc>
        <w:tc>
          <w:tcPr>
            <w:tcW w:w="927" w:type="dxa"/>
            <w:vAlign w:val="center"/>
          </w:tcPr>
          <w:p w14:paraId="265E3050">
            <w:pPr>
              <w:pStyle w:val="22"/>
              <w:bidi w:val="0"/>
              <w:jc w:val="center"/>
              <w:rPr>
                <w:rFonts w:hint="default"/>
                <w:highlight w:val="none"/>
                <w:lang w:val="en-US" w:eastAsia="zh-CN"/>
              </w:rPr>
            </w:pPr>
          </w:p>
        </w:tc>
        <w:tc>
          <w:tcPr>
            <w:tcW w:w="2195" w:type="dxa"/>
            <w:vAlign w:val="center"/>
          </w:tcPr>
          <w:p w14:paraId="2A2C6CDE">
            <w:pPr>
              <w:pStyle w:val="22"/>
              <w:bidi w:val="0"/>
              <w:jc w:val="center"/>
              <w:rPr>
                <w:rFonts w:hint="default"/>
                <w:highlight w:val="none"/>
                <w:lang w:val="en-US" w:eastAsia="zh-CN"/>
              </w:rPr>
            </w:pPr>
            <w:r>
              <w:rPr>
                <w:rFonts w:hint="default"/>
                <w:highlight w:val="none"/>
                <w:lang w:val="en-US" w:eastAsia="zh-CN"/>
              </w:rPr>
              <w:t>可食用，具有重要经济价值</w:t>
            </w:r>
            <w:r>
              <w:rPr>
                <w:rFonts w:hint="default"/>
                <w:highlight w:val="none"/>
                <w:lang w:val="en-US" w:eastAsia="zh-CN"/>
              </w:rPr>
              <w:tab/>
            </w:r>
          </w:p>
        </w:tc>
      </w:tr>
      <w:tr w14:paraId="5C6AB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62DDB822">
            <w:pPr>
              <w:pStyle w:val="22"/>
              <w:bidi w:val="0"/>
              <w:jc w:val="center"/>
              <w:rPr>
                <w:rFonts w:hint="default"/>
                <w:b/>
                <w:bCs/>
                <w:highlight w:val="none"/>
                <w:lang w:val="en-US" w:eastAsia="zh-CN"/>
              </w:rPr>
            </w:pPr>
            <w:r>
              <w:rPr>
                <w:rFonts w:hint="default"/>
                <w:b/>
                <w:bCs/>
                <w:highlight w:val="none"/>
                <w:lang w:val="en-US" w:eastAsia="zh-CN"/>
              </w:rPr>
              <w:t>腹菌目</w:t>
            </w:r>
          </w:p>
        </w:tc>
        <w:tc>
          <w:tcPr>
            <w:tcW w:w="2604" w:type="dxa"/>
            <w:vAlign w:val="center"/>
          </w:tcPr>
          <w:p w14:paraId="25BD4FA7">
            <w:pPr>
              <w:pStyle w:val="22"/>
              <w:bidi w:val="0"/>
              <w:jc w:val="center"/>
              <w:rPr>
                <w:rFonts w:hint="default"/>
                <w:b/>
                <w:bCs/>
                <w:i/>
                <w:iCs w:val="0"/>
                <w:highlight w:val="none"/>
                <w:lang w:val="en-US" w:eastAsia="zh-CN"/>
              </w:rPr>
            </w:pPr>
            <w:r>
              <w:rPr>
                <w:rFonts w:hint="default"/>
                <w:b/>
                <w:bCs/>
                <w:i/>
                <w:iCs w:val="0"/>
                <w:highlight w:val="none"/>
                <w:lang w:val="en-US" w:eastAsia="zh-CN"/>
              </w:rPr>
              <w:t>Hymenogastrales</w:t>
            </w:r>
          </w:p>
        </w:tc>
        <w:tc>
          <w:tcPr>
            <w:tcW w:w="1419" w:type="dxa"/>
            <w:vAlign w:val="center"/>
          </w:tcPr>
          <w:p w14:paraId="686871B9">
            <w:pPr>
              <w:pStyle w:val="22"/>
              <w:bidi w:val="0"/>
              <w:jc w:val="center"/>
              <w:rPr>
                <w:rFonts w:hint="default"/>
                <w:highlight w:val="none"/>
                <w:lang w:val="en-US" w:eastAsia="zh-CN"/>
              </w:rPr>
            </w:pPr>
          </w:p>
        </w:tc>
        <w:tc>
          <w:tcPr>
            <w:tcW w:w="927" w:type="dxa"/>
            <w:vAlign w:val="center"/>
          </w:tcPr>
          <w:p w14:paraId="15B58062">
            <w:pPr>
              <w:pStyle w:val="22"/>
              <w:bidi w:val="0"/>
              <w:jc w:val="center"/>
              <w:rPr>
                <w:rFonts w:hint="default"/>
                <w:highlight w:val="none"/>
                <w:lang w:val="en-US" w:eastAsia="zh-CN"/>
              </w:rPr>
            </w:pPr>
          </w:p>
        </w:tc>
        <w:tc>
          <w:tcPr>
            <w:tcW w:w="2195" w:type="dxa"/>
            <w:vAlign w:val="center"/>
          </w:tcPr>
          <w:p w14:paraId="7D5B70B8">
            <w:pPr>
              <w:pStyle w:val="22"/>
              <w:bidi w:val="0"/>
              <w:jc w:val="center"/>
              <w:rPr>
                <w:rFonts w:hint="default"/>
                <w:highlight w:val="none"/>
                <w:lang w:val="en-US" w:eastAsia="zh-CN"/>
              </w:rPr>
            </w:pPr>
          </w:p>
        </w:tc>
      </w:tr>
      <w:tr w14:paraId="61E56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3A146007">
            <w:pPr>
              <w:pStyle w:val="22"/>
              <w:bidi w:val="0"/>
              <w:jc w:val="center"/>
              <w:rPr>
                <w:rFonts w:hint="default"/>
                <w:b/>
                <w:bCs/>
                <w:highlight w:val="none"/>
                <w:lang w:val="en-US" w:eastAsia="zh-CN"/>
              </w:rPr>
            </w:pPr>
            <w:r>
              <w:rPr>
                <w:rFonts w:hint="default"/>
                <w:b/>
                <w:bCs/>
                <w:highlight w:val="none"/>
                <w:lang w:val="en-US" w:eastAsia="zh-CN"/>
              </w:rPr>
              <w:t>轴腹菌科</w:t>
            </w:r>
          </w:p>
        </w:tc>
        <w:tc>
          <w:tcPr>
            <w:tcW w:w="2604" w:type="dxa"/>
            <w:vAlign w:val="center"/>
          </w:tcPr>
          <w:p w14:paraId="09DC07C3">
            <w:pPr>
              <w:pStyle w:val="22"/>
              <w:bidi w:val="0"/>
              <w:jc w:val="center"/>
              <w:rPr>
                <w:rFonts w:hint="default"/>
                <w:b/>
                <w:bCs/>
                <w:i/>
                <w:iCs w:val="0"/>
                <w:highlight w:val="none"/>
                <w:lang w:val="en-US" w:eastAsia="zh-CN"/>
              </w:rPr>
            </w:pPr>
            <w:r>
              <w:rPr>
                <w:rFonts w:hint="default"/>
                <w:b/>
                <w:bCs/>
                <w:i/>
                <w:iCs w:val="0"/>
                <w:highlight w:val="none"/>
                <w:lang w:val="en-US" w:eastAsia="zh-CN"/>
              </w:rPr>
              <w:t>Hydnangiaceae</w:t>
            </w:r>
          </w:p>
        </w:tc>
        <w:tc>
          <w:tcPr>
            <w:tcW w:w="1419" w:type="dxa"/>
            <w:vAlign w:val="center"/>
          </w:tcPr>
          <w:p w14:paraId="5C93F33C">
            <w:pPr>
              <w:pStyle w:val="22"/>
              <w:bidi w:val="0"/>
              <w:jc w:val="center"/>
              <w:rPr>
                <w:rFonts w:hint="default"/>
                <w:highlight w:val="none"/>
                <w:lang w:val="en-US" w:eastAsia="zh-CN"/>
              </w:rPr>
            </w:pPr>
          </w:p>
        </w:tc>
        <w:tc>
          <w:tcPr>
            <w:tcW w:w="927" w:type="dxa"/>
            <w:vAlign w:val="center"/>
          </w:tcPr>
          <w:p w14:paraId="7F3F9F7D">
            <w:pPr>
              <w:pStyle w:val="22"/>
              <w:bidi w:val="0"/>
              <w:jc w:val="center"/>
              <w:rPr>
                <w:rFonts w:hint="default"/>
                <w:highlight w:val="none"/>
                <w:lang w:val="en-US" w:eastAsia="zh-CN"/>
              </w:rPr>
            </w:pPr>
          </w:p>
        </w:tc>
        <w:tc>
          <w:tcPr>
            <w:tcW w:w="2195" w:type="dxa"/>
            <w:vAlign w:val="center"/>
          </w:tcPr>
          <w:p w14:paraId="1C9A6DB8">
            <w:pPr>
              <w:pStyle w:val="22"/>
              <w:bidi w:val="0"/>
              <w:jc w:val="center"/>
              <w:rPr>
                <w:rFonts w:hint="default"/>
                <w:highlight w:val="none"/>
                <w:lang w:val="en-US" w:eastAsia="zh-CN"/>
              </w:rPr>
            </w:pPr>
          </w:p>
        </w:tc>
      </w:tr>
      <w:tr w14:paraId="35B4A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1A28E3AF">
            <w:pPr>
              <w:pStyle w:val="22"/>
              <w:bidi w:val="0"/>
              <w:jc w:val="center"/>
              <w:rPr>
                <w:rFonts w:hint="default"/>
                <w:highlight w:val="none"/>
                <w:lang w:val="en-US" w:eastAsia="zh-CN"/>
              </w:rPr>
            </w:pPr>
            <w:r>
              <w:rPr>
                <w:rFonts w:hint="default"/>
                <w:highlight w:val="none"/>
                <w:lang w:val="en-US" w:eastAsia="zh-CN"/>
              </w:rPr>
              <w:t>橙黄蜡蘑</w:t>
            </w:r>
          </w:p>
        </w:tc>
        <w:tc>
          <w:tcPr>
            <w:tcW w:w="2604" w:type="dxa"/>
            <w:vAlign w:val="center"/>
          </w:tcPr>
          <w:p w14:paraId="16ED2A92">
            <w:pPr>
              <w:pStyle w:val="22"/>
              <w:bidi w:val="0"/>
              <w:jc w:val="center"/>
              <w:rPr>
                <w:rFonts w:hint="default"/>
                <w:i/>
                <w:iCs w:val="0"/>
                <w:highlight w:val="none"/>
                <w:lang w:val="en-US" w:eastAsia="zh-CN"/>
              </w:rPr>
            </w:pPr>
            <w:r>
              <w:rPr>
                <w:rFonts w:hint="default"/>
                <w:i/>
                <w:iCs w:val="0"/>
                <w:highlight w:val="none"/>
                <w:lang w:val="en-US" w:eastAsia="zh-CN"/>
              </w:rPr>
              <w:t>Laccaria aurantia</w:t>
            </w:r>
          </w:p>
        </w:tc>
        <w:tc>
          <w:tcPr>
            <w:tcW w:w="1419" w:type="dxa"/>
            <w:vAlign w:val="center"/>
          </w:tcPr>
          <w:p w14:paraId="3DFCB6A0">
            <w:pPr>
              <w:pStyle w:val="22"/>
              <w:bidi w:val="0"/>
              <w:jc w:val="center"/>
              <w:rPr>
                <w:rFonts w:hint="default"/>
                <w:highlight w:val="none"/>
                <w:lang w:val="en-US" w:eastAsia="zh-CN"/>
              </w:rPr>
            </w:pPr>
            <w:r>
              <w:rPr>
                <w:rFonts w:hint="default"/>
                <w:highlight w:val="none"/>
                <w:lang w:val="en-US" w:eastAsia="zh-CN"/>
              </w:rPr>
              <w:t>DD</w:t>
            </w:r>
          </w:p>
        </w:tc>
        <w:tc>
          <w:tcPr>
            <w:tcW w:w="927" w:type="dxa"/>
            <w:vAlign w:val="center"/>
          </w:tcPr>
          <w:p w14:paraId="24F322CC">
            <w:pPr>
              <w:pStyle w:val="22"/>
              <w:bidi w:val="0"/>
              <w:jc w:val="center"/>
              <w:rPr>
                <w:rFonts w:hint="default"/>
                <w:highlight w:val="none"/>
                <w:lang w:val="en-US" w:eastAsia="zh-CN"/>
              </w:rPr>
            </w:pPr>
            <w:r>
              <w:rPr>
                <w:rFonts w:hint="default"/>
                <w:highlight w:val="none"/>
                <w:lang w:val="en-US" w:eastAsia="zh-CN"/>
              </w:rPr>
              <w:t>√</w:t>
            </w:r>
          </w:p>
        </w:tc>
        <w:tc>
          <w:tcPr>
            <w:tcW w:w="2195" w:type="dxa"/>
            <w:vAlign w:val="center"/>
          </w:tcPr>
          <w:p w14:paraId="0FC819E6">
            <w:pPr>
              <w:pStyle w:val="22"/>
              <w:bidi w:val="0"/>
              <w:jc w:val="center"/>
              <w:rPr>
                <w:rFonts w:hint="default"/>
                <w:highlight w:val="none"/>
                <w:lang w:val="en-US" w:eastAsia="zh-CN"/>
              </w:rPr>
            </w:pPr>
            <w:r>
              <w:rPr>
                <w:rFonts w:hint="default"/>
                <w:highlight w:val="none"/>
                <w:lang w:val="en-US" w:eastAsia="zh-CN"/>
              </w:rPr>
              <w:t>重要野生食用菌</w:t>
            </w:r>
          </w:p>
        </w:tc>
      </w:tr>
      <w:tr w14:paraId="40FEC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29A92887">
            <w:pPr>
              <w:pStyle w:val="22"/>
              <w:bidi w:val="0"/>
              <w:jc w:val="center"/>
              <w:rPr>
                <w:rFonts w:hint="default"/>
                <w:highlight w:val="none"/>
                <w:lang w:val="en-US" w:eastAsia="zh-CN"/>
              </w:rPr>
            </w:pPr>
            <w:r>
              <w:rPr>
                <w:rFonts w:hint="default"/>
                <w:highlight w:val="none"/>
                <w:lang w:val="en-US" w:eastAsia="zh-CN"/>
              </w:rPr>
              <w:t>羊肚菌科</w:t>
            </w:r>
          </w:p>
        </w:tc>
        <w:tc>
          <w:tcPr>
            <w:tcW w:w="2604" w:type="dxa"/>
            <w:vAlign w:val="center"/>
          </w:tcPr>
          <w:p w14:paraId="7BE77ADD">
            <w:pPr>
              <w:pStyle w:val="22"/>
              <w:bidi w:val="0"/>
              <w:jc w:val="center"/>
              <w:rPr>
                <w:rFonts w:hint="default"/>
                <w:i/>
                <w:iCs w:val="0"/>
                <w:highlight w:val="none"/>
                <w:lang w:val="en-US" w:eastAsia="zh-CN"/>
              </w:rPr>
            </w:pPr>
            <w:r>
              <w:rPr>
                <w:rFonts w:hint="default"/>
                <w:i/>
                <w:iCs w:val="0"/>
                <w:highlight w:val="none"/>
                <w:lang w:val="en-US" w:eastAsia="zh-CN"/>
              </w:rPr>
              <w:t>Morchellaceae</w:t>
            </w:r>
          </w:p>
        </w:tc>
        <w:tc>
          <w:tcPr>
            <w:tcW w:w="1419" w:type="dxa"/>
            <w:vAlign w:val="center"/>
          </w:tcPr>
          <w:p w14:paraId="043329EF">
            <w:pPr>
              <w:pStyle w:val="22"/>
              <w:bidi w:val="0"/>
              <w:jc w:val="center"/>
              <w:rPr>
                <w:rFonts w:hint="default"/>
                <w:highlight w:val="none"/>
                <w:lang w:val="en-US" w:eastAsia="zh-CN"/>
              </w:rPr>
            </w:pPr>
          </w:p>
        </w:tc>
        <w:tc>
          <w:tcPr>
            <w:tcW w:w="927" w:type="dxa"/>
            <w:vAlign w:val="center"/>
          </w:tcPr>
          <w:p w14:paraId="12544B01">
            <w:pPr>
              <w:pStyle w:val="22"/>
              <w:bidi w:val="0"/>
              <w:jc w:val="center"/>
              <w:rPr>
                <w:rFonts w:hint="default"/>
                <w:highlight w:val="none"/>
                <w:lang w:val="en-US" w:eastAsia="zh-CN"/>
              </w:rPr>
            </w:pPr>
          </w:p>
        </w:tc>
        <w:tc>
          <w:tcPr>
            <w:tcW w:w="2195" w:type="dxa"/>
            <w:vAlign w:val="center"/>
          </w:tcPr>
          <w:p w14:paraId="4F3B528B">
            <w:pPr>
              <w:pStyle w:val="22"/>
              <w:bidi w:val="0"/>
              <w:jc w:val="center"/>
              <w:rPr>
                <w:rFonts w:hint="default"/>
                <w:highlight w:val="none"/>
                <w:lang w:val="en-US" w:eastAsia="zh-CN"/>
              </w:rPr>
            </w:pPr>
          </w:p>
        </w:tc>
      </w:tr>
      <w:tr w14:paraId="0F557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1" w:type="dxa"/>
            <w:vAlign w:val="center"/>
          </w:tcPr>
          <w:p w14:paraId="3D1C4853">
            <w:pPr>
              <w:pStyle w:val="22"/>
              <w:bidi w:val="0"/>
              <w:jc w:val="center"/>
              <w:rPr>
                <w:rFonts w:hint="default"/>
                <w:highlight w:val="none"/>
                <w:lang w:val="en-US" w:eastAsia="zh-CN"/>
              </w:rPr>
            </w:pPr>
            <w:r>
              <w:rPr>
                <w:rFonts w:hint="default"/>
                <w:highlight w:val="none"/>
                <w:lang w:val="en-US" w:eastAsia="zh-CN"/>
              </w:rPr>
              <w:t>小顶羊肚菌</w:t>
            </w:r>
          </w:p>
        </w:tc>
        <w:tc>
          <w:tcPr>
            <w:tcW w:w="2604" w:type="dxa"/>
            <w:vAlign w:val="center"/>
          </w:tcPr>
          <w:p w14:paraId="3DE37653">
            <w:pPr>
              <w:pStyle w:val="22"/>
              <w:bidi w:val="0"/>
              <w:jc w:val="center"/>
              <w:rPr>
                <w:rFonts w:hint="default"/>
                <w:i/>
                <w:iCs w:val="0"/>
                <w:highlight w:val="none"/>
                <w:lang w:val="en-US" w:eastAsia="zh-CN"/>
              </w:rPr>
            </w:pPr>
            <w:r>
              <w:rPr>
                <w:rFonts w:hint="default"/>
                <w:i/>
                <w:iCs w:val="0"/>
                <w:highlight w:val="none"/>
                <w:lang w:val="en-US" w:eastAsia="zh-CN"/>
              </w:rPr>
              <w:t>Morchella angusticeps</w:t>
            </w:r>
          </w:p>
        </w:tc>
        <w:tc>
          <w:tcPr>
            <w:tcW w:w="1419" w:type="dxa"/>
            <w:vAlign w:val="center"/>
          </w:tcPr>
          <w:p w14:paraId="12E99126">
            <w:pPr>
              <w:pStyle w:val="22"/>
              <w:bidi w:val="0"/>
              <w:jc w:val="center"/>
              <w:rPr>
                <w:rFonts w:hint="default"/>
                <w:highlight w:val="none"/>
                <w:lang w:val="en-US" w:eastAsia="zh-CN"/>
              </w:rPr>
            </w:pPr>
            <w:r>
              <w:rPr>
                <w:rFonts w:hint="default"/>
                <w:highlight w:val="none"/>
                <w:lang w:val="en-US" w:eastAsia="zh-CN"/>
              </w:rPr>
              <w:t>LC</w:t>
            </w:r>
          </w:p>
        </w:tc>
        <w:tc>
          <w:tcPr>
            <w:tcW w:w="927" w:type="dxa"/>
            <w:vAlign w:val="center"/>
          </w:tcPr>
          <w:p w14:paraId="417CE381">
            <w:pPr>
              <w:pStyle w:val="22"/>
              <w:bidi w:val="0"/>
              <w:jc w:val="center"/>
              <w:rPr>
                <w:rFonts w:hint="default"/>
                <w:highlight w:val="none"/>
                <w:lang w:val="en-US" w:eastAsia="zh-CN"/>
              </w:rPr>
            </w:pPr>
          </w:p>
        </w:tc>
        <w:tc>
          <w:tcPr>
            <w:tcW w:w="2195" w:type="dxa"/>
            <w:vAlign w:val="center"/>
          </w:tcPr>
          <w:p w14:paraId="616A81C7">
            <w:pPr>
              <w:pStyle w:val="22"/>
              <w:bidi w:val="0"/>
              <w:jc w:val="center"/>
              <w:rPr>
                <w:rFonts w:hint="default"/>
                <w:highlight w:val="none"/>
                <w:lang w:val="en-US" w:eastAsia="zh-CN"/>
              </w:rPr>
            </w:pPr>
            <w:r>
              <w:rPr>
                <w:rFonts w:hint="default"/>
                <w:highlight w:val="none"/>
                <w:lang w:val="en-US" w:eastAsia="zh-CN"/>
              </w:rPr>
              <w:t>重要野生食用菌</w:t>
            </w:r>
          </w:p>
        </w:tc>
      </w:tr>
    </w:tbl>
    <w:p w14:paraId="6D291027">
      <w:pPr>
        <w:bidi w:val="0"/>
        <w:ind w:left="0" w:leftChars="0" w:firstLine="0" w:firstLineChars="0"/>
        <w:rPr>
          <w:rFonts w:hint="default"/>
          <w:highlight w:val="none"/>
          <w:lang w:val="en-US" w:eastAsia="zh-CN"/>
        </w:rPr>
      </w:pPr>
    </w:p>
    <w:p w14:paraId="0AB4F487">
      <w:pPr>
        <w:numPr>
          <w:ilvl w:val="0"/>
          <w:numId w:val="22"/>
        </w:numPr>
        <w:bidi w:val="0"/>
        <w:ind w:left="420" w:leftChars="0" w:hanging="420" w:firstLineChars="0"/>
        <w:rPr>
          <w:rFonts w:hint="default"/>
          <w:highlight w:val="none"/>
          <w:lang w:val="en-US" w:eastAsia="zh-CN"/>
        </w:rPr>
      </w:pPr>
      <w:r>
        <w:rPr>
          <w:rFonts w:hint="default"/>
          <w:highlight w:val="none"/>
          <w:lang w:val="en-US" w:eastAsia="zh-CN"/>
        </w:rPr>
        <w:t>药用真菌</w:t>
      </w:r>
    </w:p>
    <w:p w14:paraId="497721B0">
      <w:pPr>
        <w:bidi w:val="0"/>
        <w:rPr>
          <w:rFonts w:hint="default"/>
          <w:highlight w:val="none"/>
          <w:lang w:val="en-US" w:eastAsia="zh-CN"/>
        </w:rPr>
      </w:pPr>
      <w:r>
        <w:rPr>
          <w:rFonts w:hint="default"/>
          <w:highlight w:val="none"/>
          <w:lang w:val="en-US" w:eastAsia="zh-CN"/>
        </w:rPr>
        <w:t>相较于食用菌，药用菌发现品种较少，仅3种，网纹马勃（Lycoperdon perlatum）、大粉瘤菌（Lycogala flavofuscum）、冬虫夏草（Ophiocordyceps sinensis）。</w:t>
      </w:r>
    </w:p>
    <w:p w14:paraId="66E79588">
      <w:pPr>
        <w:pStyle w:val="6"/>
        <w:bidi w:val="0"/>
        <w:rPr>
          <w:rFonts w:hint="default"/>
          <w:highlight w:val="none"/>
          <w:lang w:val="en-US" w:eastAsia="zh-CN"/>
        </w:rPr>
      </w:pPr>
      <w:r>
        <w:rPr>
          <w:rFonts w:hint="default"/>
          <w:highlight w:val="none"/>
          <w:lang w:val="en-US" w:eastAsia="zh-CN"/>
        </w:rPr>
        <w:t>陆生动物生态现状调查</w:t>
      </w:r>
    </w:p>
    <w:p w14:paraId="553C4EB3">
      <w:pPr>
        <w:numPr>
          <w:ilvl w:val="0"/>
          <w:numId w:val="23"/>
        </w:numPr>
        <w:bidi w:val="0"/>
        <w:ind w:left="420" w:leftChars="0" w:hanging="420" w:firstLineChars="0"/>
        <w:rPr>
          <w:rFonts w:hint="default"/>
          <w:highlight w:val="none"/>
          <w:lang w:val="en-US" w:eastAsia="zh-CN"/>
        </w:rPr>
      </w:pPr>
      <w:r>
        <w:rPr>
          <w:rFonts w:hint="default"/>
          <w:highlight w:val="none"/>
          <w:lang w:val="en-US" w:eastAsia="zh-CN"/>
        </w:rPr>
        <w:t>陆生动物资源调查</w:t>
      </w:r>
    </w:p>
    <w:p w14:paraId="29141F40">
      <w:pPr>
        <w:bidi w:val="0"/>
        <w:rPr>
          <w:rFonts w:hint="default"/>
          <w:highlight w:val="none"/>
          <w:lang w:val="en-US" w:eastAsia="zh-CN"/>
        </w:rPr>
      </w:pPr>
      <w:r>
        <w:rPr>
          <w:rFonts w:hint="default"/>
          <w:highlight w:val="none"/>
          <w:lang w:val="en-US" w:eastAsia="zh-CN"/>
        </w:rPr>
        <w:t>1、调查时间</w:t>
      </w:r>
    </w:p>
    <w:p w14:paraId="697E34CB">
      <w:pPr>
        <w:bidi w:val="0"/>
        <w:rPr>
          <w:rFonts w:hint="default"/>
          <w:highlight w:val="none"/>
          <w:lang w:val="en-US" w:eastAsia="zh-CN"/>
        </w:rPr>
      </w:pPr>
      <w:r>
        <w:rPr>
          <w:rFonts w:hint="default"/>
          <w:highlight w:val="none"/>
          <w:lang w:val="en-US" w:eastAsia="zh-CN"/>
        </w:rPr>
        <w:t>为掌握本项目工程所在区域的陆生脊椎动物现状，本单位组织专业人员于2023年12月至1月、2024年7月-8月对评价区进行了野生动物的现状调查。</w:t>
      </w:r>
    </w:p>
    <w:p w14:paraId="6CEE3A59">
      <w:pPr>
        <w:bidi w:val="0"/>
        <w:rPr>
          <w:rFonts w:hint="default"/>
          <w:highlight w:val="none"/>
          <w:lang w:val="en-US" w:eastAsia="zh-CN"/>
        </w:rPr>
      </w:pPr>
      <w:r>
        <w:rPr>
          <w:rFonts w:hint="default"/>
          <w:highlight w:val="none"/>
          <w:lang w:val="en-US" w:eastAsia="zh-CN"/>
        </w:rPr>
        <w:t>2、调查方法及内容</w:t>
      </w:r>
    </w:p>
    <w:p w14:paraId="7FFDADEB">
      <w:pPr>
        <w:bidi w:val="0"/>
        <w:rPr>
          <w:rFonts w:hint="default"/>
          <w:highlight w:val="none"/>
          <w:lang w:val="en-US" w:eastAsia="zh-CN"/>
        </w:rPr>
      </w:pPr>
      <w:r>
        <w:rPr>
          <w:rFonts w:hint="default"/>
          <w:highlight w:val="none"/>
          <w:lang w:val="en-US" w:eastAsia="zh-CN"/>
        </w:rPr>
        <w:t>评价范围内野生动物资源调查主要按照《环境影响评价技术导则—生态影响》</w:t>
      </w:r>
      <w:r>
        <w:rPr>
          <w:rFonts w:hint="eastAsia"/>
          <w:highlight w:val="none"/>
          <w:lang w:val="en-US" w:eastAsia="zh-CN"/>
        </w:rPr>
        <w:t>（</w:t>
      </w:r>
      <w:r>
        <w:rPr>
          <w:rFonts w:hint="default"/>
          <w:highlight w:val="none"/>
          <w:lang w:val="en-US" w:eastAsia="zh-CN"/>
        </w:rPr>
        <w:t>HJ</w:t>
      </w:r>
      <w:r>
        <w:rPr>
          <w:rFonts w:hint="eastAsia"/>
          <w:highlight w:val="none"/>
          <w:lang w:val="en-US" w:eastAsia="zh-CN"/>
        </w:rPr>
        <w:t xml:space="preserve"> </w:t>
      </w:r>
      <w:r>
        <w:rPr>
          <w:rFonts w:hint="default"/>
          <w:highlight w:val="none"/>
          <w:lang w:val="en-US" w:eastAsia="zh-CN"/>
        </w:rPr>
        <w:t>19-2022</w:t>
      </w:r>
      <w:r>
        <w:rPr>
          <w:rFonts w:hint="eastAsia"/>
          <w:highlight w:val="none"/>
          <w:lang w:val="en-US" w:eastAsia="zh-CN"/>
        </w:rPr>
        <w:t>）</w:t>
      </w:r>
      <w:r>
        <w:rPr>
          <w:rFonts w:hint="default"/>
          <w:highlight w:val="none"/>
          <w:lang w:val="en-US" w:eastAsia="zh-CN"/>
        </w:rPr>
        <w:t>要求，结合《生物多样性观测技术导则陆生哺乳动物</w:t>
      </w:r>
      <w:r>
        <w:rPr>
          <w:rFonts w:hint="eastAsia"/>
          <w:highlight w:val="none"/>
          <w:lang w:val="en-US" w:eastAsia="zh-CN"/>
        </w:rPr>
        <w:t>（</w:t>
      </w:r>
      <w:r>
        <w:rPr>
          <w:rFonts w:hint="default"/>
          <w:highlight w:val="none"/>
          <w:lang w:val="en-US" w:eastAsia="zh-CN"/>
        </w:rPr>
        <w:t>HJ</w:t>
      </w:r>
      <w:r>
        <w:rPr>
          <w:rFonts w:hint="eastAsia"/>
          <w:highlight w:val="none"/>
          <w:lang w:val="en-US" w:eastAsia="zh-CN"/>
        </w:rPr>
        <w:t xml:space="preserve"> </w:t>
      </w:r>
      <w:r>
        <w:rPr>
          <w:rFonts w:hint="default"/>
          <w:highlight w:val="none"/>
          <w:lang w:val="en-US" w:eastAsia="zh-CN"/>
        </w:rPr>
        <w:t>710.3</w:t>
      </w:r>
      <w:r>
        <w:rPr>
          <w:rFonts w:hint="eastAsia"/>
          <w:highlight w:val="none"/>
          <w:lang w:val="en-US" w:eastAsia="zh-CN"/>
        </w:rPr>
        <w:t>-</w:t>
      </w:r>
      <w:r>
        <w:rPr>
          <w:rFonts w:hint="default"/>
          <w:highlight w:val="none"/>
          <w:lang w:val="en-US" w:eastAsia="zh-CN"/>
        </w:rPr>
        <w:t>2014</w:t>
      </w:r>
      <w:r>
        <w:rPr>
          <w:rFonts w:hint="eastAsia"/>
          <w:highlight w:val="none"/>
          <w:lang w:val="en-US" w:eastAsia="zh-CN"/>
        </w:rPr>
        <w:t>）</w:t>
      </w:r>
      <w:r>
        <w:rPr>
          <w:rFonts w:hint="default"/>
          <w:highlight w:val="none"/>
          <w:lang w:val="en-US" w:eastAsia="zh-CN"/>
        </w:rPr>
        <w:t>》《生物多样性观测技术导则鸟类</w:t>
      </w:r>
      <w:r>
        <w:rPr>
          <w:rFonts w:hint="eastAsia"/>
          <w:highlight w:val="none"/>
          <w:lang w:val="en-US" w:eastAsia="zh-CN"/>
        </w:rPr>
        <w:t>（</w:t>
      </w:r>
      <w:r>
        <w:rPr>
          <w:rFonts w:hint="default"/>
          <w:highlight w:val="none"/>
          <w:lang w:val="en-US" w:eastAsia="zh-CN"/>
        </w:rPr>
        <w:t>HJ</w:t>
      </w:r>
      <w:r>
        <w:rPr>
          <w:rFonts w:hint="eastAsia"/>
          <w:highlight w:val="none"/>
          <w:lang w:val="en-US" w:eastAsia="zh-CN"/>
        </w:rPr>
        <w:t xml:space="preserve"> </w:t>
      </w:r>
      <w:r>
        <w:rPr>
          <w:rFonts w:hint="default"/>
          <w:highlight w:val="none"/>
          <w:lang w:val="en-US" w:eastAsia="zh-CN"/>
        </w:rPr>
        <w:t>710.4</w:t>
      </w:r>
      <w:r>
        <w:rPr>
          <w:rFonts w:hint="eastAsia"/>
          <w:highlight w:val="none"/>
          <w:lang w:val="en-US" w:eastAsia="zh-CN"/>
        </w:rPr>
        <w:t>-</w:t>
      </w:r>
      <w:r>
        <w:rPr>
          <w:rFonts w:hint="default"/>
          <w:highlight w:val="none"/>
          <w:lang w:val="en-US" w:eastAsia="zh-CN"/>
        </w:rPr>
        <w:t>2014</w:t>
      </w:r>
      <w:r>
        <w:rPr>
          <w:rFonts w:hint="eastAsia"/>
          <w:highlight w:val="none"/>
          <w:lang w:val="en-US" w:eastAsia="zh-CN"/>
        </w:rPr>
        <w:t>）</w:t>
      </w:r>
      <w:r>
        <w:rPr>
          <w:rFonts w:hint="default"/>
          <w:highlight w:val="none"/>
          <w:lang w:val="en-US" w:eastAsia="zh-CN"/>
        </w:rPr>
        <w:t>》《生物多样性观测技术 导则爬行动物(HJ</w:t>
      </w:r>
      <w:r>
        <w:rPr>
          <w:rFonts w:hint="eastAsia"/>
          <w:highlight w:val="none"/>
          <w:lang w:val="en-US" w:eastAsia="zh-CN"/>
        </w:rPr>
        <w:t xml:space="preserve"> </w:t>
      </w:r>
      <w:r>
        <w:rPr>
          <w:rFonts w:hint="default"/>
          <w:highlight w:val="none"/>
          <w:lang w:val="en-US" w:eastAsia="zh-CN"/>
        </w:rPr>
        <w:t>710.5—2014)》《生物多样性观测技术导则两栖动物(HJ</w:t>
      </w:r>
      <w:r>
        <w:rPr>
          <w:rFonts w:hint="eastAsia"/>
          <w:highlight w:val="none"/>
          <w:lang w:val="en-US" w:eastAsia="zh-CN"/>
        </w:rPr>
        <w:t xml:space="preserve"> </w:t>
      </w:r>
      <w:r>
        <w:rPr>
          <w:rFonts w:hint="default"/>
          <w:highlight w:val="none"/>
          <w:lang w:val="en-US" w:eastAsia="zh-CN"/>
        </w:rPr>
        <w:t>710.6</w:t>
      </w:r>
      <w:r>
        <w:rPr>
          <w:rFonts w:hint="eastAsia"/>
          <w:highlight w:val="none"/>
          <w:lang w:val="en-US" w:eastAsia="zh-CN"/>
        </w:rPr>
        <w:t>-</w:t>
      </w:r>
      <w:r>
        <w:rPr>
          <w:rFonts w:hint="default"/>
          <w:highlight w:val="none"/>
          <w:lang w:val="en-US" w:eastAsia="zh-CN"/>
        </w:rPr>
        <w:t>2014)》等确定的技术方法，对各类野生动物开展调查，主要通过资料查询、访 问调查和实地调查等方法进行调查。主要采用样线法、样点法、红外相机拍摄法、资料查询和访问调查等调查方法进行调查。</w:t>
      </w:r>
    </w:p>
    <w:p w14:paraId="2087D19A">
      <w:pPr>
        <w:bidi w:val="0"/>
        <w:rPr>
          <w:rFonts w:hint="default"/>
          <w:highlight w:val="none"/>
          <w:lang w:val="en-US" w:eastAsia="zh-CN"/>
        </w:rPr>
      </w:pPr>
      <w:r>
        <w:rPr>
          <w:rFonts w:hint="default"/>
          <w:highlight w:val="none"/>
          <w:lang w:val="en-US" w:eastAsia="zh-CN"/>
        </w:rPr>
        <w:t>本次调查参考了以下调查资料和研究成果：《中国兽类分类与分布》、近 年来评价范围内实测观鸟记录等。</w:t>
      </w:r>
    </w:p>
    <w:p w14:paraId="77D5A0DE">
      <w:pPr>
        <w:bidi w:val="0"/>
        <w:rPr>
          <w:rFonts w:hint="default"/>
          <w:highlight w:val="none"/>
          <w:lang w:val="en-US" w:eastAsia="zh-CN"/>
        </w:rPr>
      </w:pPr>
      <w:r>
        <w:rPr>
          <w:rFonts w:hint="default"/>
          <w:highlight w:val="none"/>
          <w:lang w:val="en-US" w:eastAsia="zh-CN"/>
        </w:rPr>
        <w:t>(1)两栖爬行类调查</w:t>
      </w:r>
    </w:p>
    <w:p w14:paraId="58FEE213">
      <w:pPr>
        <w:bidi w:val="0"/>
        <w:rPr>
          <w:rFonts w:hint="default"/>
          <w:highlight w:val="none"/>
          <w:lang w:val="en-US" w:eastAsia="zh-CN"/>
        </w:rPr>
      </w:pPr>
      <w:r>
        <w:rPr>
          <w:rFonts w:hint="default"/>
          <w:highlight w:val="none"/>
          <w:lang w:val="en-US" w:eastAsia="zh-CN"/>
        </w:rPr>
        <w:t>样线法：主要是在动物样线调查过程中重点关注沿线河流、水塘及水田与 湿 润的林下生境并记录出现的种类。一些在夜间活动种类的调查主要在夜间以 溪流或田间进行(中华蟾蜍、泽陆蛙等) ，需要照明寻找和观测记录。</w:t>
      </w:r>
    </w:p>
    <w:p w14:paraId="04BE26A1">
      <w:pPr>
        <w:bidi w:val="0"/>
        <w:rPr>
          <w:rFonts w:hint="default"/>
          <w:highlight w:val="none"/>
          <w:lang w:val="en-US" w:eastAsia="zh-CN"/>
        </w:rPr>
      </w:pPr>
      <w:r>
        <w:rPr>
          <w:rFonts w:hint="default"/>
          <w:highlight w:val="none"/>
          <w:lang w:val="en-US" w:eastAsia="zh-CN"/>
        </w:rPr>
        <w:t>昼行性爬行动物喜欢在雨后或上午阳光温暖时栖息于路边草丛、石块或植 被裸露的地面上晒太阳；夜行性爬行动物则在闷热的夜晚活动频繁，常出现在 路边排水沟、墙缝或乱石堆中。两栖动物白天活动频度比较低，因此将采集时 间分为上午（10:00~ 13:00）、下午（14:00~ 17:00）、晚上（19:30~23:30）三个 时间段进行。发现动物实体后用数码相机对动物及其所在生境进行拍照，用手 机 GPS记录发现实体的位置（海拔和经纬度），同时记录好生境特征与生态因 子，并采集适量个体，做好标识待鉴定工作完成后放生，少部分制成福尔马林 或酒精浸制标本，留待今后的形态学和分子生物学研究。</w:t>
      </w:r>
    </w:p>
    <w:p w14:paraId="534C0915">
      <w:pPr>
        <w:bidi w:val="0"/>
        <w:rPr>
          <w:rFonts w:hint="default"/>
          <w:highlight w:val="none"/>
          <w:lang w:val="en-US" w:eastAsia="zh-CN"/>
        </w:rPr>
      </w:pPr>
      <w:r>
        <w:rPr>
          <w:rFonts w:hint="default"/>
          <w:highlight w:val="none"/>
          <w:lang w:val="en-US" w:eastAsia="zh-CN"/>
        </w:rPr>
        <w:t>查阅文献：在文献资料的收集分析中，主要收集查阅了《中国两栖动物及其分布彩色图鉴》《中国两栖、爬行动物更新名录》《中国动物志两栖纲无尾目》、《中国两栖动物及其分布彩色图鉴》、《常见爬行动物野外识别手册》、《中国爬行动物图鉴》等相关文献资料；并对上述各 种资料进行综合分析，以估计评价区的两栖爬行动物现状。同时参照专业分类网站中国两栖类和爬行动物数据库。</w:t>
      </w:r>
    </w:p>
    <w:p w14:paraId="6D330C4F">
      <w:pPr>
        <w:bidi w:val="0"/>
        <w:rPr>
          <w:rFonts w:hint="default"/>
          <w:highlight w:val="none"/>
          <w:lang w:val="en-US" w:eastAsia="zh-CN"/>
        </w:rPr>
      </w:pPr>
      <w:r>
        <w:rPr>
          <w:rFonts w:hint="default"/>
          <w:highlight w:val="none"/>
          <w:lang w:val="en-US" w:eastAsia="zh-CN"/>
        </w:rPr>
        <w:t>(2)鸟类调查</w:t>
      </w:r>
    </w:p>
    <w:p w14:paraId="786437C0">
      <w:pPr>
        <w:bidi w:val="0"/>
        <w:rPr>
          <w:rFonts w:hint="default"/>
          <w:highlight w:val="none"/>
          <w:lang w:val="en-US" w:eastAsia="zh-CN"/>
        </w:rPr>
      </w:pPr>
      <w:r>
        <w:rPr>
          <w:rFonts w:hint="default"/>
          <w:highlight w:val="none"/>
          <w:lang w:val="en-US" w:eastAsia="zh-CN"/>
        </w:rPr>
        <w:t>野外调查：在评价区布设样线进行考察，用150-600mm 长焦镜头记录沿 途所见鸟类种类、数量；同时记录调查线路所穿过的生境类型、海拔幅度等环 境 因子。</w:t>
      </w:r>
    </w:p>
    <w:p w14:paraId="08D4ABA4">
      <w:pPr>
        <w:bidi w:val="0"/>
        <w:rPr>
          <w:rFonts w:hint="default"/>
          <w:highlight w:val="none"/>
          <w:lang w:val="en-US" w:eastAsia="zh-CN"/>
        </w:rPr>
      </w:pPr>
      <w:r>
        <w:rPr>
          <w:rFonts w:hint="default"/>
          <w:highlight w:val="none"/>
          <w:lang w:val="en-US" w:eastAsia="zh-CN"/>
        </w:rPr>
        <w:t>访问调查法：一些大型鸟类，如鸡形目鸟类、猛禽等，在野外考察中很难发现，通过求偶期的鸣叫声以及访问的方式进行调查。结合有关鸟类图鉴向村民和基层林业管理人员进行访问，确定可能分布的种类。</w:t>
      </w:r>
    </w:p>
    <w:p w14:paraId="05CA215A">
      <w:pPr>
        <w:bidi w:val="0"/>
        <w:rPr>
          <w:rFonts w:hint="default"/>
          <w:highlight w:val="none"/>
          <w:lang w:val="en-US" w:eastAsia="zh-CN"/>
        </w:rPr>
      </w:pPr>
      <w:r>
        <w:rPr>
          <w:rFonts w:hint="default"/>
          <w:highlight w:val="none"/>
          <w:lang w:val="en-US" w:eastAsia="zh-CN"/>
        </w:rPr>
        <w:t>查阅文献</w:t>
      </w:r>
      <w:r>
        <w:rPr>
          <w:rFonts w:hint="eastAsia"/>
          <w:highlight w:val="none"/>
          <w:lang w:val="en-US" w:eastAsia="zh-CN"/>
        </w:rPr>
        <w:t>：</w:t>
      </w:r>
      <w:r>
        <w:rPr>
          <w:rFonts w:hint="default"/>
          <w:highlight w:val="none"/>
          <w:lang w:val="en-US" w:eastAsia="zh-CN"/>
        </w:rPr>
        <w:t>本次评价中所采用的鸟类本底数据还参考了有关报道评价区鸟类 资源的文献。主要收集查阅了《中国鸟类分类与分布名录(第四版)》《中国鸟 类 野外手册》等相关文献资料；并对上述各种资料进行综合分析，以估计评价 区的鸟类现状。</w:t>
      </w:r>
    </w:p>
    <w:p w14:paraId="78D6B709">
      <w:pPr>
        <w:bidi w:val="0"/>
        <w:rPr>
          <w:rFonts w:hint="default"/>
          <w:highlight w:val="none"/>
          <w:lang w:val="en-US" w:eastAsia="zh-CN"/>
        </w:rPr>
      </w:pPr>
      <w:r>
        <w:rPr>
          <w:rFonts w:hint="default"/>
          <w:highlight w:val="none"/>
          <w:lang w:val="en-US" w:eastAsia="zh-CN"/>
        </w:rPr>
        <w:t>(3)兽类调查</w:t>
      </w:r>
    </w:p>
    <w:p w14:paraId="716BB80F">
      <w:pPr>
        <w:bidi w:val="0"/>
        <w:rPr>
          <w:rFonts w:hint="default"/>
          <w:highlight w:val="none"/>
          <w:lang w:val="en-US" w:eastAsia="zh-CN"/>
        </w:rPr>
      </w:pPr>
      <w:r>
        <w:rPr>
          <w:rFonts w:hint="default"/>
          <w:highlight w:val="none"/>
          <w:lang w:val="en-US" w:eastAsia="zh-CN"/>
        </w:rPr>
        <w:t>样线法：沿选定的一条样线（一般宽 5~50 米，长 3~5 千米）观察并记录样 线两侧出现的哺乳动物或其活动痕迹（粪便、体毛、爪印、食痕、卧迹、尿迹、 洞穴、足迹链等）。</w:t>
      </w:r>
    </w:p>
    <w:p w14:paraId="20A5B728">
      <w:pPr>
        <w:bidi w:val="0"/>
        <w:rPr>
          <w:rFonts w:hint="default"/>
          <w:highlight w:val="none"/>
          <w:lang w:val="en-US" w:eastAsia="zh-CN"/>
        </w:rPr>
      </w:pPr>
      <w:r>
        <w:rPr>
          <w:rFonts w:hint="default"/>
          <w:highlight w:val="none"/>
          <w:lang w:val="en-US" w:eastAsia="zh-CN"/>
        </w:rPr>
        <w:t>样方法：针对小型啮齿目哺乳动物，在山地、平原及河流边设置样方，样 方一般为 20 米×20 米，具体大小据实地情况调整。</w:t>
      </w:r>
    </w:p>
    <w:p w14:paraId="5CF74ED2">
      <w:pPr>
        <w:bidi w:val="0"/>
        <w:rPr>
          <w:rFonts w:hint="default"/>
          <w:highlight w:val="none"/>
          <w:lang w:val="en-US" w:eastAsia="zh-CN"/>
        </w:rPr>
      </w:pPr>
      <w:r>
        <w:rPr>
          <w:rFonts w:hint="default"/>
          <w:highlight w:val="none"/>
          <w:lang w:val="en-US" w:eastAsia="zh-CN"/>
        </w:rPr>
        <w:t>铗捕调查法：针对小型啮齿目哺乳动物，在样线内按 20 米间距设置铁铗进 行调查，样线长度约 500 米。</w:t>
      </w:r>
    </w:p>
    <w:p w14:paraId="04787E6D">
      <w:pPr>
        <w:bidi w:val="0"/>
        <w:rPr>
          <w:rFonts w:hint="default"/>
          <w:highlight w:val="none"/>
          <w:lang w:val="en-US" w:eastAsia="zh-CN"/>
        </w:rPr>
      </w:pPr>
      <w:r>
        <w:rPr>
          <w:rFonts w:hint="default"/>
          <w:highlight w:val="none"/>
          <w:lang w:val="en-US" w:eastAsia="zh-CN"/>
        </w:rPr>
        <w:t>红外相机阵列法：利用红外感应自动照相机，自动记录其感应范围内活动 的动物，以进行调查。以公里网格法，对乡城县尼色拥水库及其占地区域进行 2×2 公里的网格划分。每个调查网格设置 2~4 个红外相机采样点，每个红外相机采样点位至少相隔 0.8 千米，持续时间 5 天。相机宜安装在动物可能经常出现的地点，如岩壁、水边等，避开阳光直射相机镜头。距离动物远近合适，保证动物经过的时间较长。相机宜固定在坚固的附着物上，固定后应对相机前面的障碍物进行必要的清理，需要特别注意夏季灌草的生长，以免阻挡镜头或拍摄空片。可使用一次性安全锁对相机进行绑定，以防偷盗。不应使用诱饵或嗅味剂。相机的时间采用24小时制。设置 3 张照片连 8 拍加 15 秒的视频。</w:t>
      </w:r>
    </w:p>
    <w:p w14:paraId="4A54963A">
      <w:pPr>
        <w:bidi w:val="0"/>
        <w:rPr>
          <w:rFonts w:hint="default"/>
          <w:highlight w:val="none"/>
          <w:lang w:val="en-US" w:eastAsia="zh-CN"/>
        </w:rPr>
      </w:pPr>
      <w:r>
        <w:rPr>
          <w:rFonts w:hint="default"/>
          <w:highlight w:val="none"/>
          <w:lang w:val="en-US" w:eastAsia="zh-CN"/>
        </w:rPr>
        <w:t>红外相机自动拍摄法：在评价区内挑选野生动物容易出没，活动频繁的区 域，布设红外相机进行监拍。</w:t>
      </w:r>
    </w:p>
    <w:p w14:paraId="1868CD0B">
      <w:pPr>
        <w:bidi w:val="0"/>
        <w:rPr>
          <w:rFonts w:hint="default"/>
          <w:highlight w:val="none"/>
          <w:lang w:val="en-US" w:eastAsia="zh-CN"/>
        </w:rPr>
      </w:pPr>
      <w:r>
        <w:rPr>
          <w:rFonts w:hint="default"/>
          <w:highlight w:val="none"/>
          <w:lang w:val="en-US" w:eastAsia="zh-CN"/>
        </w:rPr>
        <w:t>访问调查法：以访问的形式向沿途过往的当地乡民及林业部门工作人员了解情况和区域兽类历史活动及出没情况。</w:t>
      </w:r>
    </w:p>
    <w:p w14:paraId="6A72A9CB">
      <w:pPr>
        <w:bidi w:val="0"/>
        <w:rPr>
          <w:rFonts w:hint="default"/>
          <w:highlight w:val="none"/>
          <w:lang w:val="en-US" w:eastAsia="zh-CN"/>
        </w:rPr>
      </w:pPr>
      <w:r>
        <w:rPr>
          <w:rFonts w:hint="default"/>
          <w:highlight w:val="none"/>
          <w:lang w:val="en-US" w:eastAsia="zh-CN"/>
        </w:rPr>
        <w:t>查阅文献：参考《中国兽类分类与分布》《中国兽类图鉴》等文献，结合 区域生境特征和访问调查结果，整理确定评价区范围内的兽类名录。</w:t>
      </w:r>
    </w:p>
    <w:p w14:paraId="74EA957A">
      <w:pPr>
        <w:bidi w:val="0"/>
        <w:rPr>
          <w:rFonts w:hint="default"/>
          <w:highlight w:val="none"/>
          <w:lang w:val="en-US" w:eastAsia="zh-CN"/>
        </w:rPr>
      </w:pPr>
      <w:r>
        <w:rPr>
          <w:rFonts w:hint="default"/>
          <w:highlight w:val="none"/>
          <w:lang w:val="en-US" w:eastAsia="zh-CN"/>
        </w:rPr>
        <w:t>3 、样线设置及红外相机布设合理性分析</w:t>
      </w:r>
    </w:p>
    <w:p w14:paraId="5DFD1A87">
      <w:pPr>
        <w:bidi w:val="0"/>
        <w:rPr>
          <w:rFonts w:hint="default"/>
          <w:highlight w:val="none"/>
          <w:lang w:val="en-US" w:eastAsia="zh-CN"/>
        </w:rPr>
      </w:pPr>
      <w:r>
        <w:rPr>
          <w:rFonts w:hint="default"/>
          <w:highlight w:val="none"/>
          <w:lang w:val="en-US" w:eastAsia="zh-CN"/>
        </w:rPr>
        <w:t>结合《生物多样性观测技术导则 陆生哺乳动物》(HJ710.3-2014)附录 B 、2017 年生态环境部发布的《县域陆生哺乳动物多样性调查与评估技术规定》附录 A 生境类型表中的第一层次划分结果，将生境类型分为森林、灌丛、草地、湿地、农田、城镇、荒漠、冰川/永久积雪、裸地、其他等 10 种。本次野生动物调查结合影响范围内野生动物生境类型的特点，以评价区的农田、森林、城镇、湿地等 4 种主要生境为调查区域，兼顾评价区内灌丛和草地，共布设 12 条样线。为准确全面的反映出评价范围内动物现状，及项目建设对动物的影响程度和方式，动物样线设置涵盖了工程重点施工区域、临时工程等直接影响区，包含了评价范围内农田、森林、城镇、湿地等主要生境，并且较均匀的分布在评价范围内。样线具体点位和长度结合生境以及道路可达性进行设置，观测时行进速度大概为 1-3km/h。红外相机布设点位根据动物的基本习性、活动区域和日常活动路线等进行选择。尽量安置在动物经常出没的通道上或其活动痕迹密集处，如水源、取食点、求偶场、倒木、林间道路等。样线、红外相机设置具体如下表所示。</w:t>
      </w:r>
    </w:p>
    <w:p w14:paraId="7D73BAE2">
      <w:pPr>
        <w:pStyle w:val="11"/>
        <w:bidi w:val="0"/>
        <w:ind w:left="0" w:leftChars="0" w:firstLine="0" w:firstLineChars="0"/>
        <w:rPr>
          <w:rFonts w:ascii="宋体" w:hAnsi="宋体" w:eastAsia="宋体" w:cs="宋体"/>
          <w:sz w:val="20"/>
          <w:szCs w:val="20"/>
          <w:highlight w:val="none"/>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31</w:t>
      </w:r>
      <w:r>
        <w:rPr>
          <w:highlight w:val="none"/>
        </w:rPr>
        <w:fldChar w:fldCharType="end"/>
      </w:r>
      <w:r>
        <w:rPr>
          <w:rFonts w:hint="eastAsia"/>
          <w:highlight w:val="none"/>
          <w:lang w:val="en-US" w:eastAsia="zh-CN"/>
        </w:rPr>
        <w:t xml:space="preserve"> </w:t>
      </w:r>
      <w:r>
        <w:rPr>
          <w:rFonts w:ascii="宋体" w:hAnsi="宋体" w:eastAsia="宋体" w:cs="宋体"/>
          <w:b/>
          <w:bCs/>
          <w:spacing w:val="6"/>
          <w:sz w:val="20"/>
          <w:szCs w:val="20"/>
          <w:highlight w:val="none"/>
        </w:rPr>
        <w:t>样线点位设置记录表信息</w:t>
      </w:r>
    </w:p>
    <w:tbl>
      <w:tblPr>
        <w:tblStyle w:val="24"/>
        <w:tblW w:w="6598" w:type="dxa"/>
        <w:tblInd w:w="86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61"/>
        <w:gridCol w:w="2168"/>
        <w:gridCol w:w="2769"/>
      </w:tblGrid>
      <w:tr w14:paraId="5B964B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661" w:type="dxa"/>
            <w:vMerge w:val="restart"/>
            <w:tcBorders>
              <w:bottom w:val="nil"/>
            </w:tcBorders>
            <w:vAlign w:val="center"/>
          </w:tcPr>
          <w:p w14:paraId="61965DE2">
            <w:pPr>
              <w:pStyle w:val="22"/>
              <w:bidi w:val="0"/>
              <w:jc w:val="center"/>
              <w:rPr>
                <w:highlight w:val="none"/>
              </w:rPr>
            </w:pPr>
            <w:r>
              <w:rPr>
                <w:highlight w:val="none"/>
              </w:rPr>
              <w:t>名称</w:t>
            </w:r>
          </w:p>
        </w:tc>
        <w:tc>
          <w:tcPr>
            <w:tcW w:w="2168" w:type="dxa"/>
            <w:vAlign w:val="center"/>
          </w:tcPr>
          <w:p w14:paraId="1C1B7C74">
            <w:pPr>
              <w:pStyle w:val="22"/>
              <w:bidi w:val="0"/>
              <w:jc w:val="center"/>
              <w:rPr>
                <w:highlight w:val="none"/>
              </w:rPr>
            </w:pPr>
            <w:r>
              <w:rPr>
                <w:highlight w:val="none"/>
              </w:rPr>
              <w:t>点位坐标</w:t>
            </w:r>
          </w:p>
        </w:tc>
        <w:tc>
          <w:tcPr>
            <w:tcW w:w="2769" w:type="dxa"/>
            <w:vMerge w:val="restart"/>
            <w:tcBorders>
              <w:bottom w:val="nil"/>
            </w:tcBorders>
            <w:vAlign w:val="center"/>
          </w:tcPr>
          <w:p w14:paraId="29654456">
            <w:pPr>
              <w:pStyle w:val="22"/>
              <w:bidi w:val="0"/>
              <w:jc w:val="center"/>
              <w:rPr>
                <w:highlight w:val="none"/>
              </w:rPr>
            </w:pPr>
            <w:r>
              <w:rPr>
                <w:highlight w:val="none"/>
              </w:rPr>
              <w:t>位置</w:t>
            </w:r>
          </w:p>
        </w:tc>
      </w:tr>
      <w:tr w14:paraId="5E0CF2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1661" w:type="dxa"/>
            <w:vMerge w:val="continue"/>
            <w:tcBorders>
              <w:top w:val="nil"/>
            </w:tcBorders>
            <w:vAlign w:val="center"/>
          </w:tcPr>
          <w:p w14:paraId="71F0B004">
            <w:pPr>
              <w:pStyle w:val="22"/>
              <w:bidi w:val="0"/>
              <w:jc w:val="center"/>
              <w:rPr>
                <w:highlight w:val="none"/>
              </w:rPr>
            </w:pPr>
          </w:p>
        </w:tc>
        <w:tc>
          <w:tcPr>
            <w:tcW w:w="2168" w:type="dxa"/>
            <w:vAlign w:val="center"/>
          </w:tcPr>
          <w:p w14:paraId="28D426BC">
            <w:pPr>
              <w:pStyle w:val="22"/>
              <w:bidi w:val="0"/>
              <w:jc w:val="center"/>
              <w:rPr>
                <w:highlight w:val="none"/>
              </w:rPr>
            </w:pPr>
            <w:r>
              <w:rPr>
                <w:highlight w:val="none"/>
              </w:rPr>
              <w:t>经度纬度</w:t>
            </w:r>
          </w:p>
        </w:tc>
        <w:tc>
          <w:tcPr>
            <w:tcW w:w="2769" w:type="dxa"/>
            <w:vMerge w:val="continue"/>
            <w:tcBorders>
              <w:top w:val="nil"/>
            </w:tcBorders>
            <w:vAlign w:val="center"/>
          </w:tcPr>
          <w:p w14:paraId="5B09D638">
            <w:pPr>
              <w:pStyle w:val="22"/>
              <w:bidi w:val="0"/>
              <w:jc w:val="center"/>
              <w:rPr>
                <w:highlight w:val="none"/>
              </w:rPr>
            </w:pPr>
          </w:p>
        </w:tc>
      </w:tr>
      <w:tr w14:paraId="61C4D2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7" w:hRule="atLeast"/>
        </w:trPr>
        <w:tc>
          <w:tcPr>
            <w:tcW w:w="1661" w:type="dxa"/>
            <w:vAlign w:val="center"/>
          </w:tcPr>
          <w:p w14:paraId="3534592A">
            <w:pPr>
              <w:pStyle w:val="22"/>
              <w:bidi w:val="0"/>
              <w:jc w:val="center"/>
              <w:rPr>
                <w:highlight w:val="none"/>
              </w:rPr>
            </w:pPr>
            <w:r>
              <w:rPr>
                <w:highlight w:val="none"/>
              </w:rPr>
              <w:t>监测点 1</w:t>
            </w:r>
          </w:p>
        </w:tc>
        <w:tc>
          <w:tcPr>
            <w:tcW w:w="2168" w:type="dxa"/>
            <w:vAlign w:val="center"/>
          </w:tcPr>
          <w:p w14:paraId="1CBEADE9">
            <w:pPr>
              <w:pStyle w:val="22"/>
              <w:bidi w:val="0"/>
              <w:jc w:val="center"/>
              <w:rPr>
                <w:highlight w:val="none"/>
              </w:rPr>
            </w:pPr>
            <w:r>
              <w:rPr>
                <w:highlight w:val="none"/>
              </w:rPr>
              <w:t>99°46'45.6972"E ；</w:t>
            </w:r>
          </w:p>
          <w:p w14:paraId="5FD975DB">
            <w:pPr>
              <w:pStyle w:val="22"/>
              <w:bidi w:val="0"/>
              <w:jc w:val="center"/>
              <w:rPr>
                <w:highlight w:val="none"/>
              </w:rPr>
            </w:pPr>
            <w:r>
              <w:rPr>
                <w:highlight w:val="none"/>
              </w:rPr>
              <w:t>29°02' 15.1354"N</w:t>
            </w:r>
          </w:p>
        </w:tc>
        <w:tc>
          <w:tcPr>
            <w:tcW w:w="2769" w:type="dxa"/>
            <w:vAlign w:val="center"/>
          </w:tcPr>
          <w:p w14:paraId="20F9EE2B">
            <w:pPr>
              <w:pStyle w:val="22"/>
              <w:bidi w:val="0"/>
              <w:jc w:val="center"/>
              <w:rPr>
                <w:highlight w:val="none"/>
              </w:rPr>
            </w:pPr>
            <w:r>
              <w:rPr>
                <w:highlight w:val="none"/>
              </w:rPr>
              <w:t>库尾</w:t>
            </w:r>
          </w:p>
        </w:tc>
      </w:tr>
      <w:tr w14:paraId="768724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1" w:hRule="atLeast"/>
        </w:trPr>
        <w:tc>
          <w:tcPr>
            <w:tcW w:w="1661" w:type="dxa"/>
            <w:vAlign w:val="center"/>
          </w:tcPr>
          <w:p w14:paraId="7E39CE5E">
            <w:pPr>
              <w:pStyle w:val="22"/>
              <w:bidi w:val="0"/>
              <w:jc w:val="center"/>
              <w:rPr>
                <w:highlight w:val="none"/>
              </w:rPr>
            </w:pPr>
            <w:r>
              <w:rPr>
                <w:highlight w:val="none"/>
              </w:rPr>
              <w:t>监测点 2</w:t>
            </w:r>
          </w:p>
        </w:tc>
        <w:tc>
          <w:tcPr>
            <w:tcW w:w="2168" w:type="dxa"/>
            <w:vAlign w:val="center"/>
          </w:tcPr>
          <w:p w14:paraId="16140C5E">
            <w:pPr>
              <w:pStyle w:val="22"/>
              <w:bidi w:val="0"/>
              <w:jc w:val="center"/>
              <w:rPr>
                <w:highlight w:val="none"/>
              </w:rPr>
            </w:pPr>
            <w:r>
              <w:rPr>
                <w:highlight w:val="none"/>
              </w:rPr>
              <w:t>99°47'45.4732"E ；</w:t>
            </w:r>
          </w:p>
          <w:p w14:paraId="0869AA3D">
            <w:pPr>
              <w:pStyle w:val="22"/>
              <w:bidi w:val="0"/>
              <w:jc w:val="center"/>
              <w:rPr>
                <w:highlight w:val="none"/>
              </w:rPr>
            </w:pPr>
            <w:r>
              <w:rPr>
                <w:highlight w:val="none"/>
              </w:rPr>
              <w:t>28°55'41.6194"N</w:t>
            </w:r>
          </w:p>
        </w:tc>
        <w:tc>
          <w:tcPr>
            <w:tcW w:w="2769" w:type="dxa"/>
            <w:vAlign w:val="center"/>
          </w:tcPr>
          <w:p w14:paraId="6D1B8C73">
            <w:pPr>
              <w:pStyle w:val="22"/>
              <w:bidi w:val="0"/>
              <w:jc w:val="center"/>
              <w:rPr>
                <w:highlight w:val="none"/>
              </w:rPr>
            </w:pPr>
            <w:r>
              <w:rPr>
                <w:highlight w:val="none"/>
              </w:rPr>
              <w:t>乡城县政府后</w:t>
            </w:r>
          </w:p>
        </w:tc>
      </w:tr>
      <w:tr w14:paraId="643984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1" w:hRule="atLeast"/>
        </w:trPr>
        <w:tc>
          <w:tcPr>
            <w:tcW w:w="1661" w:type="dxa"/>
            <w:vAlign w:val="center"/>
          </w:tcPr>
          <w:p w14:paraId="29ED6822">
            <w:pPr>
              <w:pStyle w:val="22"/>
              <w:bidi w:val="0"/>
              <w:jc w:val="center"/>
              <w:rPr>
                <w:highlight w:val="none"/>
              </w:rPr>
            </w:pPr>
            <w:r>
              <w:rPr>
                <w:highlight w:val="none"/>
              </w:rPr>
              <w:t>监测点 3</w:t>
            </w:r>
          </w:p>
        </w:tc>
        <w:tc>
          <w:tcPr>
            <w:tcW w:w="2168" w:type="dxa"/>
            <w:vAlign w:val="center"/>
          </w:tcPr>
          <w:p w14:paraId="51BE5096">
            <w:pPr>
              <w:pStyle w:val="22"/>
              <w:bidi w:val="0"/>
              <w:jc w:val="center"/>
              <w:rPr>
                <w:highlight w:val="none"/>
              </w:rPr>
            </w:pPr>
            <w:r>
              <w:rPr>
                <w:highlight w:val="none"/>
              </w:rPr>
              <w:t>99°46'38.8212"E；</w:t>
            </w:r>
          </w:p>
          <w:p w14:paraId="3162BAB5">
            <w:pPr>
              <w:pStyle w:val="22"/>
              <w:bidi w:val="0"/>
              <w:jc w:val="center"/>
              <w:rPr>
                <w:highlight w:val="none"/>
              </w:rPr>
            </w:pPr>
            <w:r>
              <w:rPr>
                <w:highlight w:val="none"/>
              </w:rPr>
              <w:t>28°57' 12.8955"N</w:t>
            </w:r>
          </w:p>
        </w:tc>
        <w:tc>
          <w:tcPr>
            <w:tcW w:w="2769" w:type="dxa"/>
            <w:vAlign w:val="center"/>
          </w:tcPr>
          <w:p w14:paraId="0AC219DA">
            <w:pPr>
              <w:pStyle w:val="22"/>
              <w:bidi w:val="0"/>
              <w:jc w:val="center"/>
              <w:rPr>
                <w:highlight w:val="none"/>
              </w:rPr>
            </w:pPr>
            <w:r>
              <w:rPr>
                <w:highlight w:val="none"/>
              </w:rPr>
              <w:t>冷龙拥</w:t>
            </w:r>
          </w:p>
        </w:tc>
      </w:tr>
      <w:tr w14:paraId="5AAF89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2" w:hRule="atLeast"/>
        </w:trPr>
        <w:tc>
          <w:tcPr>
            <w:tcW w:w="1661" w:type="dxa"/>
            <w:vAlign w:val="center"/>
          </w:tcPr>
          <w:p w14:paraId="7CB248CB">
            <w:pPr>
              <w:pStyle w:val="22"/>
              <w:bidi w:val="0"/>
              <w:jc w:val="center"/>
              <w:rPr>
                <w:highlight w:val="none"/>
              </w:rPr>
            </w:pPr>
            <w:r>
              <w:rPr>
                <w:highlight w:val="none"/>
              </w:rPr>
              <w:t>监测点 4</w:t>
            </w:r>
          </w:p>
        </w:tc>
        <w:tc>
          <w:tcPr>
            <w:tcW w:w="2168" w:type="dxa"/>
            <w:vAlign w:val="center"/>
          </w:tcPr>
          <w:p w14:paraId="1AB59E39">
            <w:pPr>
              <w:pStyle w:val="22"/>
              <w:bidi w:val="0"/>
              <w:jc w:val="center"/>
              <w:rPr>
                <w:highlight w:val="none"/>
              </w:rPr>
            </w:pPr>
            <w:r>
              <w:rPr>
                <w:highlight w:val="none"/>
              </w:rPr>
              <w:t>99°45'59.6128"E ；</w:t>
            </w:r>
          </w:p>
          <w:p w14:paraId="1F9FC4C7">
            <w:pPr>
              <w:pStyle w:val="22"/>
              <w:bidi w:val="0"/>
              <w:jc w:val="center"/>
              <w:rPr>
                <w:highlight w:val="none"/>
              </w:rPr>
            </w:pPr>
            <w:r>
              <w:rPr>
                <w:highlight w:val="none"/>
              </w:rPr>
              <w:t>28°59' 16.0168"N</w:t>
            </w:r>
          </w:p>
        </w:tc>
        <w:tc>
          <w:tcPr>
            <w:tcW w:w="2769" w:type="dxa"/>
            <w:vAlign w:val="center"/>
          </w:tcPr>
          <w:p w14:paraId="0BB4F900">
            <w:pPr>
              <w:pStyle w:val="22"/>
              <w:bidi w:val="0"/>
              <w:jc w:val="center"/>
              <w:rPr>
                <w:highlight w:val="none"/>
              </w:rPr>
            </w:pPr>
            <w:r>
              <w:rPr>
                <w:highlight w:val="none"/>
              </w:rPr>
              <w:t>冷龙沟村上游 2km</w:t>
            </w:r>
          </w:p>
        </w:tc>
      </w:tr>
      <w:tr w14:paraId="3CC77E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trPr>
        <w:tc>
          <w:tcPr>
            <w:tcW w:w="1661" w:type="dxa"/>
            <w:vAlign w:val="center"/>
          </w:tcPr>
          <w:p w14:paraId="05792072">
            <w:pPr>
              <w:pStyle w:val="22"/>
              <w:bidi w:val="0"/>
              <w:jc w:val="center"/>
              <w:rPr>
                <w:highlight w:val="none"/>
              </w:rPr>
            </w:pPr>
            <w:r>
              <w:rPr>
                <w:highlight w:val="none"/>
              </w:rPr>
              <w:t>监测点 5</w:t>
            </w:r>
          </w:p>
        </w:tc>
        <w:tc>
          <w:tcPr>
            <w:tcW w:w="2168" w:type="dxa"/>
            <w:vAlign w:val="center"/>
          </w:tcPr>
          <w:p w14:paraId="2E07643E">
            <w:pPr>
              <w:pStyle w:val="22"/>
              <w:bidi w:val="0"/>
              <w:jc w:val="center"/>
              <w:rPr>
                <w:highlight w:val="none"/>
              </w:rPr>
            </w:pPr>
            <w:r>
              <w:rPr>
                <w:highlight w:val="none"/>
              </w:rPr>
              <w:t>99°46'13.9758"E ；</w:t>
            </w:r>
          </w:p>
          <w:p w14:paraId="6AFD7336">
            <w:pPr>
              <w:pStyle w:val="22"/>
              <w:bidi w:val="0"/>
              <w:jc w:val="center"/>
              <w:rPr>
                <w:highlight w:val="none"/>
              </w:rPr>
            </w:pPr>
            <w:r>
              <w:rPr>
                <w:highlight w:val="none"/>
              </w:rPr>
              <w:t>29°01'43.6646"N</w:t>
            </w:r>
          </w:p>
        </w:tc>
        <w:tc>
          <w:tcPr>
            <w:tcW w:w="2769" w:type="dxa"/>
            <w:vAlign w:val="center"/>
          </w:tcPr>
          <w:p w14:paraId="40A41571">
            <w:pPr>
              <w:pStyle w:val="22"/>
              <w:bidi w:val="0"/>
              <w:jc w:val="center"/>
              <w:rPr>
                <w:highlight w:val="none"/>
              </w:rPr>
            </w:pPr>
            <w:r>
              <w:rPr>
                <w:highlight w:val="none"/>
              </w:rPr>
              <w:t>尼色拥库中</w:t>
            </w:r>
          </w:p>
        </w:tc>
      </w:tr>
    </w:tbl>
    <w:p w14:paraId="25DFC224">
      <w:pPr>
        <w:pStyle w:val="11"/>
        <w:bidi w:val="0"/>
        <w:ind w:left="0" w:leftChars="0" w:firstLine="0" w:firstLineChars="0"/>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32</w:t>
      </w:r>
      <w:r>
        <w:rPr>
          <w:highlight w:val="none"/>
        </w:rPr>
        <w:fldChar w:fldCharType="end"/>
      </w:r>
      <w:r>
        <w:rPr>
          <w:rFonts w:hint="eastAsia"/>
          <w:highlight w:val="none"/>
          <w:lang w:val="en-US" w:eastAsia="zh-CN"/>
        </w:rPr>
        <w:t xml:space="preserve"> 红外相机观测点位记录表信息</w:t>
      </w:r>
    </w:p>
    <w:tbl>
      <w:tblPr>
        <w:tblStyle w:val="24"/>
        <w:tblW w:w="6613" w:type="dxa"/>
        <w:tblInd w:w="85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88"/>
        <w:gridCol w:w="2175"/>
        <w:gridCol w:w="2750"/>
      </w:tblGrid>
      <w:tr w14:paraId="5C6D22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1688" w:type="dxa"/>
            <w:vMerge w:val="restart"/>
            <w:tcBorders>
              <w:bottom w:val="nil"/>
            </w:tcBorders>
            <w:vAlign w:val="center"/>
          </w:tcPr>
          <w:p w14:paraId="174C02B3">
            <w:pPr>
              <w:pStyle w:val="22"/>
              <w:bidi w:val="0"/>
              <w:jc w:val="center"/>
              <w:rPr>
                <w:highlight w:val="none"/>
              </w:rPr>
            </w:pPr>
            <w:r>
              <w:rPr>
                <w:highlight w:val="none"/>
              </w:rPr>
              <w:t>名称</w:t>
            </w:r>
          </w:p>
        </w:tc>
        <w:tc>
          <w:tcPr>
            <w:tcW w:w="2175" w:type="dxa"/>
            <w:vAlign w:val="center"/>
          </w:tcPr>
          <w:p w14:paraId="0FA03AE1">
            <w:pPr>
              <w:pStyle w:val="22"/>
              <w:bidi w:val="0"/>
              <w:jc w:val="center"/>
              <w:rPr>
                <w:highlight w:val="none"/>
              </w:rPr>
            </w:pPr>
            <w:r>
              <w:rPr>
                <w:highlight w:val="none"/>
              </w:rPr>
              <w:t>点位坐标</w:t>
            </w:r>
          </w:p>
        </w:tc>
        <w:tc>
          <w:tcPr>
            <w:tcW w:w="2750" w:type="dxa"/>
            <w:vMerge w:val="restart"/>
            <w:tcBorders>
              <w:bottom w:val="nil"/>
            </w:tcBorders>
            <w:vAlign w:val="center"/>
          </w:tcPr>
          <w:p w14:paraId="65B0A9C4">
            <w:pPr>
              <w:pStyle w:val="22"/>
              <w:bidi w:val="0"/>
              <w:jc w:val="center"/>
              <w:rPr>
                <w:highlight w:val="none"/>
              </w:rPr>
            </w:pPr>
            <w:r>
              <w:rPr>
                <w:highlight w:val="none"/>
              </w:rPr>
              <w:t>位置</w:t>
            </w:r>
          </w:p>
        </w:tc>
      </w:tr>
      <w:tr w14:paraId="65119C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1688" w:type="dxa"/>
            <w:vMerge w:val="continue"/>
            <w:tcBorders>
              <w:top w:val="nil"/>
            </w:tcBorders>
            <w:vAlign w:val="center"/>
          </w:tcPr>
          <w:p w14:paraId="565C3052">
            <w:pPr>
              <w:pStyle w:val="22"/>
              <w:bidi w:val="0"/>
              <w:jc w:val="center"/>
              <w:rPr>
                <w:highlight w:val="none"/>
              </w:rPr>
            </w:pPr>
          </w:p>
        </w:tc>
        <w:tc>
          <w:tcPr>
            <w:tcW w:w="2175" w:type="dxa"/>
            <w:vAlign w:val="center"/>
          </w:tcPr>
          <w:p w14:paraId="15EACB13">
            <w:pPr>
              <w:pStyle w:val="22"/>
              <w:bidi w:val="0"/>
              <w:jc w:val="center"/>
              <w:rPr>
                <w:highlight w:val="none"/>
              </w:rPr>
            </w:pPr>
            <w:r>
              <w:rPr>
                <w:highlight w:val="none"/>
              </w:rPr>
              <w:t>经度纬度</w:t>
            </w:r>
          </w:p>
        </w:tc>
        <w:tc>
          <w:tcPr>
            <w:tcW w:w="2750" w:type="dxa"/>
            <w:vMerge w:val="continue"/>
            <w:tcBorders>
              <w:top w:val="nil"/>
            </w:tcBorders>
            <w:vAlign w:val="center"/>
          </w:tcPr>
          <w:p w14:paraId="40709C93">
            <w:pPr>
              <w:pStyle w:val="22"/>
              <w:bidi w:val="0"/>
              <w:jc w:val="center"/>
              <w:rPr>
                <w:highlight w:val="none"/>
              </w:rPr>
            </w:pPr>
          </w:p>
        </w:tc>
      </w:tr>
      <w:tr w14:paraId="365E23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688" w:type="dxa"/>
            <w:vAlign w:val="center"/>
          </w:tcPr>
          <w:p w14:paraId="4F28E08F">
            <w:pPr>
              <w:pStyle w:val="22"/>
              <w:bidi w:val="0"/>
              <w:jc w:val="center"/>
              <w:rPr>
                <w:highlight w:val="none"/>
              </w:rPr>
            </w:pPr>
            <w:r>
              <w:rPr>
                <w:highlight w:val="none"/>
              </w:rPr>
              <w:t>监测点 1</w:t>
            </w:r>
          </w:p>
        </w:tc>
        <w:tc>
          <w:tcPr>
            <w:tcW w:w="2175" w:type="dxa"/>
            <w:vAlign w:val="center"/>
          </w:tcPr>
          <w:p w14:paraId="06B77A15">
            <w:pPr>
              <w:pStyle w:val="22"/>
              <w:bidi w:val="0"/>
              <w:jc w:val="center"/>
              <w:rPr>
                <w:highlight w:val="none"/>
              </w:rPr>
            </w:pPr>
            <w:r>
              <w:rPr>
                <w:highlight w:val="none"/>
              </w:rPr>
              <w:t>99°45'37.9956"E ；</w:t>
            </w:r>
          </w:p>
          <w:p w14:paraId="6FBC8EB5">
            <w:pPr>
              <w:pStyle w:val="22"/>
              <w:bidi w:val="0"/>
              <w:jc w:val="center"/>
              <w:rPr>
                <w:highlight w:val="none"/>
              </w:rPr>
            </w:pPr>
            <w:r>
              <w:rPr>
                <w:highlight w:val="none"/>
              </w:rPr>
              <w:t>29°01' 15.1573"N</w:t>
            </w:r>
          </w:p>
        </w:tc>
        <w:tc>
          <w:tcPr>
            <w:tcW w:w="2750" w:type="dxa"/>
            <w:vAlign w:val="center"/>
          </w:tcPr>
          <w:p w14:paraId="61489E84">
            <w:pPr>
              <w:pStyle w:val="22"/>
              <w:bidi w:val="0"/>
              <w:jc w:val="center"/>
              <w:rPr>
                <w:highlight w:val="none"/>
              </w:rPr>
            </w:pPr>
            <w:r>
              <w:rPr>
                <w:highlight w:val="none"/>
              </w:rPr>
              <w:t>坝址</w:t>
            </w:r>
          </w:p>
        </w:tc>
      </w:tr>
      <w:tr w14:paraId="305DE4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688" w:type="dxa"/>
            <w:vAlign w:val="center"/>
          </w:tcPr>
          <w:p w14:paraId="0117B40E">
            <w:pPr>
              <w:pStyle w:val="22"/>
              <w:bidi w:val="0"/>
              <w:jc w:val="center"/>
              <w:rPr>
                <w:highlight w:val="none"/>
              </w:rPr>
            </w:pPr>
            <w:r>
              <w:rPr>
                <w:highlight w:val="none"/>
              </w:rPr>
              <w:t>监测点 2</w:t>
            </w:r>
          </w:p>
        </w:tc>
        <w:tc>
          <w:tcPr>
            <w:tcW w:w="2175" w:type="dxa"/>
            <w:vAlign w:val="center"/>
          </w:tcPr>
          <w:p w14:paraId="24B61B88">
            <w:pPr>
              <w:pStyle w:val="22"/>
              <w:bidi w:val="0"/>
              <w:jc w:val="center"/>
              <w:rPr>
                <w:highlight w:val="none"/>
              </w:rPr>
            </w:pPr>
            <w:r>
              <w:rPr>
                <w:highlight w:val="none"/>
              </w:rPr>
              <w:t>99°45'36.4499"E ；</w:t>
            </w:r>
          </w:p>
          <w:p w14:paraId="7956052A">
            <w:pPr>
              <w:pStyle w:val="22"/>
              <w:bidi w:val="0"/>
              <w:jc w:val="center"/>
              <w:rPr>
                <w:highlight w:val="none"/>
              </w:rPr>
            </w:pPr>
            <w:r>
              <w:rPr>
                <w:highlight w:val="none"/>
              </w:rPr>
              <w:t>29°00'30.9446"N</w:t>
            </w:r>
          </w:p>
        </w:tc>
        <w:tc>
          <w:tcPr>
            <w:tcW w:w="2750" w:type="dxa"/>
            <w:vAlign w:val="center"/>
          </w:tcPr>
          <w:p w14:paraId="082934E4">
            <w:pPr>
              <w:pStyle w:val="22"/>
              <w:bidi w:val="0"/>
              <w:jc w:val="center"/>
              <w:rPr>
                <w:highlight w:val="none"/>
              </w:rPr>
            </w:pPr>
            <w:r>
              <w:rPr>
                <w:highlight w:val="none"/>
              </w:rPr>
              <w:t>自来水厂下游 2 公里</w:t>
            </w:r>
          </w:p>
        </w:tc>
      </w:tr>
      <w:tr w14:paraId="285F60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688" w:type="dxa"/>
            <w:vAlign w:val="center"/>
          </w:tcPr>
          <w:p w14:paraId="71E8A42F">
            <w:pPr>
              <w:pStyle w:val="22"/>
              <w:bidi w:val="0"/>
              <w:jc w:val="center"/>
              <w:rPr>
                <w:highlight w:val="none"/>
              </w:rPr>
            </w:pPr>
            <w:r>
              <w:rPr>
                <w:highlight w:val="none"/>
              </w:rPr>
              <w:t>监测点 3</w:t>
            </w:r>
          </w:p>
        </w:tc>
        <w:tc>
          <w:tcPr>
            <w:tcW w:w="2175" w:type="dxa"/>
            <w:vAlign w:val="center"/>
          </w:tcPr>
          <w:p w14:paraId="71167A90">
            <w:pPr>
              <w:pStyle w:val="22"/>
              <w:bidi w:val="0"/>
              <w:jc w:val="center"/>
              <w:rPr>
                <w:highlight w:val="none"/>
              </w:rPr>
            </w:pPr>
            <w:r>
              <w:rPr>
                <w:highlight w:val="none"/>
              </w:rPr>
              <w:t>99°46'38.8212"E；</w:t>
            </w:r>
          </w:p>
          <w:p w14:paraId="77D2C0F0">
            <w:pPr>
              <w:pStyle w:val="22"/>
              <w:bidi w:val="0"/>
              <w:jc w:val="center"/>
              <w:rPr>
                <w:highlight w:val="none"/>
              </w:rPr>
            </w:pPr>
            <w:r>
              <w:rPr>
                <w:highlight w:val="none"/>
              </w:rPr>
              <w:t>28°57' 12.8955"N</w:t>
            </w:r>
          </w:p>
        </w:tc>
        <w:tc>
          <w:tcPr>
            <w:tcW w:w="2750" w:type="dxa"/>
            <w:vAlign w:val="center"/>
          </w:tcPr>
          <w:p w14:paraId="31FCD075">
            <w:pPr>
              <w:pStyle w:val="22"/>
              <w:bidi w:val="0"/>
              <w:jc w:val="center"/>
              <w:rPr>
                <w:highlight w:val="none"/>
              </w:rPr>
            </w:pPr>
            <w:r>
              <w:rPr>
                <w:highlight w:val="none"/>
              </w:rPr>
              <w:t>冷龙拥</w:t>
            </w:r>
          </w:p>
        </w:tc>
      </w:tr>
      <w:tr w14:paraId="1A390B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688" w:type="dxa"/>
            <w:vAlign w:val="center"/>
          </w:tcPr>
          <w:p w14:paraId="0DEBECE9">
            <w:pPr>
              <w:pStyle w:val="22"/>
              <w:bidi w:val="0"/>
              <w:jc w:val="center"/>
              <w:rPr>
                <w:highlight w:val="none"/>
              </w:rPr>
            </w:pPr>
            <w:r>
              <w:rPr>
                <w:highlight w:val="none"/>
              </w:rPr>
              <w:t>监测点 4</w:t>
            </w:r>
          </w:p>
        </w:tc>
        <w:tc>
          <w:tcPr>
            <w:tcW w:w="2175" w:type="dxa"/>
            <w:vAlign w:val="center"/>
          </w:tcPr>
          <w:p w14:paraId="5582782A">
            <w:pPr>
              <w:pStyle w:val="22"/>
              <w:bidi w:val="0"/>
              <w:jc w:val="center"/>
              <w:rPr>
                <w:highlight w:val="none"/>
              </w:rPr>
            </w:pPr>
            <w:r>
              <w:rPr>
                <w:highlight w:val="none"/>
              </w:rPr>
              <w:t>99°45'59.6128"E ；</w:t>
            </w:r>
          </w:p>
          <w:p w14:paraId="15289D1A">
            <w:pPr>
              <w:pStyle w:val="22"/>
              <w:bidi w:val="0"/>
              <w:jc w:val="center"/>
              <w:rPr>
                <w:highlight w:val="none"/>
              </w:rPr>
            </w:pPr>
            <w:r>
              <w:rPr>
                <w:highlight w:val="none"/>
              </w:rPr>
              <w:t>28°59' 16.0168"N</w:t>
            </w:r>
          </w:p>
        </w:tc>
        <w:tc>
          <w:tcPr>
            <w:tcW w:w="2750" w:type="dxa"/>
            <w:vAlign w:val="center"/>
          </w:tcPr>
          <w:p w14:paraId="30BD4BBC">
            <w:pPr>
              <w:pStyle w:val="22"/>
              <w:bidi w:val="0"/>
              <w:jc w:val="center"/>
              <w:rPr>
                <w:highlight w:val="none"/>
              </w:rPr>
            </w:pPr>
            <w:r>
              <w:rPr>
                <w:highlight w:val="none"/>
              </w:rPr>
              <w:t>冷龙沟村上游 2km</w:t>
            </w:r>
          </w:p>
        </w:tc>
      </w:tr>
      <w:tr w14:paraId="317B64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1688" w:type="dxa"/>
            <w:vAlign w:val="center"/>
          </w:tcPr>
          <w:p w14:paraId="0291BCDC">
            <w:pPr>
              <w:pStyle w:val="22"/>
              <w:bidi w:val="0"/>
              <w:jc w:val="center"/>
              <w:rPr>
                <w:highlight w:val="none"/>
              </w:rPr>
            </w:pPr>
            <w:r>
              <w:rPr>
                <w:highlight w:val="none"/>
              </w:rPr>
              <w:t>监测点 5</w:t>
            </w:r>
          </w:p>
        </w:tc>
        <w:tc>
          <w:tcPr>
            <w:tcW w:w="2175" w:type="dxa"/>
            <w:vAlign w:val="center"/>
          </w:tcPr>
          <w:p w14:paraId="6287B112">
            <w:pPr>
              <w:pStyle w:val="22"/>
              <w:bidi w:val="0"/>
              <w:jc w:val="center"/>
              <w:rPr>
                <w:highlight w:val="none"/>
              </w:rPr>
            </w:pPr>
            <w:r>
              <w:rPr>
                <w:highlight w:val="none"/>
              </w:rPr>
              <w:t>99°49'46.9760"E；</w:t>
            </w:r>
          </w:p>
          <w:p w14:paraId="65E79713">
            <w:pPr>
              <w:pStyle w:val="22"/>
              <w:bidi w:val="0"/>
              <w:jc w:val="center"/>
              <w:rPr>
                <w:highlight w:val="none"/>
              </w:rPr>
            </w:pPr>
            <w:r>
              <w:rPr>
                <w:highlight w:val="none"/>
              </w:rPr>
              <w:t>28°53' 15.5048"N</w:t>
            </w:r>
          </w:p>
        </w:tc>
        <w:tc>
          <w:tcPr>
            <w:tcW w:w="2750" w:type="dxa"/>
            <w:vAlign w:val="center"/>
          </w:tcPr>
          <w:p w14:paraId="51F384EF">
            <w:pPr>
              <w:pStyle w:val="22"/>
              <w:bidi w:val="0"/>
              <w:jc w:val="center"/>
              <w:rPr>
                <w:highlight w:val="none"/>
              </w:rPr>
            </w:pPr>
            <w:r>
              <w:rPr>
                <w:highlight w:val="none"/>
              </w:rPr>
              <w:t>热差卡村</w:t>
            </w:r>
          </w:p>
        </w:tc>
      </w:tr>
    </w:tbl>
    <w:p w14:paraId="0C713D14">
      <w:pPr>
        <w:bidi w:val="0"/>
        <w:ind w:left="0" w:leftChars="0" w:firstLine="0" w:firstLineChars="0"/>
        <w:rPr>
          <w:rFonts w:hint="eastAsia"/>
          <w:highlight w:val="none"/>
          <w:lang w:val="en-US" w:eastAsia="zh-CN"/>
        </w:rPr>
      </w:pPr>
      <w:r>
        <w:rPr>
          <w:position w:val="-189"/>
          <w:highlight w:val="none"/>
        </w:rPr>
        <w:drawing>
          <wp:inline distT="0" distB="0" distL="0" distR="0">
            <wp:extent cx="5271135" cy="6027420"/>
            <wp:effectExtent l="0" t="0" r="5715" b="1143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34"/>
                    <a:stretch>
                      <a:fillRect/>
                    </a:stretch>
                  </pic:blipFill>
                  <pic:spPr>
                    <a:xfrm>
                      <a:off x="0" y="0"/>
                      <a:ext cx="5271515" cy="6027420"/>
                    </a:xfrm>
                    <a:prstGeom prst="rect">
                      <a:avLst/>
                    </a:prstGeom>
                  </pic:spPr>
                </pic:pic>
              </a:graphicData>
            </a:graphic>
          </wp:inline>
        </w:drawing>
      </w:r>
    </w:p>
    <w:p w14:paraId="6C7090E9">
      <w:pPr>
        <w:pStyle w:val="11"/>
        <w:ind w:left="0" w:leftChars="0" w:firstLine="0" w:firstLineChars="0"/>
        <w:rPr>
          <w:rFonts w:hint="eastAsia" w:eastAsia="黑体"/>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15</w:t>
      </w:r>
      <w:r>
        <w:rPr>
          <w:highlight w:val="none"/>
        </w:rPr>
        <w:fldChar w:fldCharType="end"/>
      </w:r>
      <w:r>
        <w:rPr>
          <w:rFonts w:hint="eastAsia"/>
          <w:highlight w:val="none"/>
          <w:lang w:val="en-US" w:eastAsia="zh-CN"/>
        </w:rPr>
        <w:t xml:space="preserve"> 样线点位和红外相机观测点位示意图</w:t>
      </w:r>
    </w:p>
    <w:p w14:paraId="24E52D79">
      <w:pPr>
        <w:numPr>
          <w:ilvl w:val="0"/>
          <w:numId w:val="23"/>
        </w:numPr>
        <w:bidi w:val="0"/>
        <w:ind w:left="420" w:leftChars="0" w:hanging="420" w:firstLineChars="0"/>
        <w:rPr>
          <w:rFonts w:hint="eastAsia"/>
          <w:highlight w:val="none"/>
          <w:lang w:val="en-US" w:eastAsia="zh-CN"/>
        </w:rPr>
      </w:pPr>
      <w:r>
        <w:rPr>
          <w:rFonts w:hint="eastAsia"/>
          <w:highlight w:val="none"/>
          <w:lang w:val="en-US" w:eastAsia="zh-CN"/>
        </w:rPr>
        <w:t>陆生动物种类组成</w:t>
      </w:r>
    </w:p>
    <w:p w14:paraId="291910EE">
      <w:pPr>
        <w:bidi w:val="0"/>
        <w:rPr>
          <w:rFonts w:hint="eastAsia"/>
          <w:highlight w:val="none"/>
          <w:lang w:val="en-US" w:eastAsia="zh-CN"/>
        </w:rPr>
      </w:pPr>
      <w:r>
        <w:rPr>
          <w:rFonts w:hint="eastAsia"/>
          <w:highlight w:val="none"/>
          <w:lang w:val="en-US" w:eastAsia="zh-CN"/>
        </w:rPr>
        <w:t>本评价结合根据《中国动物地理》(张荣祖，2011 年)及《中国陆生野生动 物生态地理 区划研究》(何杰坤等，2018 年)等现有资料，对评价区开展了陆生 生态调查，陆生生态调查评价范围主要为尼色拥水库库区两岸山脊线以内的陆 域坡面，渠系及主要施工道路及两侧 300m 范围，渣场、料场、施工场地、生  活营地及四周 300m 范围。</w:t>
      </w:r>
    </w:p>
    <w:p w14:paraId="712332A8">
      <w:pPr>
        <w:bidi w:val="0"/>
        <w:rPr>
          <w:rFonts w:hint="eastAsia"/>
          <w:highlight w:val="none"/>
          <w:lang w:val="en-US" w:eastAsia="zh-CN"/>
        </w:rPr>
      </w:pPr>
      <w:r>
        <w:rPr>
          <w:rFonts w:hint="eastAsia"/>
          <w:highlight w:val="none"/>
          <w:lang w:val="en-US" w:eastAsia="zh-CN"/>
        </w:rPr>
        <w:t>监测区域位于东洋界和古北界交界地带，横跨了三个动物地理省，具体为: 古北界-中亚亚界-IV 青藏区-IVB 青海藏南亚区-青藏东部省(IVB2)——高地针叶森林草原动物群；东洋界-印亚界-V 西南区-VA  西南山地亚区域-东北山地省(VA1) ——亚热带森林动物群和东洋界-印亚界-V 西南区-VA  西南山地亚区域-三江横</w:t>
      </w:r>
    </w:p>
    <w:p w14:paraId="130D8B60">
      <w:pPr>
        <w:bidi w:val="0"/>
        <w:rPr>
          <w:rFonts w:hint="eastAsia"/>
          <w:highlight w:val="none"/>
          <w:lang w:val="en-US" w:eastAsia="zh-CN"/>
        </w:rPr>
      </w:pPr>
      <w:r>
        <w:rPr>
          <w:rFonts w:hint="eastAsia"/>
          <w:highlight w:val="none"/>
          <w:lang w:val="en-US" w:eastAsia="zh-CN"/>
        </w:rPr>
        <w:t>断省(VA2)——热带亚热带山地森林动物群。</w:t>
      </w:r>
    </w:p>
    <w:p w14:paraId="6DCF12C0">
      <w:pPr>
        <w:bidi w:val="0"/>
        <w:rPr>
          <w:rFonts w:hint="eastAsia"/>
          <w:highlight w:val="none"/>
          <w:lang w:val="en-US" w:eastAsia="zh-CN"/>
        </w:rPr>
      </w:pPr>
      <w:r>
        <w:rPr>
          <w:rFonts w:hint="eastAsia"/>
          <w:highlight w:val="none"/>
          <w:lang w:val="en-US" w:eastAsia="zh-CN"/>
        </w:rPr>
        <w:t>古北界——青藏区(IV)——青海藏南亚区(IVB)地处青藏高原的东南部边缘，此区域内，地形复杂，河流外流，河谷切入高原，大多偏于南北走向，受南来气流的影响较大。自然条件的垂直变化比较明显。本区域内最普遍的自然景观为山地森林与山地草甸草原-灌丛的交错，在这种环境中，鸟类种类较为丰富。</w:t>
      </w:r>
    </w:p>
    <w:p w14:paraId="1C62D1C0">
      <w:pPr>
        <w:bidi w:val="0"/>
        <w:rPr>
          <w:rFonts w:hint="eastAsia"/>
          <w:highlight w:val="none"/>
          <w:lang w:val="en-US" w:eastAsia="zh-CN"/>
        </w:rPr>
      </w:pPr>
      <w:r>
        <w:rPr>
          <w:rFonts w:hint="eastAsia"/>
          <w:highlight w:val="none"/>
          <w:lang w:val="en-US" w:eastAsia="zh-CN"/>
        </w:rPr>
        <w:t>东洋界——西南区(V)——西南山地亚区域(VA)内多为南北走向的高山峡谷。有利于南北方动物的交流。山地自然垂直分布，呈三度空间的变化，并随着不同的地理位置、海拔及坡向而变化，十分复杂，但有一定的规律。地理位置偏南及海拔偏低的谷地，其基带在雨影坡为干热河谷，在水汽通道上则为热带或亚热带雨林或常绿阔叶林。该区域内，动物区系的组成在整体上倾向于东洋界，但在海拔较高的地方，有不少古北界的种类沿山脊部分向南伸展，而沿河谷有不少热带种类向北分布，两界动物成分混杂而呈垂直变化，水平分界线不明显。</w:t>
      </w:r>
    </w:p>
    <w:p w14:paraId="75E456B9">
      <w:pPr>
        <w:bidi w:val="0"/>
        <w:rPr>
          <w:rFonts w:hint="eastAsia"/>
          <w:highlight w:val="none"/>
          <w:lang w:val="en-US" w:eastAsia="zh-CN"/>
        </w:rPr>
      </w:pPr>
      <w:r>
        <w:rPr>
          <w:rFonts w:hint="eastAsia"/>
          <w:highlight w:val="none"/>
          <w:lang w:val="en-US" w:eastAsia="zh-CN"/>
        </w:rPr>
        <w:t>本项目陆生动物数据参考《硕曲河去学水电站水光互补项目白松光伏电站 项目环 境影响报告表》中，“第三章 3 、项目周边野生动物分布情况”的调查结 果，同时结合现场调查资料进行整合。工程影响区因位于乡城县， 自然植被整 体较差，所以动物分布较少，且以小型动物为主，几乎难见大型动物。通过现 场调查，结合查阅资料、调查访问等方法。调查区域内共统计记录到的陆生脊 椎动物有 4 纲 24 目 74 科 162 种；其中两栖类 2  目 5 科 7 种，爬行类 1  目 7 科 8 种，鸟类 16 目 46 科 117 种，哺乳类 6  目 16 科 30 种；按区系划分，东洋种 40 种，古北种 13 种，广布种 64 种。调查区域内调查到国家二级重点保护野生动 物 9 种，其中两栖类 1 种，鸟类 2 种，哺乳类 6 种；记录到四川省重点保护动 物 7 种。调查区域内记录到列入《中国生物多样性红色名录》“极危”级别的物 种 4 种，“濒危”级别的物种2 种，“易危”级别的物种 12 种，“近危”级别的物种 27 种，中国特有种 28 种。</w:t>
      </w:r>
    </w:p>
    <w:p w14:paraId="694BA54E">
      <w:pPr>
        <w:numPr>
          <w:ilvl w:val="0"/>
          <w:numId w:val="24"/>
        </w:numPr>
        <w:bidi w:val="0"/>
        <w:rPr>
          <w:rFonts w:hint="eastAsia"/>
          <w:b/>
          <w:bCs/>
          <w:highlight w:val="none"/>
          <w:lang w:val="en-US" w:eastAsia="zh-CN"/>
        </w:rPr>
      </w:pPr>
      <w:r>
        <w:rPr>
          <w:rFonts w:hint="eastAsia"/>
          <w:b/>
          <w:bCs/>
          <w:highlight w:val="none"/>
          <w:lang w:val="en-US" w:eastAsia="zh-CN"/>
        </w:rPr>
        <w:t>两栖类</w:t>
      </w:r>
    </w:p>
    <w:p w14:paraId="76EE3D62">
      <w:pPr>
        <w:bidi w:val="0"/>
        <w:rPr>
          <w:rFonts w:hint="default"/>
          <w:highlight w:val="none"/>
          <w:lang w:val="en-US" w:eastAsia="zh-CN"/>
        </w:rPr>
      </w:pPr>
      <w:r>
        <w:rPr>
          <w:rFonts w:hint="default"/>
          <w:highlight w:val="none"/>
          <w:lang w:val="en-US" w:eastAsia="zh-CN"/>
        </w:rPr>
        <w:t>主要通过样线法调查，在夜间通过规划好的样线(每个监测区域 1 条) ，对两栖类开展专项调查；在白天进行鸟类样线法时遇到适合两栖类生存的生境，如溪流、河流等，在水边仔细寻找，翻开水边的石块、倒木等检视是否存在两 栖类个体。</w:t>
      </w:r>
    </w:p>
    <w:p w14:paraId="0DDD5FEC">
      <w:pPr>
        <w:bidi w:val="0"/>
        <w:rPr>
          <w:rFonts w:hint="default"/>
          <w:highlight w:val="none"/>
          <w:lang w:val="en-US" w:eastAsia="zh-CN"/>
        </w:rPr>
      </w:pPr>
      <w:r>
        <w:rPr>
          <w:rFonts w:hint="default"/>
          <w:highlight w:val="none"/>
          <w:lang w:val="en-US" w:eastAsia="zh-CN"/>
        </w:rPr>
        <w:t>本次共记录到两栖类2目5科7种，现场目击1目1科2种，即高原林蛙</w:t>
      </w:r>
      <w:r>
        <w:rPr>
          <w:rFonts w:hint="eastAsia"/>
          <w:highlight w:val="none"/>
          <w:lang w:val="en-US" w:eastAsia="zh-CN"/>
        </w:rPr>
        <w:t>（</w:t>
      </w:r>
      <w:r>
        <w:rPr>
          <w:rFonts w:hint="default"/>
          <w:i/>
          <w:iCs/>
          <w:highlight w:val="none"/>
          <w:lang w:val="en-US" w:eastAsia="zh-CN"/>
        </w:rPr>
        <w:t>Rana kukunoris</w:t>
      </w:r>
      <w:r>
        <w:rPr>
          <w:rFonts w:hint="eastAsia"/>
          <w:i w:val="0"/>
          <w:iCs w:val="0"/>
          <w:highlight w:val="none"/>
          <w:lang w:val="en-US" w:eastAsia="zh-CN"/>
        </w:rPr>
        <w:t>）</w:t>
      </w:r>
      <w:r>
        <w:rPr>
          <w:rFonts w:hint="default"/>
          <w:highlight w:val="none"/>
          <w:lang w:val="en-US" w:eastAsia="zh-CN"/>
        </w:rPr>
        <w:t>和倭蛙</w:t>
      </w:r>
      <w:r>
        <w:rPr>
          <w:rFonts w:hint="eastAsia"/>
          <w:highlight w:val="none"/>
          <w:lang w:val="en-US" w:eastAsia="zh-CN"/>
        </w:rPr>
        <w:t>（</w:t>
      </w:r>
      <w:r>
        <w:rPr>
          <w:rFonts w:hint="default"/>
          <w:i/>
          <w:iCs/>
          <w:highlight w:val="none"/>
          <w:lang w:val="en-US" w:eastAsia="zh-CN"/>
        </w:rPr>
        <w:t>Nanorana pleskei</w:t>
      </w:r>
      <w:r>
        <w:rPr>
          <w:rFonts w:hint="eastAsia"/>
          <w:i w:val="0"/>
          <w:iCs w:val="0"/>
          <w:highlight w:val="none"/>
          <w:lang w:val="en-US" w:eastAsia="zh-CN"/>
        </w:rPr>
        <w:t>）</w:t>
      </w:r>
      <w:r>
        <w:rPr>
          <w:rFonts w:hint="default"/>
          <w:highlight w:val="none"/>
          <w:lang w:val="en-US" w:eastAsia="zh-CN"/>
        </w:rPr>
        <w:t>。两次调查记录到的两栖类中，有国家二级保护动物一种稻城山溪鲵</w:t>
      </w:r>
      <w:r>
        <w:rPr>
          <w:rFonts w:hint="default"/>
          <w:i w:val="0"/>
          <w:iCs w:val="0"/>
          <w:highlight w:val="none"/>
          <w:lang w:val="en-US" w:eastAsia="zh-CN"/>
        </w:rPr>
        <w:t>（</w:t>
      </w:r>
      <w:r>
        <w:rPr>
          <w:rFonts w:hint="default"/>
          <w:i/>
          <w:iCs/>
          <w:highlight w:val="none"/>
          <w:lang w:val="en-US" w:eastAsia="zh-CN"/>
        </w:rPr>
        <w:t>Batrachuperus tibetanus</w:t>
      </w:r>
      <w:r>
        <w:rPr>
          <w:rFonts w:hint="default"/>
          <w:i w:val="0"/>
          <w:iCs w:val="0"/>
          <w:highlight w:val="none"/>
          <w:lang w:val="en-US" w:eastAsia="zh-CN"/>
        </w:rPr>
        <w:t>）</w:t>
      </w:r>
      <w:r>
        <w:rPr>
          <w:rFonts w:hint="default"/>
          <w:highlight w:val="none"/>
          <w:lang w:val="en-US" w:eastAsia="zh-CN"/>
        </w:rPr>
        <w:t>，无四川省重点保护野生动物；有 1 种列入《中国生物多样性红色名录—脊椎动物卷》 (2020)“易危(VU)”物种，即稻城山溪鲵，其余为“LC(无危)”物种。其中还有中国特有种 5 种，分别为稻城山溪鲵 、胸腺齿突蟾</w:t>
      </w:r>
      <w:r>
        <w:rPr>
          <w:rFonts w:hint="default"/>
          <w:i/>
          <w:iCs/>
          <w:highlight w:val="none"/>
          <w:lang w:val="en-US" w:eastAsia="zh-CN"/>
        </w:rPr>
        <w:t>(Scutiger glandulatus)</w:t>
      </w:r>
      <w:r>
        <w:rPr>
          <w:rFonts w:hint="default"/>
          <w:highlight w:val="none"/>
          <w:lang w:val="en-US" w:eastAsia="zh-CN"/>
        </w:rPr>
        <w:t xml:space="preserve"> 、西藏蟾蜍</w:t>
      </w:r>
      <w:r>
        <w:rPr>
          <w:rFonts w:hint="default"/>
          <w:i/>
          <w:iCs/>
          <w:highlight w:val="none"/>
          <w:lang w:val="en-US" w:eastAsia="zh-CN"/>
        </w:rPr>
        <w:t>(Bufo tibetanus)、</w:t>
      </w:r>
      <w:r>
        <w:rPr>
          <w:rFonts w:hint="default"/>
          <w:highlight w:val="none"/>
          <w:lang w:val="en-US" w:eastAsia="zh-CN"/>
        </w:rPr>
        <w:t>高原林蛙和倭蛙。本次两栖类实地调查结果见下表，名录见附录。</w:t>
      </w:r>
    </w:p>
    <w:p w14:paraId="34FA080D">
      <w:pPr>
        <w:pStyle w:val="11"/>
        <w:bidi w:val="0"/>
        <w:rPr>
          <w:rFonts w:hint="eastAsia"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33</w:t>
      </w:r>
      <w:r>
        <w:rPr>
          <w:highlight w:val="none"/>
        </w:rPr>
        <w:fldChar w:fldCharType="end"/>
      </w:r>
      <w:r>
        <w:rPr>
          <w:rFonts w:hint="eastAsia"/>
          <w:highlight w:val="none"/>
          <w:lang w:val="en-US" w:eastAsia="zh-CN"/>
        </w:rPr>
        <w:t xml:space="preserve"> 两栖类现场调查数据统计表</w:t>
      </w:r>
    </w:p>
    <w:tbl>
      <w:tblPr>
        <w:tblStyle w:val="24"/>
        <w:tblW w:w="8973" w:type="dxa"/>
        <w:tblInd w:w="13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5"/>
        <w:gridCol w:w="1133"/>
        <w:gridCol w:w="948"/>
        <w:gridCol w:w="584"/>
        <w:gridCol w:w="825"/>
        <w:gridCol w:w="716"/>
        <w:gridCol w:w="709"/>
        <w:gridCol w:w="709"/>
        <w:gridCol w:w="666"/>
        <w:gridCol w:w="750"/>
        <w:gridCol w:w="650"/>
        <w:gridCol w:w="488"/>
      </w:tblGrid>
      <w:tr w14:paraId="18A393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795" w:type="dxa"/>
            <w:vMerge w:val="restart"/>
            <w:tcBorders>
              <w:bottom w:val="nil"/>
            </w:tcBorders>
            <w:vAlign w:val="center"/>
          </w:tcPr>
          <w:p w14:paraId="77F173C2">
            <w:pPr>
              <w:pStyle w:val="22"/>
              <w:bidi w:val="0"/>
              <w:jc w:val="center"/>
              <w:rPr>
                <w:highlight w:val="none"/>
              </w:rPr>
            </w:pPr>
            <w:r>
              <w:rPr>
                <w:highlight w:val="none"/>
              </w:rPr>
              <w:t>目</w:t>
            </w:r>
          </w:p>
        </w:tc>
        <w:tc>
          <w:tcPr>
            <w:tcW w:w="1133" w:type="dxa"/>
            <w:vMerge w:val="restart"/>
            <w:tcBorders>
              <w:bottom w:val="nil"/>
            </w:tcBorders>
            <w:vAlign w:val="center"/>
          </w:tcPr>
          <w:p w14:paraId="03B2B792">
            <w:pPr>
              <w:pStyle w:val="22"/>
              <w:bidi w:val="0"/>
              <w:jc w:val="center"/>
              <w:rPr>
                <w:highlight w:val="none"/>
              </w:rPr>
            </w:pPr>
            <w:r>
              <w:rPr>
                <w:highlight w:val="none"/>
              </w:rPr>
              <w:t>科</w:t>
            </w:r>
          </w:p>
        </w:tc>
        <w:tc>
          <w:tcPr>
            <w:tcW w:w="948" w:type="dxa"/>
            <w:vMerge w:val="restart"/>
            <w:tcBorders>
              <w:bottom w:val="nil"/>
            </w:tcBorders>
            <w:vAlign w:val="center"/>
          </w:tcPr>
          <w:p w14:paraId="2646C9B8">
            <w:pPr>
              <w:pStyle w:val="22"/>
              <w:bidi w:val="0"/>
              <w:jc w:val="center"/>
              <w:rPr>
                <w:highlight w:val="none"/>
              </w:rPr>
            </w:pPr>
            <w:r>
              <w:rPr>
                <w:highlight w:val="none"/>
              </w:rPr>
              <w:t>种</w:t>
            </w:r>
          </w:p>
        </w:tc>
        <w:tc>
          <w:tcPr>
            <w:tcW w:w="584" w:type="dxa"/>
            <w:vMerge w:val="restart"/>
            <w:tcBorders>
              <w:bottom w:val="nil"/>
            </w:tcBorders>
            <w:vAlign w:val="center"/>
          </w:tcPr>
          <w:p w14:paraId="112CA0EC">
            <w:pPr>
              <w:pStyle w:val="22"/>
              <w:bidi w:val="0"/>
              <w:jc w:val="center"/>
              <w:rPr>
                <w:highlight w:val="none"/>
              </w:rPr>
            </w:pPr>
            <w:r>
              <w:rPr>
                <w:highlight w:val="none"/>
              </w:rPr>
              <w:t>区系类型</w:t>
            </w:r>
          </w:p>
        </w:tc>
        <w:tc>
          <w:tcPr>
            <w:tcW w:w="825" w:type="dxa"/>
            <w:vMerge w:val="restart"/>
            <w:tcBorders>
              <w:bottom w:val="nil"/>
            </w:tcBorders>
            <w:vAlign w:val="center"/>
          </w:tcPr>
          <w:p w14:paraId="14B2EC4B">
            <w:pPr>
              <w:pStyle w:val="22"/>
              <w:bidi w:val="0"/>
              <w:jc w:val="center"/>
              <w:rPr>
                <w:highlight w:val="none"/>
              </w:rPr>
            </w:pPr>
            <w:r>
              <w:rPr>
                <w:highlight w:val="none"/>
              </w:rPr>
              <w:t>保护级别</w:t>
            </w:r>
          </w:p>
        </w:tc>
        <w:tc>
          <w:tcPr>
            <w:tcW w:w="716" w:type="dxa"/>
            <w:vMerge w:val="restart"/>
            <w:tcBorders>
              <w:bottom w:val="nil"/>
            </w:tcBorders>
            <w:vAlign w:val="center"/>
          </w:tcPr>
          <w:p w14:paraId="21310F63">
            <w:pPr>
              <w:pStyle w:val="22"/>
              <w:bidi w:val="0"/>
              <w:jc w:val="center"/>
              <w:rPr>
                <w:highlight w:val="none"/>
              </w:rPr>
            </w:pPr>
            <w:r>
              <w:rPr>
                <w:highlight w:val="none"/>
              </w:rPr>
              <w:t>濒危等级</w:t>
            </w:r>
          </w:p>
        </w:tc>
        <w:tc>
          <w:tcPr>
            <w:tcW w:w="3972" w:type="dxa"/>
            <w:gridSpan w:val="6"/>
            <w:vAlign w:val="center"/>
          </w:tcPr>
          <w:p w14:paraId="043C5E5D">
            <w:pPr>
              <w:pStyle w:val="22"/>
              <w:bidi w:val="0"/>
              <w:jc w:val="center"/>
              <w:rPr>
                <w:highlight w:val="none"/>
              </w:rPr>
            </w:pPr>
            <w:r>
              <w:rPr>
                <w:highlight w:val="none"/>
              </w:rPr>
              <w:t>分布与数量</w:t>
            </w:r>
          </w:p>
        </w:tc>
      </w:tr>
      <w:tr w14:paraId="704F76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6" w:hRule="atLeast"/>
        </w:trPr>
        <w:tc>
          <w:tcPr>
            <w:tcW w:w="795" w:type="dxa"/>
            <w:vMerge w:val="continue"/>
            <w:tcBorders>
              <w:top w:val="nil"/>
            </w:tcBorders>
            <w:vAlign w:val="center"/>
          </w:tcPr>
          <w:p w14:paraId="02206177">
            <w:pPr>
              <w:pStyle w:val="22"/>
              <w:bidi w:val="0"/>
              <w:jc w:val="center"/>
              <w:rPr>
                <w:highlight w:val="none"/>
              </w:rPr>
            </w:pPr>
          </w:p>
        </w:tc>
        <w:tc>
          <w:tcPr>
            <w:tcW w:w="1133" w:type="dxa"/>
            <w:vMerge w:val="continue"/>
            <w:tcBorders>
              <w:top w:val="nil"/>
            </w:tcBorders>
            <w:vAlign w:val="center"/>
          </w:tcPr>
          <w:p w14:paraId="065290A4">
            <w:pPr>
              <w:pStyle w:val="22"/>
              <w:bidi w:val="0"/>
              <w:jc w:val="center"/>
              <w:rPr>
                <w:highlight w:val="none"/>
              </w:rPr>
            </w:pPr>
          </w:p>
        </w:tc>
        <w:tc>
          <w:tcPr>
            <w:tcW w:w="948" w:type="dxa"/>
            <w:vMerge w:val="continue"/>
            <w:tcBorders>
              <w:top w:val="nil"/>
            </w:tcBorders>
            <w:vAlign w:val="center"/>
          </w:tcPr>
          <w:p w14:paraId="64ABBD64">
            <w:pPr>
              <w:pStyle w:val="22"/>
              <w:bidi w:val="0"/>
              <w:jc w:val="center"/>
              <w:rPr>
                <w:highlight w:val="none"/>
              </w:rPr>
            </w:pPr>
          </w:p>
        </w:tc>
        <w:tc>
          <w:tcPr>
            <w:tcW w:w="584" w:type="dxa"/>
            <w:vMerge w:val="continue"/>
            <w:tcBorders>
              <w:top w:val="nil"/>
            </w:tcBorders>
            <w:vAlign w:val="center"/>
          </w:tcPr>
          <w:p w14:paraId="3CB075D6">
            <w:pPr>
              <w:pStyle w:val="22"/>
              <w:bidi w:val="0"/>
              <w:jc w:val="center"/>
              <w:rPr>
                <w:highlight w:val="none"/>
              </w:rPr>
            </w:pPr>
          </w:p>
        </w:tc>
        <w:tc>
          <w:tcPr>
            <w:tcW w:w="825" w:type="dxa"/>
            <w:vMerge w:val="continue"/>
            <w:tcBorders>
              <w:top w:val="nil"/>
            </w:tcBorders>
            <w:vAlign w:val="center"/>
          </w:tcPr>
          <w:p w14:paraId="544FAB7B">
            <w:pPr>
              <w:pStyle w:val="22"/>
              <w:bidi w:val="0"/>
              <w:jc w:val="center"/>
              <w:rPr>
                <w:highlight w:val="none"/>
              </w:rPr>
            </w:pPr>
          </w:p>
        </w:tc>
        <w:tc>
          <w:tcPr>
            <w:tcW w:w="716" w:type="dxa"/>
            <w:vMerge w:val="continue"/>
            <w:tcBorders>
              <w:top w:val="nil"/>
            </w:tcBorders>
            <w:vAlign w:val="center"/>
          </w:tcPr>
          <w:p w14:paraId="3E301D29">
            <w:pPr>
              <w:pStyle w:val="22"/>
              <w:bidi w:val="0"/>
              <w:jc w:val="center"/>
              <w:rPr>
                <w:highlight w:val="none"/>
              </w:rPr>
            </w:pPr>
          </w:p>
        </w:tc>
        <w:tc>
          <w:tcPr>
            <w:tcW w:w="709" w:type="dxa"/>
            <w:vAlign w:val="center"/>
          </w:tcPr>
          <w:p w14:paraId="708429B3">
            <w:pPr>
              <w:pStyle w:val="22"/>
              <w:bidi w:val="0"/>
              <w:jc w:val="center"/>
              <w:rPr>
                <w:highlight w:val="none"/>
              </w:rPr>
            </w:pPr>
            <w:r>
              <w:rPr>
                <w:highlight w:val="none"/>
              </w:rPr>
              <w:t>调查点</w:t>
            </w:r>
          </w:p>
          <w:p w14:paraId="595BF479">
            <w:pPr>
              <w:pStyle w:val="22"/>
              <w:bidi w:val="0"/>
              <w:jc w:val="center"/>
              <w:rPr>
                <w:highlight w:val="none"/>
              </w:rPr>
            </w:pPr>
            <w:r>
              <w:rPr>
                <w:highlight w:val="none"/>
              </w:rPr>
              <w:t>1</w:t>
            </w:r>
          </w:p>
        </w:tc>
        <w:tc>
          <w:tcPr>
            <w:tcW w:w="709" w:type="dxa"/>
            <w:vAlign w:val="center"/>
          </w:tcPr>
          <w:p w14:paraId="0FDCA376">
            <w:pPr>
              <w:pStyle w:val="22"/>
              <w:bidi w:val="0"/>
              <w:jc w:val="center"/>
              <w:rPr>
                <w:highlight w:val="none"/>
              </w:rPr>
            </w:pPr>
            <w:r>
              <w:rPr>
                <w:highlight w:val="none"/>
              </w:rPr>
              <w:t>调查点</w:t>
            </w:r>
          </w:p>
          <w:p w14:paraId="203C1B40">
            <w:pPr>
              <w:pStyle w:val="22"/>
              <w:bidi w:val="0"/>
              <w:jc w:val="center"/>
              <w:rPr>
                <w:highlight w:val="none"/>
              </w:rPr>
            </w:pPr>
            <w:r>
              <w:rPr>
                <w:highlight w:val="none"/>
              </w:rPr>
              <w:t>2</w:t>
            </w:r>
          </w:p>
        </w:tc>
        <w:tc>
          <w:tcPr>
            <w:tcW w:w="666" w:type="dxa"/>
            <w:vAlign w:val="center"/>
          </w:tcPr>
          <w:p w14:paraId="1BF70A6C">
            <w:pPr>
              <w:pStyle w:val="22"/>
              <w:bidi w:val="0"/>
              <w:jc w:val="center"/>
              <w:rPr>
                <w:highlight w:val="none"/>
              </w:rPr>
            </w:pPr>
            <w:r>
              <w:rPr>
                <w:highlight w:val="none"/>
              </w:rPr>
              <w:t>调查点3</w:t>
            </w:r>
          </w:p>
        </w:tc>
        <w:tc>
          <w:tcPr>
            <w:tcW w:w="750" w:type="dxa"/>
            <w:vAlign w:val="center"/>
          </w:tcPr>
          <w:p w14:paraId="49BBAF1E">
            <w:pPr>
              <w:pStyle w:val="22"/>
              <w:bidi w:val="0"/>
              <w:jc w:val="center"/>
              <w:rPr>
                <w:highlight w:val="none"/>
              </w:rPr>
            </w:pPr>
            <w:r>
              <w:rPr>
                <w:highlight w:val="none"/>
              </w:rPr>
              <w:t>调查点4</w:t>
            </w:r>
          </w:p>
        </w:tc>
        <w:tc>
          <w:tcPr>
            <w:tcW w:w="650" w:type="dxa"/>
            <w:vAlign w:val="center"/>
          </w:tcPr>
          <w:p w14:paraId="734BB48C">
            <w:pPr>
              <w:pStyle w:val="22"/>
              <w:bidi w:val="0"/>
              <w:jc w:val="center"/>
              <w:rPr>
                <w:highlight w:val="none"/>
              </w:rPr>
            </w:pPr>
            <w:r>
              <w:rPr>
                <w:highlight w:val="none"/>
              </w:rPr>
              <w:t>调查点5</w:t>
            </w:r>
          </w:p>
        </w:tc>
        <w:tc>
          <w:tcPr>
            <w:tcW w:w="488" w:type="dxa"/>
            <w:vAlign w:val="center"/>
          </w:tcPr>
          <w:p w14:paraId="5C29878E">
            <w:pPr>
              <w:pStyle w:val="22"/>
              <w:bidi w:val="0"/>
              <w:jc w:val="center"/>
              <w:rPr>
                <w:highlight w:val="none"/>
              </w:rPr>
            </w:pPr>
            <w:r>
              <w:rPr>
                <w:highlight w:val="none"/>
              </w:rPr>
              <w:t>备注</w:t>
            </w:r>
          </w:p>
        </w:tc>
      </w:tr>
      <w:tr w14:paraId="67D6A5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3" w:hRule="atLeast"/>
        </w:trPr>
        <w:tc>
          <w:tcPr>
            <w:tcW w:w="795" w:type="dxa"/>
            <w:vAlign w:val="center"/>
          </w:tcPr>
          <w:p w14:paraId="7420DA2D">
            <w:pPr>
              <w:pStyle w:val="22"/>
              <w:bidi w:val="0"/>
              <w:jc w:val="center"/>
              <w:rPr>
                <w:highlight w:val="none"/>
              </w:rPr>
            </w:pPr>
            <w:r>
              <w:rPr>
                <w:highlight w:val="none"/>
              </w:rPr>
              <w:t>无尾目</w:t>
            </w:r>
          </w:p>
          <w:p w14:paraId="111061CE">
            <w:pPr>
              <w:pStyle w:val="22"/>
              <w:bidi w:val="0"/>
              <w:jc w:val="center"/>
              <w:rPr>
                <w:highlight w:val="none"/>
              </w:rPr>
            </w:pPr>
            <w:r>
              <w:rPr>
                <w:highlight w:val="none"/>
              </w:rPr>
              <w:t>ANURA</w:t>
            </w:r>
          </w:p>
        </w:tc>
        <w:tc>
          <w:tcPr>
            <w:tcW w:w="1133" w:type="dxa"/>
            <w:vAlign w:val="center"/>
          </w:tcPr>
          <w:p w14:paraId="0A108F33">
            <w:pPr>
              <w:pStyle w:val="22"/>
              <w:bidi w:val="0"/>
              <w:jc w:val="center"/>
              <w:rPr>
                <w:highlight w:val="none"/>
              </w:rPr>
            </w:pPr>
            <w:r>
              <w:rPr>
                <w:highlight w:val="none"/>
              </w:rPr>
              <w:t>蛙科Ranidae</w:t>
            </w:r>
          </w:p>
        </w:tc>
        <w:tc>
          <w:tcPr>
            <w:tcW w:w="948" w:type="dxa"/>
            <w:vAlign w:val="center"/>
          </w:tcPr>
          <w:p w14:paraId="1D1AB08C">
            <w:pPr>
              <w:pStyle w:val="22"/>
              <w:bidi w:val="0"/>
              <w:jc w:val="center"/>
              <w:rPr>
                <w:highlight w:val="none"/>
              </w:rPr>
            </w:pPr>
            <w:r>
              <w:rPr>
                <w:highlight w:val="none"/>
              </w:rPr>
              <w:t>高原林蛙</w:t>
            </w:r>
          </w:p>
          <w:p w14:paraId="52A9CADB">
            <w:pPr>
              <w:pStyle w:val="22"/>
              <w:bidi w:val="0"/>
              <w:jc w:val="center"/>
              <w:rPr>
                <w:highlight w:val="none"/>
              </w:rPr>
            </w:pPr>
            <w:r>
              <w:rPr>
                <w:highlight w:val="none"/>
              </w:rPr>
              <w:t>Rana</w:t>
            </w:r>
          </w:p>
          <w:p w14:paraId="42BBBB34">
            <w:pPr>
              <w:pStyle w:val="22"/>
              <w:bidi w:val="0"/>
              <w:jc w:val="center"/>
              <w:rPr>
                <w:highlight w:val="none"/>
              </w:rPr>
            </w:pPr>
            <w:r>
              <w:rPr>
                <w:highlight w:val="none"/>
              </w:rPr>
              <w:t>kukunoris</w:t>
            </w:r>
          </w:p>
        </w:tc>
        <w:tc>
          <w:tcPr>
            <w:tcW w:w="584" w:type="dxa"/>
            <w:vAlign w:val="center"/>
          </w:tcPr>
          <w:p w14:paraId="165A5BB2">
            <w:pPr>
              <w:pStyle w:val="22"/>
              <w:bidi w:val="0"/>
              <w:jc w:val="center"/>
              <w:rPr>
                <w:highlight w:val="none"/>
              </w:rPr>
            </w:pPr>
            <w:r>
              <w:rPr>
                <w:highlight w:val="none"/>
              </w:rPr>
              <w:t>P</w:t>
            </w:r>
          </w:p>
        </w:tc>
        <w:tc>
          <w:tcPr>
            <w:tcW w:w="825" w:type="dxa"/>
            <w:vAlign w:val="center"/>
          </w:tcPr>
          <w:p w14:paraId="7592B14B">
            <w:pPr>
              <w:pStyle w:val="22"/>
              <w:bidi w:val="0"/>
              <w:jc w:val="center"/>
              <w:rPr>
                <w:highlight w:val="none"/>
              </w:rPr>
            </w:pPr>
          </w:p>
        </w:tc>
        <w:tc>
          <w:tcPr>
            <w:tcW w:w="716" w:type="dxa"/>
            <w:vAlign w:val="center"/>
          </w:tcPr>
          <w:p w14:paraId="68AE51B3">
            <w:pPr>
              <w:pStyle w:val="22"/>
              <w:bidi w:val="0"/>
              <w:jc w:val="center"/>
              <w:rPr>
                <w:highlight w:val="none"/>
              </w:rPr>
            </w:pPr>
            <w:r>
              <w:rPr>
                <w:highlight w:val="none"/>
              </w:rPr>
              <w:t>LC</w:t>
            </w:r>
          </w:p>
        </w:tc>
        <w:tc>
          <w:tcPr>
            <w:tcW w:w="709" w:type="dxa"/>
            <w:vAlign w:val="center"/>
          </w:tcPr>
          <w:p w14:paraId="40E633BF">
            <w:pPr>
              <w:pStyle w:val="22"/>
              <w:bidi w:val="0"/>
              <w:jc w:val="center"/>
              <w:rPr>
                <w:highlight w:val="none"/>
              </w:rPr>
            </w:pPr>
          </w:p>
        </w:tc>
        <w:tc>
          <w:tcPr>
            <w:tcW w:w="709" w:type="dxa"/>
            <w:vAlign w:val="center"/>
          </w:tcPr>
          <w:p w14:paraId="5CA0FA23">
            <w:pPr>
              <w:pStyle w:val="22"/>
              <w:bidi w:val="0"/>
              <w:jc w:val="center"/>
              <w:rPr>
                <w:highlight w:val="none"/>
              </w:rPr>
            </w:pPr>
            <w:r>
              <w:rPr>
                <w:highlight w:val="none"/>
              </w:rPr>
              <w:t>1</w:t>
            </w:r>
          </w:p>
        </w:tc>
        <w:tc>
          <w:tcPr>
            <w:tcW w:w="666" w:type="dxa"/>
            <w:vAlign w:val="center"/>
          </w:tcPr>
          <w:p w14:paraId="53E282FF">
            <w:pPr>
              <w:pStyle w:val="22"/>
              <w:bidi w:val="0"/>
              <w:jc w:val="center"/>
              <w:rPr>
                <w:highlight w:val="none"/>
              </w:rPr>
            </w:pPr>
          </w:p>
        </w:tc>
        <w:tc>
          <w:tcPr>
            <w:tcW w:w="750" w:type="dxa"/>
            <w:vAlign w:val="center"/>
          </w:tcPr>
          <w:p w14:paraId="22417BED">
            <w:pPr>
              <w:pStyle w:val="22"/>
              <w:bidi w:val="0"/>
              <w:jc w:val="center"/>
              <w:rPr>
                <w:highlight w:val="none"/>
              </w:rPr>
            </w:pPr>
          </w:p>
        </w:tc>
        <w:tc>
          <w:tcPr>
            <w:tcW w:w="650" w:type="dxa"/>
            <w:vAlign w:val="center"/>
          </w:tcPr>
          <w:p w14:paraId="4EF6C209">
            <w:pPr>
              <w:pStyle w:val="22"/>
              <w:bidi w:val="0"/>
              <w:jc w:val="center"/>
              <w:rPr>
                <w:highlight w:val="none"/>
              </w:rPr>
            </w:pPr>
            <w:r>
              <w:rPr>
                <w:highlight w:val="none"/>
              </w:rPr>
              <w:t>2</w:t>
            </w:r>
          </w:p>
        </w:tc>
        <w:tc>
          <w:tcPr>
            <w:tcW w:w="488" w:type="dxa"/>
            <w:vAlign w:val="center"/>
          </w:tcPr>
          <w:p w14:paraId="59E86A8D">
            <w:pPr>
              <w:pStyle w:val="22"/>
              <w:bidi w:val="0"/>
              <w:jc w:val="center"/>
              <w:rPr>
                <w:highlight w:val="none"/>
              </w:rPr>
            </w:pPr>
            <w:r>
              <w:rPr>
                <w:highlight w:val="none"/>
              </w:rPr>
              <w:t>-</w:t>
            </w:r>
          </w:p>
        </w:tc>
      </w:tr>
      <w:tr w14:paraId="33ACD7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3" w:hRule="atLeast"/>
        </w:trPr>
        <w:tc>
          <w:tcPr>
            <w:tcW w:w="8973" w:type="dxa"/>
            <w:gridSpan w:val="12"/>
            <w:vAlign w:val="center"/>
          </w:tcPr>
          <w:p w14:paraId="16023E63">
            <w:pPr>
              <w:pStyle w:val="22"/>
              <w:bidi w:val="0"/>
              <w:jc w:val="both"/>
              <w:rPr>
                <w:highlight w:val="none"/>
              </w:rPr>
            </w:pPr>
            <w:r>
              <w:rPr>
                <w:rFonts w:hint="eastAsia"/>
                <w:highlight w:val="none"/>
              </w:rPr>
              <w:t>注:分类系统参照《中国两栖、爬行动物更新名录》(王剀等《生物多样性》2020 年第 02 期) ，濒危等级参照《中国生物多样性红色名 录—脊椎动物卷》(2020) 。区系中“O”表示 东洋种，“P”表示古北种，“C”表示广布种。濒危等级中“LC”表示无危， “NT”表示近危， “VU” 表示易危，“EN”表示濒危。</w:t>
            </w:r>
          </w:p>
        </w:tc>
      </w:tr>
    </w:tbl>
    <w:p w14:paraId="493A846E">
      <w:pPr>
        <w:bidi w:val="0"/>
        <w:rPr>
          <w:rFonts w:hint="default"/>
          <w:highlight w:val="none"/>
          <w:lang w:val="en-US" w:eastAsia="zh-CN"/>
        </w:rPr>
      </w:pPr>
      <w:r>
        <w:rPr>
          <w:rFonts w:hint="default"/>
          <w:highlight w:val="none"/>
          <w:lang w:val="en-US" w:eastAsia="zh-CN"/>
        </w:rPr>
        <w:t>记录和调查到的两栖类属于以下 2 种生态类型: 流溪型(溪流、湍急的河流中生活)：稻城山溪鲵、西藏齿突蟾(</w:t>
      </w:r>
      <w:r>
        <w:rPr>
          <w:rFonts w:hint="default"/>
          <w:i/>
          <w:iCs/>
          <w:highlight w:val="none"/>
          <w:lang w:val="en-US" w:eastAsia="zh-CN"/>
        </w:rPr>
        <w:t>Scutiger boulengeri</w:t>
      </w:r>
      <w:r>
        <w:rPr>
          <w:rFonts w:hint="default"/>
          <w:highlight w:val="none"/>
          <w:lang w:val="en-US" w:eastAsia="zh-CN"/>
        </w:rPr>
        <w:t>) 、胸腺齿突蟾和四川湍蛙4种，它们分布于监测区域中水流较急的小河流或山涧小溪中。陆栖型(在陆地上活动觅食)：监测区域内有西藏蟾蜍和高原林蛙 2 种。其主要生活在河流附近的林缘或草地中。静水型(在静水中活动觅食</w:t>
      </w:r>
      <w:r>
        <w:rPr>
          <w:rFonts w:hint="eastAsia"/>
          <w:highlight w:val="none"/>
          <w:lang w:val="en-US" w:eastAsia="zh-CN"/>
        </w:rPr>
        <w:t>）：</w:t>
      </w:r>
      <w:r>
        <w:rPr>
          <w:rFonts w:hint="default"/>
          <w:highlight w:val="none"/>
          <w:lang w:val="en-US" w:eastAsia="zh-CN"/>
        </w:rPr>
        <w:t>监测区域内分布有倭蛙 1 种，主要分布于监测区域内的池塘、水坑、水田及河流流速较缓处等。</w:t>
      </w:r>
    </w:p>
    <w:p w14:paraId="53A25702">
      <w:pPr>
        <w:bidi w:val="0"/>
        <w:rPr>
          <w:rFonts w:hint="default"/>
          <w:highlight w:val="none"/>
          <w:lang w:val="en-US" w:eastAsia="zh-CN"/>
        </w:rPr>
      </w:pPr>
      <w:r>
        <w:rPr>
          <w:rFonts w:hint="default"/>
          <w:highlight w:val="none"/>
          <w:lang w:val="en-US" w:eastAsia="zh-CN"/>
        </w:rPr>
        <w:t>按区系类型划分，将以上 7 种两栖类分为 3 种区系类型：东洋种2 种， 占 监 测区域两栖动物总种数的 28.57%；广布种 4 种， 占 57. 14%；古北种 1 种， 占 14.29% 。监测区域处于古北界和东洋界的交界处，靠近东洋界一侧，两栖类 的迁 移能力和对环境的适应能力较差，因此，监测区域以东洋界种类和两界分 布的种类占优势。</w:t>
      </w:r>
    </w:p>
    <w:p w14:paraId="719A5C6D">
      <w:pPr>
        <w:numPr>
          <w:ilvl w:val="0"/>
          <w:numId w:val="24"/>
        </w:numPr>
        <w:bidi w:val="0"/>
        <w:ind w:left="0" w:leftChars="0" w:firstLine="480" w:firstLineChars="200"/>
        <w:rPr>
          <w:rFonts w:hint="default"/>
          <w:b/>
          <w:bCs/>
          <w:highlight w:val="none"/>
          <w:lang w:val="en-US" w:eastAsia="zh-CN"/>
        </w:rPr>
      </w:pPr>
      <w:r>
        <w:rPr>
          <w:rFonts w:hint="default"/>
          <w:b/>
          <w:bCs/>
          <w:highlight w:val="none"/>
          <w:lang w:val="en-US" w:eastAsia="zh-CN"/>
        </w:rPr>
        <w:t>爬行类</w:t>
      </w:r>
    </w:p>
    <w:p w14:paraId="0F0295F5">
      <w:pPr>
        <w:bidi w:val="0"/>
        <w:rPr>
          <w:rFonts w:hint="default"/>
          <w:highlight w:val="none"/>
          <w:lang w:val="en-US" w:eastAsia="zh-CN"/>
        </w:rPr>
      </w:pPr>
      <w:r>
        <w:rPr>
          <w:rFonts w:hint="default"/>
          <w:highlight w:val="none"/>
          <w:lang w:val="en-US" w:eastAsia="zh-CN"/>
        </w:rPr>
        <w:t>本次调查主要通过样线法调查，在夜间通过规划好的样线(每个监测区域1条)，对爬行类开展专项调查，在白天采取随机抽样的形式，翻开石块等覆盖物检视其下是否存在爬行类个体；另外结合调查访问，走访当地老百姓，对以上方法的调查结果进行验证。</w:t>
      </w:r>
    </w:p>
    <w:p w14:paraId="3DD01282">
      <w:pPr>
        <w:bidi w:val="0"/>
        <w:rPr>
          <w:rFonts w:hint="default"/>
          <w:highlight w:val="none"/>
          <w:lang w:val="en-US" w:eastAsia="zh-CN"/>
        </w:rPr>
      </w:pPr>
      <w:r>
        <w:rPr>
          <w:rFonts w:hint="default"/>
          <w:highlight w:val="none"/>
          <w:lang w:val="en-US" w:eastAsia="zh-CN"/>
        </w:rPr>
        <w:t>本次调查共记录到爬行类 1 目 7 科 8 种，现场目击 1  目 1 科 1 种，即草绿龙蜥(</w:t>
      </w:r>
      <w:r>
        <w:rPr>
          <w:rFonts w:hint="default"/>
          <w:i/>
          <w:iCs/>
          <w:highlight w:val="none"/>
          <w:lang w:val="en-US" w:eastAsia="zh-CN"/>
        </w:rPr>
        <w:t>Diploderma flaviceps</w:t>
      </w:r>
      <w:r>
        <w:rPr>
          <w:rFonts w:hint="default"/>
          <w:highlight w:val="none"/>
          <w:lang w:val="en-US" w:eastAsia="zh-CN"/>
        </w:rPr>
        <w:t>) 。本次记录到的爬行类中，无国家、四川省重点保护野生动物。根据《中国生物多样性红色名录》，有 1 种列入“易危(VU)”物种，即黑眉锦蛇(</w:t>
      </w:r>
      <w:r>
        <w:rPr>
          <w:rFonts w:hint="default"/>
          <w:i/>
          <w:iCs/>
          <w:highlight w:val="none"/>
          <w:lang w:val="en-US" w:eastAsia="zh-CN"/>
        </w:rPr>
        <w:t>Elaphe taeniurus</w:t>
      </w:r>
      <w:r>
        <w:rPr>
          <w:rFonts w:hint="default"/>
          <w:highlight w:val="none"/>
          <w:lang w:val="en-US" w:eastAsia="zh-CN"/>
        </w:rPr>
        <w:t>) ，有 2 种列入“近危(NT)”物种，即草绿龙蜥和高原蝮(</w:t>
      </w:r>
      <w:r>
        <w:rPr>
          <w:rFonts w:hint="default"/>
          <w:i/>
          <w:iCs/>
          <w:highlight w:val="none"/>
          <w:lang w:val="en-US" w:eastAsia="zh-CN"/>
        </w:rPr>
        <w:t>Gloydius strauchi</w:t>
      </w:r>
      <w:r>
        <w:rPr>
          <w:rFonts w:hint="default"/>
          <w:highlight w:val="none"/>
          <w:lang w:val="en-US" w:eastAsia="zh-CN"/>
        </w:rPr>
        <w:t>) ，其余为“LC(无危)”物种；有中国特有种 5 种，分别为康定滑蜥(</w:t>
      </w:r>
      <w:r>
        <w:rPr>
          <w:rFonts w:hint="default"/>
          <w:i/>
          <w:iCs/>
          <w:highlight w:val="none"/>
          <w:lang w:val="en-US" w:eastAsia="zh-CN"/>
        </w:rPr>
        <w:t>Scincella potanini</w:t>
      </w:r>
      <w:r>
        <w:rPr>
          <w:rFonts w:hint="default"/>
          <w:highlight w:val="none"/>
          <w:lang w:val="en-US" w:eastAsia="zh-CN"/>
        </w:rPr>
        <w:t>) 、草绿龙蜥、高原蝮和棕网腹链蛇(</w:t>
      </w:r>
      <w:r>
        <w:rPr>
          <w:rFonts w:hint="default"/>
          <w:i/>
          <w:iCs/>
          <w:highlight w:val="none"/>
          <w:lang w:val="en-US" w:eastAsia="zh-CN"/>
        </w:rPr>
        <w:t>Hebius johannis</w:t>
      </w:r>
      <w:r>
        <w:rPr>
          <w:rFonts w:hint="default"/>
          <w:highlight w:val="none"/>
          <w:lang w:val="en-US" w:eastAsia="zh-CN"/>
        </w:rPr>
        <w:t>)、乡城原矛头蝮（</w:t>
      </w:r>
      <w:r>
        <w:rPr>
          <w:rFonts w:hint="default"/>
          <w:i/>
          <w:iCs/>
          <w:highlight w:val="none"/>
          <w:lang w:val="en-US" w:eastAsia="zh-CN"/>
        </w:rPr>
        <w:t>Protobothrops xiangchengensis</w:t>
      </w:r>
      <w:r>
        <w:rPr>
          <w:rFonts w:hint="default"/>
          <w:highlight w:val="none"/>
          <w:lang w:val="en-US" w:eastAsia="zh-CN"/>
        </w:rPr>
        <w:t>）。</w:t>
      </w:r>
    </w:p>
    <w:p w14:paraId="4B316BBB">
      <w:pPr>
        <w:bidi w:val="0"/>
        <w:rPr>
          <w:rFonts w:hint="default"/>
          <w:highlight w:val="none"/>
          <w:lang w:val="en-US" w:eastAsia="zh-CN"/>
        </w:rPr>
      </w:pPr>
      <w:r>
        <w:rPr>
          <w:rFonts w:hint="default"/>
          <w:highlight w:val="none"/>
          <w:lang w:val="en-US" w:eastAsia="zh-CN"/>
        </w:rPr>
        <w:t>本次爬行类实地调查结果见下表，名录见附录。</w:t>
      </w:r>
    </w:p>
    <w:p w14:paraId="0C64F791">
      <w:pPr>
        <w:pStyle w:val="11"/>
        <w:bidi w:val="0"/>
        <w:ind w:left="0" w:leftChars="0" w:firstLine="0" w:firstLineChars="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34</w:t>
      </w:r>
      <w:r>
        <w:rPr>
          <w:highlight w:val="none"/>
        </w:rPr>
        <w:fldChar w:fldCharType="end"/>
      </w:r>
      <w:r>
        <w:rPr>
          <w:rFonts w:hint="eastAsia"/>
          <w:highlight w:val="none"/>
          <w:lang w:val="en-US" w:eastAsia="zh-CN"/>
        </w:rPr>
        <w:t xml:space="preserve"> </w:t>
      </w:r>
      <w:r>
        <w:rPr>
          <w:rFonts w:hint="default"/>
          <w:highlight w:val="none"/>
          <w:lang w:val="en-US" w:eastAsia="zh-CN"/>
        </w:rPr>
        <w:t>爬行类现场调查数据统计表</w:t>
      </w:r>
    </w:p>
    <w:tbl>
      <w:tblPr>
        <w:tblStyle w:val="24"/>
        <w:tblW w:w="8973" w:type="dxa"/>
        <w:tblInd w:w="10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5"/>
        <w:gridCol w:w="1133"/>
        <w:gridCol w:w="948"/>
        <w:gridCol w:w="805"/>
        <w:gridCol w:w="753"/>
        <w:gridCol w:w="567"/>
        <w:gridCol w:w="709"/>
        <w:gridCol w:w="709"/>
        <w:gridCol w:w="849"/>
        <w:gridCol w:w="567"/>
        <w:gridCol w:w="562"/>
        <w:gridCol w:w="576"/>
      </w:tblGrid>
      <w:tr w14:paraId="4319FE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795" w:type="dxa"/>
            <w:vMerge w:val="restart"/>
            <w:tcBorders>
              <w:bottom w:val="nil"/>
            </w:tcBorders>
            <w:vAlign w:val="center"/>
          </w:tcPr>
          <w:p w14:paraId="6EC632A8">
            <w:pPr>
              <w:pStyle w:val="22"/>
              <w:bidi w:val="0"/>
              <w:jc w:val="center"/>
              <w:rPr>
                <w:highlight w:val="none"/>
              </w:rPr>
            </w:pPr>
            <w:r>
              <w:rPr>
                <w:highlight w:val="none"/>
              </w:rPr>
              <w:t>目</w:t>
            </w:r>
          </w:p>
        </w:tc>
        <w:tc>
          <w:tcPr>
            <w:tcW w:w="1133" w:type="dxa"/>
            <w:vMerge w:val="restart"/>
            <w:tcBorders>
              <w:bottom w:val="nil"/>
            </w:tcBorders>
            <w:vAlign w:val="center"/>
          </w:tcPr>
          <w:p w14:paraId="66C0F6FC">
            <w:pPr>
              <w:pStyle w:val="22"/>
              <w:bidi w:val="0"/>
              <w:jc w:val="center"/>
              <w:rPr>
                <w:highlight w:val="none"/>
              </w:rPr>
            </w:pPr>
            <w:r>
              <w:rPr>
                <w:highlight w:val="none"/>
              </w:rPr>
              <w:t>科</w:t>
            </w:r>
          </w:p>
        </w:tc>
        <w:tc>
          <w:tcPr>
            <w:tcW w:w="948" w:type="dxa"/>
            <w:vMerge w:val="restart"/>
            <w:tcBorders>
              <w:bottom w:val="nil"/>
            </w:tcBorders>
            <w:vAlign w:val="center"/>
          </w:tcPr>
          <w:p w14:paraId="06096BAC">
            <w:pPr>
              <w:pStyle w:val="22"/>
              <w:bidi w:val="0"/>
              <w:jc w:val="center"/>
              <w:rPr>
                <w:highlight w:val="none"/>
              </w:rPr>
            </w:pPr>
            <w:r>
              <w:rPr>
                <w:highlight w:val="none"/>
              </w:rPr>
              <w:t>种</w:t>
            </w:r>
          </w:p>
        </w:tc>
        <w:tc>
          <w:tcPr>
            <w:tcW w:w="805" w:type="dxa"/>
            <w:vMerge w:val="restart"/>
            <w:tcBorders>
              <w:bottom w:val="nil"/>
            </w:tcBorders>
            <w:vAlign w:val="center"/>
          </w:tcPr>
          <w:p w14:paraId="40384836">
            <w:pPr>
              <w:pStyle w:val="22"/>
              <w:bidi w:val="0"/>
              <w:jc w:val="center"/>
              <w:rPr>
                <w:highlight w:val="none"/>
              </w:rPr>
            </w:pPr>
            <w:r>
              <w:rPr>
                <w:highlight w:val="none"/>
              </w:rPr>
              <w:t>区系类 型</w:t>
            </w:r>
          </w:p>
        </w:tc>
        <w:tc>
          <w:tcPr>
            <w:tcW w:w="753" w:type="dxa"/>
            <w:vMerge w:val="restart"/>
            <w:tcBorders>
              <w:bottom w:val="nil"/>
            </w:tcBorders>
            <w:vAlign w:val="center"/>
          </w:tcPr>
          <w:p w14:paraId="35E29CFA">
            <w:pPr>
              <w:pStyle w:val="22"/>
              <w:bidi w:val="0"/>
              <w:jc w:val="center"/>
              <w:rPr>
                <w:highlight w:val="none"/>
              </w:rPr>
            </w:pPr>
            <w:r>
              <w:rPr>
                <w:highlight w:val="none"/>
              </w:rPr>
              <w:t>保护级 别</w:t>
            </w:r>
          </w:p>
        </w:tc>
        <w:tc>
          <w:tcPr>
            <w:tcW w:w="567" w:type="dxa"/>
            <w:vMerge w:val="restart"/>
            <w:tcBorders>
              <w:bottom w:val="nil"/>
            </w:tcBorders>
            <w:vAlign w:val="center"/>
          </w:tcPr>
          <w:p w14:paraId="619AE17B">
            <w:pPr>
              <w:pStyle w:val="22"/>
              <w:bidi w:val="0"/>
              <w:jc w:val="center"/>
              <w:rPr>
                <w:highlight w:val="none"/>
              </w:rPr>
            </w:pPr>
            <w:r>
              <w:rPr>
                <w:highlight w:val="none"/>
              </w:rPr>
              <w:t>濒危</w:t>
            </w:r>
          </w:p>
          <w:p w14:paraId="5090FC7A">
            <w:pPr>
              <w:pStyle w:val="22"/>
              <w:bidi w:val="0"/>
              <w:jc w:val="center"/>
              <w:rPr>
                <w:highlight w:val="none"/>
              </w:rPr>
            </w:pPr>
            <w:r>
              <w:rPr>
                <w:highlight w:val="none"/>
              </w:rPr>
              <w:t>等级</w:t>
            </w:r>
          </w:p>
        </w:tc>
        <w:tc>
          <w:tcPr>
            <w:tcW w:w="3972" w:type="dxa"/>
            <w:gridSpan w:val="6"/>
            <w:vAlign w:val="center"/>
          </w:tcPr>
          <w:p w14:paraId="0B24F771">
            <w:pPr>
              <w:pStyle w:val="22"/>
              <w:bidi w:val="0"/>
              <w:jc w:val="center"/>
              <w:rPr>
                <w:highlight w:val="none"/>
              </w:rPr>
            </w:pPr>
            <w:r>
              <w:rPr>
                <w:highlight w:val="none"/>
              </w:rPr>
              <w:t>分布与数量</w:t>
            </w:r>
          </w:p>
        </w:tc>
      </w:tr>
      <w:tr w14:paraId="17BC7A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6" w:hRule="atLeast"/>
        </w:trPr>
        <w:tc>
          <w:tcPr>
            <w:tcW w:w="795" w:type="dxa"/>
            <w:vMerge w:val="continue"/>
            <w:tcBorders>
              <w:top w:val="nil"/>
            </w:tcBorders>
            <w:vAlign w:val="center"/>
          </w:tcPr>
          <w:p w14:paraId="132173AF">
            <w:pPr>
              <w:pStyle w:val="22"/>
              <w:bidi w:val="0"/>
              <w:jc w:val="center"/>
              <w:rPr>
                <w:highlight w:val="none"/>
              </w:rPr>
            </w:pPr>
          </w:p>
        </w:tc>
        <w:tc>
          <w:tcPr>
            <w:tcW w:w="1133" w:type="dxa"/>
            <w:vMerge w:val="continue"/>
            <w:tcBorders>
              <w:top w:val="nil"/>
            </w:tcBorders>
            <w:vAlign w:val="center"/>
          </w:tcPr>
          <w:p w14:paraId="524A89A6">
            <w:pPr>
              <w:pStyle w:val="22"/>
              <w:bidi w:val="0"/>
              <w:jc w:val="center"/>
              <w:rPr>
                <w:highlight w:val="none"/>
              </w:rPr>
            </w:pPr>
          </w:p>
        </w:tc>
        <w:tc>
          <w:tcPr>
            <w:tcW w:w="948" w:type="dxa"/>
            <w:vMerge w:val="continue"/>
            <w:tcBorders>
              <w:top w:val="nil"/>
            </w:tcBorders>
            <w:vAlign w:val="center"/>
          </w:tcPr>
          <w:p w14:paraId="76748BC6">
            <w:pPr>
              <w:pStyle w:val="22"/>
              <w:bidi w:val="0"/>
              <w:jc w:val="center"/>
              <w:rPr>
                <w:highlight w:val="none"/>
              </w:rPr>
            </w:pPr>
          </w:p>
        </w:tc>
        <w:tc>
          <w:tcPr>
            <w:tcW w:w="805" w:type="dxa"/>
            <w:vMerge w:val="continue"/>
            <w:tcBorders>
              <w:top w:val="nil"/>
            </w:tcBorders>
            <w:vAlign w:val="center"/>
          </w:tcPr>
          <w:p w14:paraId="154601F5">
            <w:pPr>
              <w:pStyle w:val="22"/>
              <w:bidi w:val="0"/>
              <w:jc w:val="center"/>
              <w:rPr>
                <w:highlight w:val="none"/>
              </w:rPr>
            </w:pPr>
          </w:p>
        </w:tc>
        <w:tc>
          <w:tcPr>
            <w:tcW w:w="753" w:type="dxa"/>
            <w:vMerge w:val="continue"/>
            <w:tcBorders>
              <w:top w:val="nil"/>
            </w:tcBorders>
            <w:vAlign w:val="center"/>
          </w:tcPr>
          <w:p w14:paraId="4E56FC5A">
            <w:pPr>
              <w:pStyle w:val="22"/>
              <w:bidi w:val="0"/>
              <w:jc w:val="center"/>
              <w:rPr>
                <w:highlight w:val="none"/>
              </w:rPr>
            </w:pPr>
          </w:p>
        </w:tc>
        <w:tc>
          <w:tcPr>
            <w:tcW w:w="567" w:type="dxa"/>
            <w:vMerge w:val="continue"/>
            <w:tcBorders>
              <w:top w:val="nil"/>
            </w:tcBorders>
            <w:vAlign w:val="center"/>
          </w:tcPr>
          <w:p w14:paraId="714ABC8D">
            <w:pPr>
              <w:pStyle w:val="22"/>
              <w:bidi w:val="0"/>
              <w:jc w:val="center"/>
              <w:rPr>
                <w:highlight w:val="none"/>
              </w:rPr>
            </w:pPr>
          </w:p>
        </w:tc>
        <w:tc>
          <w:tcPr>
            <w:tcW w:w="709" w:type="dxa"/>
            <w:vAlign w:val="center"/>
          </w:tcPr>
          <w:p w14:paraId="628A09D0">
            <w:pPr>
              <w:pStyle w:val="22"/>
              <w:bidi w:val="0"/>
              <w:jc w:val="center"/>
              <w:rPr>
                <w:highlight w:val="none"/>
              </w:rPr>
            </w:pPr>
            <w:r>
              <w:rPr>
                <w:highlight w:val="none"/>
              </w:rPr>
              <w:t>调查点</w:t>
            </w:r>
          </w:p>
          <w:p w14:paraId="512CF250">
            <w:pPr>
              <w:pStyle w:val="22"/>
              <w:bidi w:val="0"/>
              <w:jc w:val="center"/>
              <w:rPr>
                <w:highlight w:val="none"/>
              </w:rPr>
            </w:pPr>
            <w:r>
              <w:rPr>
                <w:highlight w:val="none"/>
              </w:rPr>
              <w:t>1</w:t>
            </w:r>
          </w:p>
        </w:tc>
        <w:tc>
          <w:tcPr>
            <w:tcW w:w="709" w:type="dxa"/>
            <w:vAlign w:val="center"/>
          </w:tcPr>
          <w:p w14:paraId="6CFF52FE">
            <w:pPr>
              <w:pStyle w:val="22"/>
              <w:bidi w:val="0"/>
              <w:jc w:val="center"/>
              <w:rPr>
                <w:highlight w:val="none"/>
              </w:rPr>
            </w:pPr>
            <w:r>
              <w:rPr>
                <w:highlight w:val="none"/>
              </w:rPr>
              <w:t>调查点</w:t>
            </w:r>
          </w:p>
          <w:p w14:paraId="4174EFD0">
            <w:pPr>
              <w:pStyle w:val="22"/>
              <w:bidi w:val="0"/>
              <w:jc w:val="center"/>
              <w:rPr>
                <w:highlight w:val="none"/>
              </w:rPr>
            </w:pPr>
            <w:r>
              <w:rPr>
                <w:highlight w:val="none"/>
              </w:rPr>
              <w:t>2</w:t>
            </w:r>
          </w:p>
        </w:tc>
        <w:tc>
          <w:tcPr>
            <w:tcW w:w="849" w:type="dxa"/>
            <w:vAlign w:val="center"/>
          </w:tcPr>
          <w:p w14:paraId="3E28F62C">
            <w:pPr>
              <w:pStyle w:val="22"/>
              <w:bidi w:val="0"/>
              <w:jc w:val="center"/>
              <w:rPr>
                <w:highlight w:val="none"/>
              </w:rPr>
            </w:pPr>
          </w:p>
          <w:p w14:paraId="16B57051">
            <w:pPr>
              <w:pStyle w:val="22"/>
              <w:bidi w:val="0"/>
              <w:jc w:val="center"/>
              <w:rPr>
                <w:highlight w:val="none"/>
              </w:rPr>
            </w:pPr>
            <w:r>
              <w:rPr>
                <w:highlight w:val="none"/>
              </w:rPr>
              <w:t>调查点3</w:t>
            </w:r>
          </w:p>
        </w:tc>
        <w:tc>
          <w:tcPr>
            <w:tcW w:w="567" w:type="dxa"/>
            <w:vAlign w:val="center"/>
          </w:tcPr>
          <w:p w14:paraId="5F0D5AF4">
            <w:pPr>
              <w:pStyle w:val="22"/>
              <w:bidi w:val="0"/>
              <w:jc w:val="center"/>
              <w:rPr>
                <w:highlight w:val="none"/>
              </w:rPr>
            </w:pPr>
            <w:r>
              <w:rPr>
                <w:highlight w:val="none"/>
              </w:rPr>
              <w:t>调查</w:t>
            </w:r>
          </w:p>
          <w:p w14:paraId="2E54C901">
            <w:pPr>
              <w:pStyle w:val="22"/>
              <w:bidi w:val="0"/>
              <w:jc w:val="center"/>
              <w:rPr>
                <w:highlight w:val="none"/>
              </w:rPr>
            </w:pPr>
            <w:r>
              <w:rPr>
                <w:highlight w:val="none"/>
              </w:rPr>
              <w:t>点4</w:t>
            </w:r>
          </w:p>
        </w:tc>
        <w:tc>
          <w:tcPr>
            <w:tcW w:w="562" w:type="dxa"/>
            <w:vAlign w:val="center"/>
          </w:tcPr>
          <w:p w14:paraId="3647E8E4">
            <w:pPr>
              <w:pStyle w:val="22"/>
              <w:bidi w:val="0"/>
              <w:jc w:val="center"/>
              <w:rPr>
                <w:highlight w:val="none"/>
              </w:rPr>
            </w:pPr>
            <w:r>
              <w:rPr>
                <w:highlight w:val="none"/>
              </w:rPr>
              <w:t>调查</w:t>
            </w:r>
          </w:p>
          <w:p w14:paraId="4BA8E37E">
            <w:pPr>
              <w:pStyle w:val="22"/>
              <w:bidi w:val="0"/>
              <w:jc w:val="center"/>
              <w:rPr>
                <w:highlight w:val="none"/>
              </w:rPr>
            </w:pPr>
            <w:r>
              <w:rPr>
                <w:highlight w:val="none"/>
              </w:rPr>
              <w:t>点5</w:t>
            </w:r>
          </w:p>
        </w:tc>
        <w:tc>
          <w:tcPr>
            <w:tcW w:w="576" w:type="dxa"/>
            <w:vAlign w:val="center"/>
          </w:tcPr>
          <w:p w14:paraId="2D3F398C">
            <w:pPr>
              <w:pStyle w:val="22"/>
              <w:bidi w:val="0"/>
              <w:jc w:val="center"/>
              <w:rPr>
                <w:highlight w:val="none"/>
              </w:rPr>
            </w:pPr>
            <w:r>
              <w:rPr>
                <w:highlight w:val="none"/>
              </w:rPr>
              <w:t>备注</w:t>
            </w:r>
          </w:p>
        </w:tc>
      </w:tr>
      <w:tr w14:paraId="14F3F8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3" w:hRule="atLeast"/>
        </w:trPr>
        <w:tc>
          <w:tcPr>
            <w:tcW w:w="795" w:type="dxa"/>
            <w:vAlign w:val="center"/>
          </w:tcPr>
          <w:p w14:paraId="193484B7">
            <w:pPr>
              <w:pStyle w:val="22"/>
              <w:bidi w:val="0"/>
              <w:jc w:val="center"/>
              <w:rPr>
                <w:highlight w:val="none"/>
              </w:rPr>
            </w:pPr>
            <w:r>
              <w:rPr>
                <w:highlight w:val="none"/>
              </w:rPr>
              <w:t>有鳞目 SQUAM</w:t>
            </w:r>
          </w:p>
          <w:p w14:paraId="050AEB53">
            <w:pPr>
              <w:pStyle w:val="22"/>
              <w:bidi w:val="0"/>
              <w:jc w:val="center"/>
              <w:rPr>
                <w:highlight w:val="none"/>
              </w:rPr>
            </w:pPr>
            <w:r>
              <w:rPr>
                <w:highlight w:val="none"/>
              </w:rPr>
              <w:t>ATA</w:t>
            </w:r>
          </w:p>
        </w:tc>
        <w:tc>
          <w:tcPr>
            <w:tcW w:w="1133" w:type="dxa"/>
            <w:vAlign w:val="center"/>
          </w:tcPr>
          <w:p w14:paraId="76E58E11">
            <w:pPr>
              <w:pStyle w:val="22"/>
              <w:bidi w:val="0"/>
              <w:jc w:val="center"/>
              <w:rPr>
                <w:highlight w:val="none"/>
              </w:rPr>
            </w:pPr>
            <w:r>
              <w:rPr>
                <w:highlight w:val="none"/>
              </w:rPr>
              <w:t>鬣蜥科  Agamidae</w:t>
            </w:r>
          </w:p>
        </w:tc>
        <w:tc>
          <w:tcPr>
            <w:tcW w:w="948" w:type="dxa"/>
            <w:vAlign w:val="center"/>
          </w:tcPr>
          <w:p w14:paraId="092D7508">
            <w:pPr>
              <w:pStyle w:val="22"/>
              <w:bidi w:val="0"/>
              <w:jc w:val="center"/>
              <w:rPr>
                <w:highlight w:val="none"/>
              </w:rPr>
            </w:pPr>
            <w:r>
              <w:rPr>
                <w:highlight w:val="none"/>
              </w:rPr>
              <w:t>草绿龙蜥 Japalura</w:t>
            </w:r>
          </w:p>
          <w:p w14:paraId="56687A59">
            <w:pPr>
              <w:pStyle w:val="22"/>
              <w:bidi w:val="0"/>
              <w:jc w:val="center"/>
              <w:rPr>
                <w:highlight w:val="none"/>
              </w:rPr>
            </w:pPr>
            <w:r>
              <w:rPr>
                <w:highlight w:val="none"/>
              </w:rPr>
              <w:t>flaviceps</w:t>
            </w:r>
          </w:p>
        </w:tc>
        <w:tc>
          <w:tcPr>
            <w:tcW w:w="805" w:type="dxa"/>
            <w:vAlign w:val="center"/>
          </w:tcPr>
          <w:p w14:paraId="1D4914E8">
            <w:pPr>
              <w:pStyle w:val="22"/>
              <w:bidi w:val="0"/>
              <w:jc w:val="center"/>
              <w:rPr>
                <w:highlight w:val="none"/>
              </w:rPr>
            </w:pPr>
            <w:r>
              <w:rPr>
                <w:highlight w:val="none"/>
              </w:rPr>
              <w:t>O</w:t>
            </w:r>
          </w:p>
        </w:tc>
        <w:tc>
          <w:tcPr>
            <w:tcW w:w="753" w:type="dxa"/>
            <w:vAlign w:val="center"/>
          </w:tcPr>
          <w:p w14:paraId="65EE4634">
            <w:pPr>
              <w:pStyle w:val="22"/>
              <w:bidi w:val="0"/>
              <w:jc w:val="center"/>
              <w:rPr>
                <w:highlight w:val="none"/>
              </w:rPr>
            </w:pPr>
          </w:p>
        </w:tc>
        <w:tc>
          <w:tcPr>
            <w:tcW w:w="567" w:type="dxa"/>
            <w:vAlign w:val="center"/>
          </w:tcPr>
          <w:p w14:paraId="59D6FC8A">
            <w:pPr>
              <w:pStyle w:val="22"/>
              <w:bidi w:val="0"/>
              <w:jc w:val="center"/>
              <w:rPr>
                <w:highlight w:val="none"/>
              </w:rPr>
            </w:pPr>
            <w:r>
              <w:rPr>
                <w:highlight w:val="none"/>
              </w:rPr>
              <w:t>NT</w:t>
            </w:r>
          </w:p>
        </w:tc>
        <w:tc>
          <w:tcPr>
            <w:tcW w:w="709" w:type="dxa"/>
            <w:vAlign w:val="center"/>
          </w:tcPr>
          <w:p w14:paraId="11C00D93">
            <w:pPr>
              <w:pStyle w:val="22"/>
              <w:bidi w:val="0"/>
              <w:jc w:val="center"/>
              <w:rPr>
                <w:highlight w:val="none"/>
              </w:rPr>
            </w:pPr>
            <w:r>
              <w:rPr>
                <w:highlight w:val="none"/>
              </w:rPr>
              <w:t>1</w:t>
            </w:r>
          </w:p>
        </w:tc>
        <w:tc>
          <w:tcPr>
            <w:tcW w:w="709" w:type="dxa"/>
            <w:vAlign w:val="center"/>
          </w:tcPr>
          <w:p w14:paraId="7CF21A57">
            <w:pPr>
              <w:pStyle w:val="22"/>
              <w:bidi w:val="0"/>
              <w:jc w:val="center"/>
              <w:rPr>
                <w:highlight w:val="none"/>
              </w:rPr>
            </w:pPr>
          </w:p>
        </w:tc>
        <w:tc>
          <w:tcPr>
            <w:tcW w:w="849" w:type="dxa"/>
            <w:vAlign w:val="center"/>
          </w:tcPr>
          <w:p w14:paraId="77BB85E5">
            <w:pPr>
              <w:pStyle w:val="22"/>
              <w:bidi w:val="0"/>
              <w:jc w:val="center"/>
              <w:rPr>
                <w:highlight w:val="none"/>
              </w:rPr>
            </w:pPr>
            <w:r>
              <w:rPr>
                <w:highlight w:val="none"/>
              </w:rPr>
              <w:t>2</w:t>
            </w:r>
          </w:p>
        </w:tc>
        <w:tc>
          <w:tcPr>
            <w:tcW w:w="567" w:type="dxa"/>
            <w:vAlign w:val="center"/>
          </w:tcPr>
          <w:p w14:paraId="0B629964">
            <w:pPr>
              <w:pStyle w:val="22"/>
              <w:bidi w:val="0"/>
              <w:jc w:val="center"/>
              <w:rPr>
                <w:highlight w:val="none"/>
              </w:rPr>
            </w:pPr>
          </w:p>
        </w:tc>
        <w:tc>
          <w:tcPr>
            <w:tcW w:w="562" w:type="dxa"/>
            <w:vAlign w:val="center"/>
          </w:tcPr>
          <w:p w14:paraId="38BC7A2B">
            <w:pPr>
              <w:pStyle w:val="22"/>
              <w:bidi w:val="0"/>
              <w:jc w:val="center"/>
              <w:rPr>
                <w:highlight w:val="none"/>
              </w:rPr>
            </w:pPr>
          </w:p>
        </w:tc>
        <w:tc>
          <w:tcPr>
            <w:tcW w:w="576" w:type="dxa"/>
            <w:vAlign w:val="center"/>
          </w:tcPr>
          <w:p w14:paraId="2C44BE79">
            <w:pPr>
              <w:pStyle w:val="22"/>
              <w:bidi w:val="0"/>
              <w:jc w:val="center"/>
              <w:rPr>
                <w:highlight w:val="none"/>
              </w:rPr>
            </w:pPr>
            <w:r>
              <w:rPr>
                <w:highlight w:val="none"/>
              </w:rPr>
              <w:t>-</w:t>
            </w:r>
          </w:p>
        </w:tc>
      </w:tr>
    </w:tbl>
    <w:p w14:paraId="5082D916">
      <w:pPr>
        <w:ind w:left="0" w:leftChars="0" w:firstLine="0" w:firstLineChars="0"/>
        <w:rPr>
          <w:rFonts w:hint="default"/>
          <w:highlight w:val="none"/>
          <w:lang w:val="en-US" w:eastAsia="zh-CN"/>
        </w:rPr>
      </w:pPr>
    </w:p>
    <w:p w14:paraId="4BC584BB">
      <w:pPr>
        <w:bidi w:val="0"/>
        <w:rPr>
          <w:rFonts w:hint="default"/>
          <w:highlight w:val="none"/>
          <w:lang w:val="en-US" w:eastAsia="zh-CN"/>
        </w:rPr>
      </w:pPr>
      <w:r>
        <w:rPr>
          <w:rFonts w:hint="default"/>
          <w:highlight w:val="none"/>
          <w:lang w:val="en-US" w:eastAsia="zh-CN"/>
        </w:rPr>
        <w:t>本次记录和访问到的 8 种爬行类属于以下生态类型：灌丛石隙型(经常活动在灌丛下面，路边石缝中的爬行类)：包括康定滑蜥、草绿龙蜥、菜花原矛头蝮(Protobothrops jerdonii) 、高原蝮和大眼斜鳞蛇 (Pseudoxenodon macrops)6 种。</w:t>
      </w:r>
    </w:p>
    <w:p w14:paraId="342F8BE7">
      <w:pPr>
        <w:bidi w:val="0"/>
        <w:rPr>
          <w:rFonts w:hint="default"/>
          <w:highlight w:val="none"/>
          <w:lang w:val="en-US" w:eastAsia="zh-CN"/>
        </w:rPr>
      </w:pPr>
      <w:r>
        <w:rPr>
          <w:rFonts w:hint="default"/>
          <w:highlight w:val="none"/>
          <w:lang w:val="en-US" w:eastAsia="zh-CN"/>
        </w:rPr>
        <w:t>主要在监测区域的灌丛、灌草丛中及其中的乱 石堆等生境中活动。林栖傍水型(在山谷间有溪流的山坡上活动)：包括黑眉锦蛇和棕网腹链蛇 2 种。主要在监测范围潮湿的林下等地活动。</w:t>
      </w:r>
    </w:p>
    <w:p w14:paraId="09C78721">
      <w:pPr>
        <w:bidi w:val="0"/>
        <w:rPr>
          <w:rFonts w:hint="default"/>
          <w:highlight w:val="none"/>
          <w:lang w:val="en-US" w:eastAsia="zh-CN"/>
        </w:rPr>
      </w:pPr>
      <w:r>
        <w:rPr>
          <w:rFonts w:hint="default"/>
          <w:highlight w:val="none"/>
          <w:lang w:val="en-US" w:eastAsia="zh-CN"/>
        </w:rPr>
        <w:t>按区系类型划分，将以上 8 种爬行类分为 2 种区系类型：东洋种5 种， 占监测区域两栖动物总种数的 62.5%；广布种 3 种，占 37.5% ，无古北种分布监测区域处于古北界和东洋界的交界处，靠近东洋界一侧，爬行类的迁移能力和对环境的适应能力较差。因此，监测区域以东洋界种类和两界分布的种类占优势。</w:t>
      </w:r>
    </w:p>
    <w:p w14:paraId="6160D452">
      <w:pPr>
        <w:bidi w:val="0"/>
        <w:rPr>
          <w:rFonts w:hint="default"/>
          <w:b/>
          <w:bCs/>
          <w:highlight w:val="none"/>
          <w:lang w:val="en-US" w:eastAsia="zh-CN"/>
        </w:rPr>
      </w:pPr>
      <w:r>
        <w:rPr>
          <w:rFonts w:hint="eastAsia"/>
          <w:b/>
          <w:bCs/>
          <w:highlight w:val="none"/>
          <w:lang w:val="en-US" w:eastAsia="zh-CN"/>
        </w:rPr>
        <w:t>3、鸟类</w:t>
      </w:r>
    </w:p>
    <w:p w14:paraId="71B6F204">
      <w:pPr>
        <w:bidi w:val="0"/>
        <w:rPr>
          <w:rFonts w:hint="default"/>
          <w:highlight w:val="none"/>
          <w:lang w:val="en-US" w:eastAsia="zh-CN"/>
        </w:rPr>
      </w:pPr>
      <w:r>
        <w:rPr>
          <w:rFonts w:hint="default"/>
          <w:highlight w:val="none"/>
          <w:lang w:val="en-US" w:eastAsia="zh-CN"/>
        </w:rPr>
        <w:t>本次鸟类主要通过样线法调查，通过两次调查规划好的 30 条样线(15 个监测区域中，冷龙沟干流库中设置 2 条样线；冷龙沟干流库尾设置 3 条样线；巨美拥沟支流沿线设置 3 条样线；冷龙村林地设置 3 条样线，巴拉镇林地设置 3 条样线；鱼洼仲村设置 1 条样线；每条样线均调查了2 次)，对鸟类开展了实地调查；结合调查访问，走访当地老百姓，如老猎人或当地年长者等；另使用了红外相机自动拍摄法，对样线法得到的调查结果进行验证。</w:t>
      </w:r>
    </w:p>
    <w:p w14:paraId="0B6C8FB3">
      <w:pPr>
        <w:bidi w:val="0"/>
        <w:rPr>
          <w:rFonts w:hint="default"/>
          <w:highlight w:val="none"/>
          <w:lang w:val="en-US" w:eastAsia="zh-CN"/>
        </w:rPr>
      </w:pPr>
      <w:r>
        <w:rPr>
          <w:rFonts w:hint="default"/>
          <w:highlight w:val="none"/>
          <w:lang w:val="en-US" w:eastAsia="zh-CN"/>
        </w:rPr>
        <w:t>本次调查和记录到鸟类 16 目 46 科 117 种，现场目击 6目 21 科 58 种。本 次记录的鸟类中，无国家一级重点保护野生动物，有国家二级重点保护野生动物 3 种，即普通鵟(Buteo japonicus) 、眼纹噪鹛(Ianthocincla ocellatus) 、白马鸡；有四川省重点保护鸟类 5 种，分别为普通夜鹰(Caprimulgus jotaka) 、白喉针尾雨燕(Hirundapus  caudacutus) 、大鹰鹃(Hierococcyx  sparverioides) 、绿鹭(Butorides striata)和普通鸬鹚(Phalacrocorax carbo)。根据《中国生物多样性红色名录》，无列入“近危(VU)”物种；有 8 种列入“近危(NT)”物种，分别为白马鸡、雪鹑 (Lerwa lerwa)、淡绿鵙鹛(Pteruthius xanthochlorus)、凤头雀莺(Leptopoecile elegans)、眼纹噪鹛、黑背燕尾(Enicurus immaculatus) 和藏黄雀(Spinus thibetanus) ，其他均为“无危(LC)”物种；有 4 种中国特有种，分别为黄腹 山雀(Pardaliparus venustulus)、地山雀(Pseudopodoces humilis)、凤头雀莺和宝兴 鹛雀。</w:t>
      </w:r>
    </w:p>
    <w:p w14:paraId="1E20690C">
      <w:pPr>
        <w:bidi w:val="0"/>
        <w:rPr>
          <w:rFonts w:hint="default"/>
          <w:highlight w:val="none"/>
          <w:lang w:val="en-US" w:eastAsia="zh-CN"/>
        </w:rPr>
      </w:pPr>
      <w:r>
        <w:rPr>
          <w:rFonts w:hint="default"/>
          <w:highlight w:val="none"/>
          <w:lang w:val="en-US" w:eastAsia="zh-CN"/>
        </w:rPr>
        <w:t>调查区域分布的 117 种鸟类中 ，雀形目种类最多，共 65 种 ，占种数的 55.56%；其次为鸡形目，共 9 种，占种数的 7.69%；再次为啄木鸟目，共 7 种， 占种数的 5.98%；接下来是鹰形目，共 6 种， 占种数的 5. 13%；鸽形目和鹈形 目，各 5 种， 占种数的 4.27%；其余各目种数均较少。</w:t>
      </w:r>
    </w:p>
    <w:p w14:paraId="1464D97D">
      <w:pPr>
        <w:pStyle w:val="11"/>
        <w:bidi w:val="0"/>
        <w:ind w:left="0" w:leftChars="0" w:firstLine="0" w:firstLineChars="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35</w:t>
      </w:r>
      <w:r>
        <w:rPr>
          <w:highlight w:val="none"/>
        </w:rPr>
        <w:fldChar w:fldCharType="end"/>
      </w:r>
      <w:r>
        <w:rPr>
          <w:rFonts w:hint="eastAsia"/>
          <w:highlight w:val="none"/>
          <w:lang w:val="en-US" w:eastAsia="zh-CN"/>
        </w:rPr>
        <w:t xml:space="preserve"> </w:t>
      </w:r>
      <w:r>
        <w:rPr>
          <w:rFonts w:hint="default"/>
          <w:highlight w:val="none"/>
          <w:lang w:val="en-US" w:eastAsia="zh-CN"/>
        </w:rPr>
        <w:t>鸟类各目科数种数统计表</w:t>
      </w:r>
    </w:p>
    <w:tbl>
      <w:tblPr>
        <w:tblStyle w:val="24"/>
        <w:tblW w:w="8527" w:type="dxa"/>
        <w:tblInd w:w="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8"/>
        <w:gridCol w:w="2060"/>
        <w:gridCol w:w="1266"/>
        <w:gridCol w:w="1268"/>
        <w:gridCol w:w="1269"/>
        <w:gridCol w:w="1276"/>
      </w:tblGrid>
      <w:tr w14:paraId="0F785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trPr>
        <w:tc>
          <w:tcPr>
            <w:tcW w:w="1388" w:type="dxa"/>
            <w:vMerge w:val="restart"/>
            <w:vAlign w:val="center"/>
          </w:tcPr>
          <w:p w14:paraId="2DF6CADD">
            <w:pPr>
              <w:pStyle w:val="22"/>
              <w:bidi w:val="0"/>
              <w:jc w:val="center"/>
              <w:rPr>
                <w:highlight w:val="none"/>
              </w:rPr>
            </w:pPr>
            <w:r>
              <w:rPr>
                <w:highlight w:val="none"/>
              </w:rPr>
              <w:t>序号</w:t>
            </w:r>
          </w:p>
        </w:tc>
        <w:tc>
          <w:tcPr>
            <w:tcW w:w="2060" w:type="dxa"/>
            <w:vMerge w:val="restart"/>
            <w:vAlign w:val="center"/>
          </w:tcPr>
          <w:p w14:paraId="7123D4F7">
            <w:pPr>
              <w:pStyle w:val="22"/>
              <w:bidi w:val="0"/>
              <w:jc w:val="center"/>
              <w:rPr>
                <w:highlight w:val="none"/>
              </w:rPr>
            </w:pPr>
            <w:r>
              <w:rPr>
                <w:highlight w:val="none"/>
              </w:rPr>
              <w:t>目</w:t>
            </w:r>
          </w:p>
        </w:tc>
        <w:tc>
          <w:tcPr>
            <w:tcW w:w="2534" w:type="dxa"/>
            <w:gridSpan w:val="2"/>
            <w:vAlign w:val="center"/>
          </w:tcPr>
          <w:p w14:paraId="20C411D9">
            <w:pPr>
              <w:pStyle w:val="22"/>
              <w:bidi w:val="0"/>
              <w:jc w:val="center"/>
              <w:rPr>
                <w:rFonts w:hint="default" w:eastAsiaTheme="minorEastAsia"/>
                <w:highlight w:val="none"/>
                <w:lang w:val="en-US" w:eastAsia="zh-CN"/>
              </w:rPr>
            </w:pPr>
            <w:r>
              <w:rPr>
                <w:rFonts w:hint="eastAsia"/>
                <w:highlight w:val="none"/>
                <w:lang w:val="en-US" w:eastAsia="zh-CN"/>
              </w:rPr>
              <w:t>科</w:t>
            </w:r>
          </w:p>
        </w:tc>
        <w:tc>
          <w:tcPr>
            <w:tcW w:w="2545" w:type="dxa"/>
            <w:gridSpan w:val="2"/>
            <w:vAlign w:val="center"/>
          </w:tcPr>
          <w:p w14:paraId="1DA92B36">
            <w:pPr>
              <w:pStyle w:val="22"/>
              <w:bidi w:val="0"/>
              <w:jc w:val="center"/>
              <w:rPr>
                <w:highlight w:val="none"/>
              </w:rPr>
            </w:pPr>
            <w:r>
              <w:rPr>
                <w:rFonts w:hint="eastAsia"/>
                <w:highlight w:val="none"/>
              </w:rPr>
              <w:t>种</w:t>
            </w:r>
          </w:p>
        </w:tc>
      </w:tr>
      <w:tr w14:paraId="17106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trPr>
        <w:tc>
          <w:tcPr>
            <w:tcW w:w="1388" w:type="dxa"/>
            <w:vMerge w:val="continue"/>
            <w:vAlign w:val="center"/>
          </w:tcPr>
          <w:p w14:paraId="1F3A5B82">
            <w:pPr>
              <w:pStyle w:val="22"/>
              <w:bidi w:val="0"/>
              <w:jc w:val="center"/>
              <w:rPr>
                <w:highlight w:val="none"/>
              </w:rPr>
            </w:pPr>
          </w:p>
        </w:tc>
        <w:tc>
          <w:tcPr>
            <w:tcW w:w="2060" w:type="dxa"/>
            <w:vMerge w:val="continue"/>
            <w:vAlign w:val="center"/>
          </w:tcPr>
          <w:p w14:paraId="1289D876">
            <w:pPr>
              <w:pStyle w:val="22"/>
              <w:bidi w:val="0"/>
              <w:jc w:val="center"/>
              <w:rPr>
                <w:highlight w:val="none"/>
              </w:rPr>
            </w:pPr>
          </w:p>
        </w:tc>
        <w:tc>
          <w:tcPr>
            <w:tcW w:w="1266" w:type="dxa"/>
            <w:vAlign w:val="center"/>
          </w:tcPr>
          <w:p w14:paraId="228E882B">
            <w:pPr>
              <w:pStyle w:val="22"/>
              <w:bidi w:val="0"/>
              <w:jc w:val="center"/>
              <w:rPr>
                <w:highlight w:val="none"/>
              </w:rPr>
            </w:pPr>
            <w:r>
              <w:rPr>
                <w:highlight w:val="none"/>
              </w:rPr>
              <w:t>科数</w:t>
            </w:r>
          </w:p>
        </w:tc>
        <w:tc>
          <w:tcPr>
            <w:tcW w:w="1268" w:type="dxa"/>
            <w:vAlign w:val="center"/>
          </w:tcPr>
          <w:p w14:paraId="1701DD07">
            <w:pPr>
              <w:pStyle w:val="22"/>
              <w:bidi w:val="0"/>
              <w:jc w:val="center"/>
              <w:rPr>
                <w:highlight w:val="none"/>
              </w:rPr>
            </w:pPr>
            <w:r>
              <w:rPr>
                <w:highlight w:val="none"/>
              </w:rPr>
              <w:t>百分比</w:t>
            </w:r>
          </w:p>
        </w:tc>
        <w:tc>
          <w:tcPr>
            <w:tcW w:w="1269" w:type="dxa"/>
            <w:vAlign w:val="center"/>
          </w:tcPr>
          <w:p w14:paraId="6167FC10">
            <w:pPr>
              <w:pStyle w:val="22"/>
              <w:bidi w:val="0"/>
              <w:jc w:val="center"/>
              <w:rPr>
                <w:highlight w:val="none"/>
              </w:rPr>
            </w:pPr>
            <w:r>
              <w:rPr>
                <w:highlight w:val="none"/>
              </w:rPr>
              <w:t>种数</w:t>
            </w:r>
          </w:p>
        </w:tc>
        <w:tc>
          <w:tcPr>
            <w:tcW w:w="1276" w:type="dxa"/>
            <w:vAlign w:val="center"/>
          </w:tcPr>
          <w:p w14:paraId="11D16489">
            <w:pPr>
              <w:pStyle w:val="22"/>
              <w:bidi w:val="0"/>
              <w:jc w:val="center"/>
              <w:rPr>
                <w:highlight w:val="none"/>
              </w:rPr>
            </w:pPr>
            <w:r>
              <w:rPr>
                <w:highlight w:val="none"/>
              </w:rPr>
              <w:t>百分比</w:t>
            </w:r>
          </w:p>
        </w:tc>
      </w:tr>
      <w:tr w14:paraId="44397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1388" w:type="dxa"/>
            <w:vAlign w:val="center"/>
          </w:tcPr>
          <w:p w14:paraId="43DB6694">
            <w:pPr>
              <w:pStyle w:val="22"/>
              <w:bidi w:val="0"/>
              <w:jc w:val="center"/>
              <w:rPr>
                <w:highlight w:val="none"/>
              </w:rPr>
            </w:pPr>
            <w:r>
              <w:rPr>
                <w:highlight w:val="none"/>
              </w:rPr>
              <w:t>1</w:t>
            </w:r>
          </w:p>
        </w:tc>
        <w:tc>
          <w:tcPr>
            <w:tcW w:w="2060" w:type="dxa"/>
            <w:vAlign w:val="center"/>
          </w:tcPr>
          <w:p w14:paraId="6AD425D9">
            <w:pPr>
              <w:pStyle w:val="22"/>
              <w:bidi w:val="0"/>
              <w:jc w:val="center"/>
              <w:rPr>
                <w:highlight w:val="none"/>
              </w:rPr>
            </w:pPr>
            <w:r>
              <w:rPr>
                <w:highlight w:val="none"/>
              </w:rPr>
              <w:t>鸡形目</w:t>
            </w:r>
          </w:p>
        </w:tc>
        <w:tc>
          <w:tcPr>
            <w:tcW w:w="1266" w:type="dxa"/>
            <w:vAlign w:val="center"/>
          </w:tcPr>
          <w:p w14:paraId="5DF3A880">
            <w:pPr>
              <w:pStyle w:val="22"/>
              <w:bidi w:val="0"/>
              <w:jc w:val="center"/>
              <w:rPr>
                <w:highlight w:val="none"/>
              </w:rPr>
            </w:pPr>
            <w:r>
              <w:rPr>
                <w:highlight w:val="none"/>
              </w:rPr>
              <w:t>1</w:t>
            </w:r>
          </w:p>
        </w:tc>
        <w:tc>
          <w:tcPr>
            <w:tcW w:w="1268" w:type="dxa"/>
            <w:vAlign w:val="center"/>
          </w:tcPr>
          <w:p w14:paraId="63D994F2">
            <w:pPr>
              <w:pStyle w:val="22"/>
              <w:bidi w:val="0"/>
              <w:jc w:val="center"/>
              <w:rPr>
                <w:highlight w:val="none"/>
              </w:rPr>
            </w:pPr>
            <w:r>
              <w:rPr>
                <w:highlight w:val="none"/>
              </w:rPr>
              <w:t>2. 17%</w:t>
            </w:r>
          </w:p>
        </w:tc>
        <w:tc>
          <w:tcPr>
            <w:tcW w:w="1269" w:type="dxa"/>
            <w:vAlign w:val="center"/>
          </w:tcPr>
          <w:p w14:paraId="6C69B357">
            <w:pPr>
              <w:pStyle w:val="22"/>
              <w:bidi w:val="0"/>
              <w:jc w:val="center"/>
              <w:rPr>
                <w:highlight w:val="none"/>
              </w:rPr>
            </w:pPr>
            <w:r>
              <w:rPr>
                <w:highlight w:val="none"/>
              </w:rPr>
              <w:t>4</w:t>
            </w:r>
          </w:p>
        </w:tc>
        <w:tc>
          <w:tcPr>
            <w:tcW w:w="1276" w:type="dxa"/>
            <w:vAlign w:val="center"/>
          </w:tcPr>
          <w:p w14:paraId="3559A6EF">
            <w:pPr>
              <w:pStyle w:val="22"/>
              <w:bidi w:val="0"/>
              <w:jc w:val="center"/>
              <w:rPr>
                <w:highlight w:val="none"/>
              </w:rPr>
            </w:pPr>
            <w:r>
              <w:rPr>
                <w:highlight w:val="none"/>
              </w:rPr>
              <w:t>7.69%</w:t>
            </w:r>
          </w:p>
        </w:tc>
      </w:tr>
      <w:tr w14:paraId="374E9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20BD0763">
            <w:pPr>
              <w:pStyle w:val="22"/>
              <w:bidi w:val="0"/>
              <w:jc w:val="center"/>
              <w:rPr>
                <w:highlight w:val="none"/>
              </w:rPr>
            </w:pPr>
            <w:r>
              <w:rPr>
                <w:highlight w:val="none"/>
              </w:rPr>
              <w:t>2</w:t>
            </w:r>
          </w:p>
        </w:tc>
        <w:tc>
          <w:tcPr>
            <w:tcW w:w="2060" w:type="dxa"/>
            <w:vAlign w:val="center"/>
          </w:tcPr>
          <w:p w14:paraId="27874B4D">
            <w:pPr>
              <w:pStyle w:val="22"/>
              <w:bidi w:val="0"/>
              <w:jc w:val="center"/>
              <w:rPr>
                <w:highlight w:val="none"/>
              </w:rPr>
            </w:pPr>
            <w:r>
              <w:rPr>
                <w:highlight w:val="none"/>
              </w:rPr>
              <w:t>雁形目</w:t>
            </w:r>
          </w:p>
        </w:tc>
        <w:tc>
          <w:tcPr>
            <w:tcW w:w="1266" w:type="dxa"/>
            <w:vAlign w:val="center"/>
          </w:tcPr>
          <w:p w14:paraId="5873A4EE">
            <w:pPr>
              <w:pStyle w:val="22"/>
              <w:bidi w:val="0"/>
              <w:jc w:val="center"/>
              <w:rPr>
                <w:highlight w:val="none"/>
              </w:rPr>
            </w:pPr>
            <w:r>
              <w:rPr>
                <w:highlight w:val="none"/>
              </w:rPr>
              <w:t>1</w:t>
            </w:r>
          </w:p>
        </w:tc>
        <w:tc>
          <w:tcPr>
            <w:tcW w:w="1268" w:type="dxa"/>
            <w:vAlign w:val="center"/>
          </w:tcPr>
          <w:p w14:paraId="41849D5F">
            <w:pPr>
              <w:pStyle w:val="22"/>
              <w:bidi w:val="0"/>
              <w:jc w:val="center"/>
              <w:rPr>
                <w:highlight w:val="none"/>
              </w:rPr>
            </w:pPr>
            <w:r>
              <w:rPr>
                <w:highlight w:val="none"/>
              </w:rPr>
              <w:t>2. 17%</w:t>
            </w:r>
          </w:p>
        </w:tc>
        <w:tc>
          <w:tcPr>
            <w:tcW w:w="1269" w:type="dxa"/>
            <w:vAlign w:val="center"/>
          </w:tcPr>
          <w:p w14:paraId="65211936">
            <w:pPr>
              <w:pStyle w:val="22"/>
              <w:bidi w:val="0"/>
              <w:jc w:val="center"/>
              <w:rPr>
                <w:highlight w:val="none"/>
              </w:rPr>
            </w:pPr>
            <w:r>
              <w:rPr>
                <w:highlight w:val="none"/>
              </w:rPr>
              <w:t>2</w:t>
            </w:r>
          </w:p>
        </w:tc>
        <w:tc>
          <w:tcPr>
            <w:tcW w:w="1276" w:type="dxa"/>
            <w:vAlign w:val="center"/>
          </w:tcPr>
          <w:p w14:paraId="13CF8F50">
            <w:pPr>
              <w:pStyle w:val="22"/>
              <w:bidi w:val="0"/>
              <w:jc w:val="center"/>
              <w:rPr>
                <w:highlight w:val="none"/>
              </w:rPr>
            </w:pPr>
            <w:r>
              <w:rPr>
                <w:highlight w:val="none"/>
              </w:rPr>
              <w:t>1.71%</w:t>
            </w:r>
          </w:p>
        </w:tc>
      </w:tr>
      <w:tr w14:paraId="4A9EA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388" w:type="dxa"/>
            <w:vAlign w:val="center"/>
          </w:tcPr>
          <w:p w14:paraId="397E10EA">
            <w:pPr>
              <w:pStyle w:val="22"/>
              <w:bidi w:val="0"/>
              <w:jc w:val="center"/>
              <w:rPr>
                <w:highlight w:val="none"/>
              </w:rPr>
            </w:pPr>
            <w:r>
              <w:rPr>
                <w:highlight w:val="none"/>
              </w:rPr>
              <w:t>3</w:t>
            </w:r>
          </w:p>
        </w:tc>
        <w:tc>
          <w:tcPr>
            <w:tcW w:w="2060" w:type="dxa"/>
            <w:vAlign w:val="center"/>
          </w:tcPr>
          <w:p w14:paraId="084AC5F3">
            <w:pPr>
              <w:pStyle w:val="22"/>
              <w:bidi w:val="0"/>
              <w:jc w:val="center"/>
              <w:rPr>
                <w:highlight w:val="none"/>
              </w:rPr>
            </w:pPr>
            <w:r>
              <w:rPr>
                <w:highlight w:val="none"/>
              </w:rPr>
              <w:t>鸽形目</w:t>
            </w:r>
          </w:p>
        </w:tc>
        <w:tc>
          <w:tcPr>
            <w:tcW w:w="1266" w:type="dxa"/>
            <w:vAlign w:val="center"/>
          </w:tcPr>
          <w:p w14:paraId="598D81E2">
            <w:pPr>
              <w:pStyle w:val="22"/>
              <w:bidi w:val="0"/>
              <w:jc w:val="center"/>
              <w:rPr>
                <w:highlight w:val="none"/>
              </w:rPr>
            </w:pPr>
            <w:r>
              <w:rPr>
                <w:highlight w:val="none"/>
              </w:rPr>
              <w:t>1</w:t>
            </w:r>
          </w:p>
        </w:tc>
        <w:tc>
          <w:tcPr>
            <w:tcW w:w="1268" w:type="dxa"/>
            <w:vAlign w:val="center"/>
          </w:tcPr>
          <w:p w14:paraId="67C549D1">
            <w:pPr>
              <w:pStyle w:val="22"/>
              <w:bidi w:val="0"/>
              <w:jc w:val="center"/>
              <w:rPr>
                <w:highlight w:val="none"/>
              </w:rPr>
            </w:pPr>
            <w:r>
              <w:rPr>
                <w:highlight w:val="none"/>
              </w:rPr>
              <w:t>2. 17%</w:t>
            </w:r>
          </w:p>
        </w:tc>
        <w:tc>
          <w:tcPr>
            <w:tcW w:w="1269" w:type="dxa"/>
            <w:vAlign w:val="center"/>
          </w:tcPr>
          <w:p w14:paraId="5EF1A857">
            <w:pPr>
              <w:pStyle w:val="22"/>
              <w:bidi w:val="0"/>
              <w:jc w:val="center"/>
              <w:rPr>
                <w:highlight w:val="none"/>
              </w:rPr>
            </w:pPr>
            <w:r>
              <w:rPr>
                <w:highlight w:val="none"/>
              </w:rPr>
              <w:t>5</w:t>
            </w:r>
          </w:p>
        </w:tc>
        <w:tc>
          <w:tcPr>
            <w:tcW w:w="1276" w:type="dxa"/>
            <w:vAlign w:val="center"/>
          </w:tcPr>
          <w:p w14:paraId="63503584">
            <w:pPr>
              <w:pStyle w:val="22"/>
              <w:bidi w:val="0"/>
              <w:jc w:val="center"/>
              <w:rPr>
                <w:highlight w:val="none"/>
              </w:rPr>
            </w:pPr>
            <w:r>
              <w:rPr>
                <w:highlight w:val="none"/>
              </w:rPr>
              <w:t>4.27%</w:t>
            </w:r>
          </w:p>
        </w:tc>
      </w:tr>
      <w:tr w14:paraId="5FC63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303A83D8">
            <w:pPr>
              <w:pStyle w:val="22"/>
              <w:bidi w:val="0"/>
              <w:jc w:val="center"/>
              <w:rPr>
                <w:highlight w:val="none"/>
              </w:rPr>
            </w:pPr>
            <w:r>
              <w:rPr>
                <w:highlight w:val="none"/>
              </w:rPr>
              <w:t>4</w:t>
            </w:r>
          </w:p>
        </w:tc>
        <w:tc>
          <w:tcPr>
            <w:tcW w:w="2060" w:type="dxa"/>
            <w:vAlign w:val="center"/>
          </w:tcPr>
          <w:p w14:paraId="38134BBC">
            <w:pPr>
              <w:pStyle w:val="22"/>
              <w:bidi w:val="0"/>
              <w:jc w:val="center"/>
              <w:rPr>
                <w:highlight w:val="none"/>
              </w:rPr>
            </w:pPr>
            <w:r>
              <w:rPr>
                <w:highlight w:val="none"/>
              </w:rPr>
              <w:t>夜鹰目</w:t>
            </w:r>
          </w:p>
        </w:tc>
        <w:tc>
          <w:tcPr>
            <w:tcW w:w="1266" w:type="dxa"/>
            <w:vAlign w:val="center"/>
          </w:tcPr>
          <w:p w14:paraId="3209B02B">
            <w:pPr>
              <w:pStyle w:val="22"/>
              <w:bidi w:val="0"/>
              <w:jc w:val="center"/>
              <w:rPr>
                <w:highlight w:val="none"/>
              </w:rPr>
            </w:pPr>
            <w:r>
              <w:rPr>
                <w:highlight w:val="none"/>
              </w:rPr>
              <w:t>2</w:t>
            </w:r>
          </w:p>
        </w:tc>
        <w:tc>
          <w:tcPr>
            <w:tcW w:w="1268" w:type="dxa"/>
            <w:vAlign w:val="center"/>
          </w:tcPr>
          <w:p w14:paraId="528E5EC9">
            <w:pPr>
              <w:pStyle w:val="22"/>
              <w:bidi w:val="0"/>
              <w:jc w:val="center"/>
              <w:rPr>
                <w:highlight w:val="none"/>
              </w:rPr>
            </w:pPr>
            <w:r>
              <w:rPr>
                <w:highlight w:val="none"/>
              </w:rPr>
              <w:t>4.35%</w:t>
            </w:r>
          </w:p>
        </w:tc>
        <w:tc>
          <w:tcPr>
            <w:tcW w:w="1269" w:type="dxa"/>
            <w:vAlign w:val="center"/>
          </w:tcPr>
          <w:p w14:paraId="06325B03">
            <w:pPr>
              <w:pStyle w:val="22"/>
              <w:bidi w:val="0"/>
              <w:jc w:val="center"/>
              <w:rPr>
                <w:highlight w:val="none"/>
              </w:rPr>
            </w:pPr>
            <w:r>
              <w:rPr>
                <w:highlight w:val="none"/>
              </w:rPr>
              <w:t>3</w:t>
            </w:r>
          </w:p>
        </w:tc>
        <w:tc>
          <w:tcPr>
            <w:tcW w:w="1276" w:type="dxa"/>
            <w:vAlign w:val="center"/>
          </w:tcPr>
          <w:p w14:paraId="42FDE93E">
            <w:pPr>
              <w:pStyle w:val="22"/>
              <w:bidi w:val="0"/>
              <w:jc w:val="center"/>
              <w:rPr>
                <w:highlight w:val="none"/>
              </w:rPr>
            </w:pPr>
            <w:r>
              <w:rPr>
                <w:highlight w:val="none"/>
              </w:rPr>
              <w:t>2.56%</w:t>
            </w:r>
          </w:p>
        </w:tc>
      </w:tr>
      <w:tr w14:paraId="49815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77A1BE53">
            <w:pPr>
              <w:pStyle w:val="22"/>
              <w:bidi w:val="0"/>
              <w:jc w:val="center"/>
              <w:rPr>
                <w:highlight w:val="none"/>
              </w:rPr>
            </w:pPr>
            <w:r>
              <w:rPr>
                <w:highlight w:val="none"/>
              </w:rPr>
              <w:t>5</w:t>
            </w:r>
          </w:p>
        </w:tc>
        <w:tc>
          <w:tcPr>
            <w:tcW w:w="2060" w:type="dxa"/>
            <w:vAlign w:val="center"/>
          </w:tcPr>
          <w:p w14:paraId="612E488F">
            <w:pPr>
              <w:pStyle w:val="22"/>
              <w:bidi w:val="0"/>
              <w:jc w:val="center"/>
              <w:rPr>
                <w:highlight w:val="none"/>
              </w:rPr>
            </w:pPr>
            <w:r>
              <w:rPr>
                <w:highlight w:val="none"/>
              </w:rPr>
              <w:t>鹃形目</w:t>
            </w:r>
          </w:p>
        </w:tc>
        <w:tc>
          <w:tcPr>
            <w:tcW w:w="1266" w:type="dxa"/>
            <w:vAlign w:val="center"/>
          </w:tcPr>
          <w:p w14:paraId="03FF2529">
            <w:pPr>
              <w:pStyle w:val="22"/>
              <w:bidi w:val="0"/>
              <w:jc w:val="center"/>
              <w:rPr>
                <w:highlight w:val="none"/>
              </w:rPr>
            </w:pPr>
            <w:r>
              <w:rPr>
                <w:highlight w:val="none"/>
              </w:rPr>
              <w:t>1</w:t>
            </w:r>
          </w:p>
        </w:tc>
        <w:tc>
          <w:tcPr>
            <w:tcW w:w="1268" w:type="dxa"/>
            <w:vAlign w:val="center"/>
          </w:tcPr>
          <w:p w14:paraId="66E70BF5">
            <w:pPr>
              <w:pStyle w:val="22"/>
              <w:bidi w:val="0"/>
              <w:jc w:val="center"/>
              <w:rPr>
                <w:highlight w:val="none"/>
              </w:rPr>
            </w:pPr>
            <w:r>
              <w:rPr>
                <w:highlight w:val="none"/>
              </w:rPr>
              <w:t>2. 17%</w:t>
            </w:r>
          </w:p>
        </w:tc>
        <w:tc>
          <w:tcPr>
            <w:tcW w:w="1269" w:type="dxa"/>
            <w:vAlign w:val="center"/>
          </w:tcPr>
          <w:p w14:paraId="59B7B091">
            <w:pPr>
              <w:pStyle w:val="22"/>
              <w:bidi w:val="0"/>
              <w:jc w:val="center"/>
              <w:rPr>
                <w:highlight w:val="none"/>
              </w:rPr>
            </w:pPr>
            <w:r>
              <w:rPr>
                <w:highlight w:val="none"/>
              </w:rPr>
              <w:t>3</w:t>
            </w:r>
          </w:p>
        </w:tc>
        <w:tc>
          <w:tcPr>
            <w:tcW w:w="1276" w:type="dxa"/>
            <w:vAlign w:val="center"/>
          </w:tcPr>
          <w:p w14:paraId="2310E232">
            <w:pPr>
              <w:pStyle w:val="22"/>
              <w:bidi w:val="0"/>
              <w:jc w:val="center"/>
              <w:rPr>
                <w:highlight w:val="none"/>
              </w:rPr>
            </w:pPr>
            <w:r>
              <w:rPr>
                <w:highlight w:val="none"/>
              </w:rPr>
              <w:t>2.56%</w:t>
            </w:r>
          </w:p>
        </w:tc>
      </w:tr>
      <w:tr w14:paraId="1291C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1B19EAC4">
            <w:pPr>
              <w:pStyle w:val="22"/>
              <w:bidi w:val="0"/>
              <w:jc w:val="center"/>
              <w:rPr>
                <w:highlight w:val="none"/>
              </w:rPr>
            </w:pPr>
            <w:r>
              <w:rPr>
                <w:highlight w:val="none"/>
              </w:rPr>
              <w:t>6</w:t>
            </w:r>
          </w:p>
        </w:tc>
        <w:tc>
          <w:tcPr>
            <w:tcW w:w="2060" w:type="dxa"/>
            <w:vAlign w:val="center"/>
          </w:tcPr>
          <w:p w14:paraId="67999286">
            <w:pPr>
              <w:pStyle w:val="22"/>
              <w:bidi w:val="0"/>
              <w:jc w:val="center"/>
              <w:rPr>
                <w:highlight w:val="none"/>
              </w:rPr>
            </w:pPr>
            <w:r>
              <w:rPr>
                <w:highlight w:val="none"/>
              </w:rPr>
              <w:t>鹈形目</w:t>
            </w:r>
          </w:p>
        </w:tc>
        <w:tc>
          <w:tcPr>
            <w:tcW w:w="1266" w:type="dxa"/>
            <w:vAlign w:val="center"/>
          </w:tcPr>
          <w:p w14:paraId="6A114705">
            <w:pPr>
              <w:pStyle w:val="22"/>
              <w:bidi w:val="0"/>
              <w:jc w:val="center"/>
              <w:rPr>
                <w:highlight w:val="none"/>
              </w:rPr>
            </w:pPr>
            <w:r>
              <w:rPr>
                <w:highlight w:val="none"/>
              </w:rPr>
              <w:t>1</w:t>
            </w:r>
          </w:p>
        </w:tc>
        <w:tc>
          <w:tcPr>
            <w:tcW w:w="1268" w:type="dxa"/>
            <w:vAlign w:val="center"/>
          </w:tcPr>
          <w:p w14:paraId="597410CA">
            <w:pPr>
              <w:pStyle w:val="22"/>
              <w:bidi w:val="0"/>
              <w:jc w:val="center"/>
              <w:rPr>
                <w:highlight w:val="none"/>
              </w:rPr>
            </w:pPr>
            <w:r>
              <w:rPr>
                <w:highlight w:val="none"/>
              </w:rPr>
              <w:t>2. 17%</w:t>
            </w:r>
          </w:p>
        </w:tc>
        <w:tc>
          <w:tcPr>
            <w:tcW w:w="1269" w:type="dxa"/>
            <w:vAlign w:val="center"/>
          </w:tcPr>
          <w:p w14:paraId="0018DC6A">
            <w:pPr>
              <w:pStyle w:val="22"/>
              <w:bidi w:val="0"/>
              <w:jc w:val="center"/>
              <w:rPr>
                <w:highlight w:val="none"/>
              </w:rPr>
            </w:pPr>
            <w:r>
              <w:rPr>
                <w:highlight w:val="none"/>
              </w:rPr>
              <w:t>5</w:t>
            </w:r>
          </w:p>
        </w:tc>
        <w:tc>
          <w:tcPr>
            <w:tcW w:w="1276" w:type="dxa"/>
            <w:vAlign w:val="center"/>
          </w:tcPr>
          <w:p w14:paraId="7379B89C">
            <w:pPr>
              <w:pStyle w:val="22"/>
              <w:bidi w:val="0"/>
              <w:jc w:val="center"/>
              <w:rPr>
                <w:highlight w:val="none"/>
              </w:rPr>
            </w:pPr>
            <w:r>
              <w:rPr>
                <w:highlight w:val="none"/>
              </w:rPr>
              <w:t>4.27%</w:t>
            </w:r>
          </w:p>
        </w:tc>
      </w:tr>
      <w:tr w14:paraId="52525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65CDFFFA">
            <w:pPr>
              <w:pStyle w:val="22"/>
              <w:bidi w:val="0"/>
              <w:jc w:val="center"/>
              <w:rPr>
                <w:highlight w:val="none"/>
              </w:rPr>
            </w:pPr>
            <w:r>
              <w:rPr>
                <w:highlight w:val="none"/>
              </w:rPr>
              <w:t>7</w:t>
            </w:r>
          </w:p>
        </w:tc>
        <w:tc>
          <w:tcPr>
            <w:tcW w:w="2060" w:type="dxa"/>
            <w:vAlign w:val="center"/>
          </w:tcPr>
          <w:p w14:paraId="6A2591B6">
            <w:pPr>
              <w:pStyle w:val="22"/>
              <w:bidi w:val="0"/>
              <w:jc w:val="center"/>
              <w:rPr>
                <w:highlight w:val="none"/>
              </w:rPr>
            </w:pPr>
            <w:r>
              <w:rPr>
                <w:highlight w:val="none"/>
              </w:rPr>
              <w:t>鲣鸟目</w:t>
            </w:r>
          </w:p>
        </w:tc>
        <w:tc>
          <w:tcPr>
            <w:tcW w:w="1266" w:type="dxa"/>
            <w:vAlign w:val="center"/>
          </w:tcPr>
          <w:p w14:paraId="5775CDA3">
            <w:pPr>
              <w:pStyle w:val="22"/>
              <w:bidi w:val="0"/>
              <w:jc w:val="center"/>
              <w:rPr>
                <w:highlight w:val="none"/>
              </w:rPr>
            </w:pPr>
            <w:r>
              <w:rPr>
                <w:highlight w:val="none"/>
              </w:rPr>
              <w:t>1</w:t>
            </w:r>
          </w:p>
        </w:tc>
        <w:tc>
          <w:tcPr>
            <w:tcW w:w="1268" w:type="dxa"/>
            <w:vAlign w:val="center"/>
          </w:tcPr>
          <w:p w14:paraId="59E0D320">
            <w:pPr>
              <w:pStyle w:val="22"/>
              <w:bidi w:val="0"/>
              <w:jc w:val="center"/>
              <w:rPr>
                <w:highlight w:val="none"/>
              </w:rPr>
            </w:pPr>
            <w:r>
              <w:rPr>
                <w:highlight w:val="none"/>
              </w:rPr>
              <w:t>2. 17%</w:t>
            </w:r>
          </w:p>
        </w:tc>
        <w:tc>
          <w:tcPr>
            <w:tcW w:w="1269" w:type="dxa"/>
            <w:vAlign w:val="center"/>
          </w:tcPr>
          <w:p w14:paraId="0368E594">
            <w:pPr>
              <w:pStyle w:val="22"/>
              <w:bidi w:val="0"/>
              <w:jc w:val="center"/>
              <w:rPr>
                <w:highlight w:val="none"/>
              </w:rPr>
            </w:pPr>
            <w:r>
              <w:rPr>
                <w:highlight w:val="none"/>
              </w:rPr>
              <w:t>1</w:t>
            </w:r>
          </w:p>
        </w:tc>
        <w:tc>
          <w:tcPr>
            <w:tcW w:w="1276" w:type="dxa"/>
            <w:vAlign w:val="center"/>
          </w:tcPr>
          <w:p w14:paraId="1061FC0A">
            <w:pPr>
              <w:pStyle w:val="22"/>
              <w:bidi w:val="0"/>
              <w:jc w:val="center"/>
              <w:rPr>
                <w:highlight w:val="none"/>
              </w:rPr>
            </w:pPr>
            <w:r>
              <w:rPr>
                <w:highlight w:val="none"/>
              </w:rPr>
              <w:t>0.85%</w:t>
            </w:r>
          </w:p>
        </w:tc>
      </w:tr>
      <w:tr w14:paraId="396E2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388" w:type="dxa"/>
            <w:vAlign w:val="center"/>
          </w:tcPr>
          <w:p w14:paraId="53D03F2D">
            <w:pPr>
              <w:pStyle w:val="22"/>
              <w:bidi w:val="0"/>
              <w:jc w:val="center"/>
              <w:rPr>
                <w:highlight w:val="none"/>
              </w:rPr>
            </w:pPr>
            <w:r>
              <w:rPr>
                <w:highlight w:val="none"/>
              </w:rPr>
              <w:t>8</w:t>
            </w:r>
          </w:p>
        </w:tc>
        <w:tc>
          <w:tcPr>
            <w:tcW w:w="2060" w:type="dxa"/>
            <w:vAlign w:val="center"/>
          </w:tcPr>
          <w:p w14:paraId="47360A8B">
            <w:pPr>
              <w:pStyle w:val="22"/>
              <w:bidi w:val="0"/>
              <w:jc w:val="center"/>
              <w:rPr>
                <w:highlight w:val="none"/>
              </w:rPr>
            </w:pPr>
            <w:r>
              <w:rPr>
                <w:highlight w:val="none"/>
              </w:rPr>
              <w:t>鸻形目</w:t>
            </w:r>
          </w:p>
        </w:tc>
        <w:tc>
          <w:tcPr>
            <w:tcW w:w="1266" w:type="dxa"/>
            <w:vAlign w:val="center"/>
          </w:tcPr>
          <w:p w14:paraId="7ABF55CB">
            <w:pPr>
              <w:pStyle w:val="22"/>
              <w:bidi w:val="0"/>
              <w:jc w:val="center"/>
              <w:rPr>
                <w:highlight w:val="none"/>
              </w:rPr>
            </w:pPr>
            <w:r>
              <w:rPr>
                <w:highlight w:val="none"/>
              </w:rPr>
              <w:t>2</w:t>
            </w:r>
          </w:p>
        </w:tc>
        <w:tc>
          <w:tcPr>
            <w:tcW w:w="1268" w:type="dxa"/>
            <w:vAlign w:val="center"/>
          </w:tcPr>
          <w:p w14:paraId="69B0D51E">
            <w:pPr>
              <w:pStyle w:val="22"/>
              <w:bidi w:val="0"/>
              <w:jc w:val="center"/>
              <w:rPr>
                <w:highlight w:val="none"/>
              </w:rPr>
            </w:pPr>
            <w:r>
              <w:rPr>
                <w:highlight w:val="none"/>
              </w:rPr>
              <w:t>4.35%</w:t>
            </w:r>
          </w:p>
        </w:tc>
        <w:tc>
          <w:tcPr>
            <w:tcW w:w="1269" w:type="dxa"/>
            <w:vAlign w:val="center"/>
          </w:tcPr>
          <w:p w14:paraId="212A278F">
            <w:pPr>
              <w:pStyle w:val="22"/>
              <w:bidi w:val="0"/>
              <w:jc w:val="center"/>
              <w:rPr>
                <w:highlight w:val="none"/>
              </w:rPr>
            </w:pPr>
            <w:r>
              <w:rPr>
                <w:highlight w:val="none"/>
              </w:rPr>
              <w:t>5</w:t>
            </w:r>
          </w:p>
        </w:tc>
        <w:tc>
          <w:tcPr>
            <w:tcW w:w="1276" w:type="dxa"/>
            <w:vAlign w:val="center"/>
          </w:tcPr>
          <w:p w14:paraId="4F1564A9">
            <w:pPr>
              <w:pStyle w:val="22"/>
              <w:bidi w:val="0"/>
              <w:jc w:val="center"/>
              <w:rPr>
                <w:highlight w:val="none"/>
              </w:rPr>
            </w:pPr>
            <w:r>
              <w:rPr>
                <w:highlight w:val="none"/>
              </w:rPr>
              <w:t>4.27%</w:t>
            </w:r>
          </w:p>
        </w:tc>
      </w:tr>
      <w:tr w14:paraId="63D5A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1A05C65D">
            <w:pPr>
              <w:pStyle w:val="22"/>
              <w:bidi w:val="0"/>
              <w:jc w:val="center"/>
              <w:rPr>
                <w:highlight w:val="none"/>
              </w:rPr>
            </w:pPr>
            <w:r>
              <w:rPr>
                <w:highlight w:val="none"/>
              </w:rPr>
              <w:t>9</w:t>
            </w:r>
          </w:p>
        </w:tc>
        <w:tc>
          <w:tcPr>
            <w:tcW w:w="2060" w:type="dxa"/>
            <w:vAlign w:val="center"/>
          </w:tcPr>
          <w:p w14:paraId="74F806F3">
            <w:pPr>
              <w:pStyle w:val="22"/>
              <w:bidi w:val="0"/>
              <w:jc w:val="center"/>
              <w:rPr>
                <w:highlight w:val="none"/>
              </w:rPr>
            </w:pPr>
            <w:r>
              <w:rPr>
                <w:highlight w:val="none"/>
              </w:rPr>
              <w:t>鸮形目</w:t>
            </w:r>
          </w:p>
        </w:tc>
        <w:tc>
          <w:tcPr>
            <w:tcW w:w="1266" w:type="dxa"/>
            <w:vAlign w:val="center"/>
          </w:tcPr>
          <w:p w14:paraId="1AE88D92">
            <w:pPr>
              <w:pStyle w:val="22"/>
              <w:bidi w:val="0"/>
              <w:jc w:val="center"/>
              <w:rPr>
                <w:highlight w:val="none"/>
              </w:rPr>
            </w:pPr>
            <w:r>
              <w:rPr>
                <w:highlight w:val="none"/>
              </w:rPr>
              <w:t>1</w:t>
            </w:r>
          </w:p>
        </w:tc>
        <w:tc>
          <w:tcPr>
            <w:tcW w:w="1268" w:type="dxa"/>
            <w:vAlign w:val="center"/>
          </w:tcPr>
          <w:p w14:paraId="01C04F65">
            <w:pPr>
              <w:pStyle w:val="22"/>
              <w:bidi w:val="0"/>
              <w:jc w:val="center"/>
              <w:rPr>
                <w:highlight w:val="none"/>
              </w:rPr>
            </w:pPr>
            <w:r>
              <w:rPr>
                <w:highlight w:val="none"/>
              </w:rPr>
              <w:t>2. 17%</w:t>
            </w:r>
          </w:p>
        </w:tc>
        <w:tc>
          <w:tcPr>
            <w:tcW w:w="1269" w:type="dxa"/>
            <w:vAlign w:val="center"/>
          </w:tcPr>
          <w:p w14:paraId="45198EE4">
            <w:pPr>
              <w:pStyle w:val="22"/>
              <w:bidi w:val="0"/>
              <w:jc w:val="center"/>
              <w:rPr>
                <w:highlight w:val="none"/>
              </w:rPr>
            </w:pPr>
            <w:r>
              <w:rPr>
                <w:highlight w:val="none"/>
              </w:rPr>
              <w:t>1</w:t>
            </w:r>
          </w:p>
        </w:tc>
        <w:tc>
          <w:tcPr>
            <w:tcW w:w="1276" w:type="dxa"/>
            <w:vAlign w:val="center"/>
          </w:tcPr>
          <w:p w14:paraId="71F032D9">
            <w:pPr>
              <w:pStyle w:val="22"/>
              <w:bidi w:val="0"/>
              <w:jc w:val="center"/>
              <w:rPr>
                <w:highlight w:val="none"/>
              </w:rPr>
            </w:pPr>
            <w:r>
              <w:rPr>
                <w:highlight w:val="none"/>
              </w:rPr>
              <w:t>0.85%</w:t>
            </w:r>
          </w:p>
        </w:tc>
      </w:tr>
      <w:tr w14:paraId="73091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388" w:type="dxa"/>
            <w:vAlign w:val="center"/>
          </w:tcPr>
          <w:p w14:paraId="5D952E9C">
            <w:pPr>
              <w:pStyle w:val="22"/>
              <w:bidi w:val="0"/>
              <w:jc w:val="center"/>
              <w:rPr>
                <w:highlight w:val="none"/>
              </w:rPr>
            </w:pPr>
            <w:r>
              <w:rPr>
                <w:highlight w:val="none"/>
              </w:rPr>
              <w:t>10</w:t>
            </w:r>
          </w:p>
        </w:tc>
        <w:tc>
          <w:tcPr>
            <w:tcW w:w="2060" w:type="dxa"/>
            <w:vAlign w:val="center"/>
          </w:tcPr>
          <w:p w14:paraId="19572252">
            <w:pPr>
              <w:pStyle w:val="22"/>
              <w:bidi w:val="0"/>
              <w:jc w:val="center"/>
              <w:rPr>
                <w:highlight w:val="none"/>
              </w:rPr>
            </w:pPr>
            <w:r>
              <w:rPr>
                <w:highlight w:val="none"/>
              </w:rPr>
              <w:t>鹰形目</w:t>
            </w:r>
          </w:p>
        </w:tc>
        <w:tc>
          <w:tcPr>
            <w:tcW w:w="1266" w:type="dxa"/>
            <w:vAlign w:val="center"/>
          </w:tcPr>
          <w:p w14:paraId="464D43C3">
            <w:pPr>
              <w:pStyle w:val="22"/>
              <w:bidi w:val="0"/>
              <w:jc w:val="center"/>
              <w:rPr>
                <w:highlight w:val="none"/>
              </w:rPr>
            </w:pPr>
            <w:r>
              <w:rPr>
                <w:highlight w:val="none"/>
              </w:rPr>
              <w:t>1</w:t>
            </w:r>
          </w:p>
        </w:tc>
        <w:tc>
          <w:tcPr>
            <w:tcW w:w="1268" w:type="dxa"/>
            <w:vAlign w:val="center"/>
          </w:tcPr>
          <w:p w14:paraId="18A58A99">
            <w:pPr>
              <w:pStyle w:val="22"/>
              <w:bidi w:val="0"/>
              <w:jc w:val="center"/>
              <w:rPr>
                <w:highlight w:val="none"/>
              </w:rPr>
            </w:pPr>
            <w:r>
              <w:rPr>
                <w:highlight w:val="none"/>
              </w:rPr>
              <w:t>2. 17%</w:t>
            </w:r>
          </w:p>
        </w:tc>
        <w:tc>
          <w:tcPr>
            <w:tcW w:w="1269" w:type="dxa"/>
            <w:vAlign w:val="center"/>
          </w:tcPr>
          <w:p w14:paraId="1596AC28">
            <w:pPr>
              <w:pStyle w:val="22"/>
              <w:bidi w:val="0"/>
              <w:jc w:val="center"/>
              <w:rPr>
                <w:highlight w:val="none"/>
              </w:rPr>
            </w:pPr>
            <w:r>
              <w:rPr>
                <w:highlight w:val="none"/>
              </w:rPr>
              <w:t>6</w:t>
            </w:r>
          </w:p>
        </w:tc>
        <w:tc>
          <w:tcPr>
            <w:tcW w:w="1276" w:type="dxa"/>
            <w:vAlign w:val="center"/>
          </w:tcPr>
          <w:p w14:paraId="1A666BB2">
            <w:pPr>
              <w:pStyle w:val="22"/>
              <w:bidi w:val="0"/>
              <w:jc w:val="center"/>
              <w:rPr>
                <w:highlight w:val="none"/>
              </w:rPr>
            </w:pPr>
            <w:r>
              <w:rPr>
                <w:highlight w:val="none"/>
              </w:rPr>
              <w:t>5. 13%</w:t>
            </w:r>
          </w:p>
        </w:tc>
      </w:tr>
      <w:tr w14:paraId="6FB95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64C35998">
            <w:pPr>
              <w:pStyle w:val="22"/>
              <w:bidi w:val="0"/>
              <w:jc w:val="center"/>
              <w:rPr>
                <w:highlight w:val="none"/>
              </w:rPr>
            </w:pPr>
            <w:r>
              <w:rPr>
                <w:highlight w:val="none"/>
              </w:rPr>
              <w:t>11</w:t>
            </w:r>
          </w:p>
        </w:tc>
        <w:tc>
          <w:tcPr>
            <w:tcW w:w="2060" w:type="dxa"/>
            <w:vAlign w:val="center"/>
          </w:tcPr>
          <w:p w14:paraId="5BA80C0F">
            <w:pPr>
              <w:pStyle w:val="22"/>
              <w:bidi w:val="0"/>
              <w:jc w:val="center"/>
              <w:rPr>
                <w:highlight w:val="none"/>
              </w:rPr>
            </w:pPr>
            <w:r>
              <w:rPr>
                <w:highlight w:val="none"/>
              </w:rPr>
              <w:t>犀鸟目</w:t>
            </w:r>
          </w:p>
        </w:tc>
        <w:tc>
          <w:tcPr>
            <w:tcW w:w="1266" w:type="dxa"/>
            <w:vAlign w:val="center"/>
          </w:tcPr>
          <w:p w14:paraId="63EE2AC3">
            <w:pPr>
              <w:pStyle w:val="22"/>
              <w:bidi w:val="0"/>
              <w:jc w:val="center"/>
              <w:rPr>
                <w:highlight w:val="none"/>
              </w:rPr>
            </w:pPr>
            <w:r>
              <w:rPr>
                <w:highlight w:val="none"/>
              </w:rPr>
              <w:t>1</w:t>
            </w:r>
          </w:p>
        </w:tc>
        <w:tc>
          <w:tcPr>
            <w:tcW w:w="1268" w:type="dxa"/>
            <w:vAlign w:val="center"/>
          </w:tcPr>
          <w:p w14:paraId="20D994A5">
            <w:pPr>
              <w:pStyle w:val="22"/>
              <w:bidi w:val="0"/>
              <w:jc w:val="center"/>
              <w:rPr>
                <w:highlight w:val="none"/>
              </w:rPr>
            </w:pPr>
            <w:r>
              <w:rPr>
                <w:highlight w:val="none"/>
              </w:rPr>
              <w:t>2. 17%</w:t>
            </w:r>
          </w:p>
        </w:tc>
        <w:tc>
          <w:tcPr>
            <w:tcW w:w="1269" w:type="dxa"/>
            <w:vAlign w:val="center"/>
          </w:tcPr>
          <w:p w14:paraId="1C0F8BC6">
            <w:pPr>
              <w:pStyle w:val="22"/>
              <w:bidi w:val="0"/>
              <w:jc w:val="center"/>
              <w:rPr>
                <w:highlight w:val="none"/>
              </w:rPr>
            </w:pPr>
            <w:r>
              <w:rPr>
                <w:highlight w:val="none"/>
              </w:rPr>
              <w:t>1</w:t>
            </w:r>
          </w:p>
        </w:tc>
        <w:tc>
          <w:tcPr>
            <w:tcW w:w="1276" w:type="dxa"/>
            <w:vAlign w:val="center"/>
          </w:tcPr>
          <w:p w14:paraId="41FDB594">
            <w:pPr>
              <w:pStyle w:val="22"/>
              <w:bidi w:val="0"/>
              <w:jc w:val="center"/>
              <w:rPr>
                <w:highlight w:val="none"/>
              </w:rPr>
            </w:pPr>
            <w:r>
              <w:rPr>
                <w:highlight w:val="none"/>
              </w:rPr>
              <w:t>0.85%</w:t>
            </w:r>
          </w:p>
        </w:tc>
      </w:tr>
      <w:tr w14:paraId="1EA55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388" w:type="dxa"/>
            <w:vAlign w:val="center"/>
          </w:tcPr>
          <w:p w14:paraId="183CAECB">
            <w:pPr>
              <w:pStyle w:val="22"/>
              <w:bidi w:val="0"/>
              <w:jc w:val="center"/>
              <w:rPr>
                <w:highlight w:val="none"/>
              </w:rPr>
            </w:pPr>
            <w:r>
              <w:rPr>
                <w:highlight w:val="none"/>
              </w:rPr>
              <w:t>12</w:t>
            </w:r>
          </w:p>
        </w:tc>
        <w:tc>
          <w:tcPr>
            <w:tcW w:w="2060" w:type="dxa"/>
            <w:vAlign w:val="center"/>
          </w:tcPr>
          <w:p w14:paraId="5A9C17D5">
            <w:pPr>
              <w:pStyle w:val="22"/>
              <w:bidi w:val="0"/>
              <w:jc w:val="center"/>
              <w:rPr>
                <w:highlight w:val="none"/>
              </w:rPr>
            </w:pPr>
            <w:r>
              <w:rPr>
                <w:highlight w:val="none"/>
              </w:rPr>
              <w:t>佛法僧目</w:t>
            </w:r>
          </w:p>
        </w:tc>
        <w:tc>
          <w:tcPr>
            <w:tcW w:w="1266" w:type="dxa"/>
            <w:vAlign w:val="center"/>
          </w:tcPr>
          <w:p w14:paraId="309C07F8">
            <w:pPr>
              <w:pStyle w:val="22"/>
              <w:bidi w:val="0"/>
              <w:jc w:val="center"/>
              <w:rPr>
                <w:highlight w:val="none"/>
              </w:rPr>
            </w:pPr>
            <w:r>
              <w:rPr>
                <w:highlight w:val="none"/>
              </w:rPr>
              <w:t>1</w:t>
            </w:r>
          </w:p>
        </w:tc>
        <w:tc>
          <w:tcPr>
            <w:tcW w:w="1268" w:type="dxa"/>
            <w:vAlign w:val="center"/>
          </w:tcPr>
          <w:p w14:paraId="69CC1ACE">
            <w:pPr>
              <w:pStyle w:val="22"/>
              <w:bidi w:val="0"/>
              <w:jc w:val="center"/>
              <w:rPr>
                <w:highlight w:val="none"/>
              </w:rPr>
            </w:pPr>
            <w:r>
              <w:rPr>
                <w:highlight w:val="none"/>
              </w:rPr>
              <w:t>2. 17%</w:t>
            </w:r>
          </w:p>
        </w:tc>
        <w:tc>
          <w:tcPr>
            <w:tcW w:w="1269" w:type="dxa"/>
            <w:vAlign w:val="center"/>
          </w:tcPr>
          <w:p w14:paraId="66F5B872">
            <w:pPr>
              <w:pStyle w:val="22"/>
              <w:bidi w:val="0"/>
              <w:jc w:val="center"/>
              <w:rPr>
                <w:highlight w:val="none"/>
              </w:rPr>
            </w:pPr>
            <w:r>
              <w:rPr>
                <w:highlight w:val="none"/>
              </w:rPr>
              <w:t>1</w:t>
            </w:r>
          </w:p>
        </w:tc>
        <w:tc>
          <w:tcPr>
            <w:tcW w:w="1276" w:type="dxa"/>
            <w:vAlign w:val="center"/>
          </w:tcPr>
          <w:p w14:paraId="381BAF56">
            <w:pPr>
              <w:pStyle w:val="22"/>
              <w:bidi w:val="0"/>
              <w:jc w:val="center"/>
              <w:rPr>
                <w:highlight w:val="none"/>
              </w:rPr>
            </w:pPr>
            <w:r>
              <w:rPr>
                <w:highlight w:val="none"/>
              </w:rPr>
              <w:t>0.85%</w:t>
            </w:r>
          </w:p>
        </w:tc>
      </w:tr>
      <w:tr w14:paraId="4B29B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08D9E2E2">
            <w:pPr>
              <w:pStyle w:val="22"/>
              <w:bidi w:val="0"/>
              <w:jc w:val="center"/>
              <w:rPr>
                <w:highlight w:val="none"/>
              </w:rPr>
            </w:pPr>
            <w:r>
              <w:rPr>
                <w:highlight w:val="none"/>
              </w:rPr>
              <w:t>13</w:t>
            </w:r>
          </w:p>
        </w:tc>
        <w:tc>
          <w:tcPr>
            <w:tcW w:w="2060" w:type="dxa"/>
            <w:vAlign w:val="center"/>
          </w:tcPr>
          <w:p w14:paraId="5C93D911">
            <w:pPr>
              <w:pStyle w:val="22"/>
              <w:bidi w:val="0"/>
              <w:jc w:val="center"/>
              <w:rPr>
                <w:highlight w:val="none"/>
              </w:rPr>
            </w:pPr>
            <w:r>
              <w:rPr>
                <w:highlight w:val="none"/>
              </w:rPr>
              <w:t>啄木鸟目</w:t>
            </w:r>
          </w:p>
        </w:tc>
        <w:tc>
          <w:tcPr>
            <w:tcW w:w="1266" w:type="dxa"/>
            <w:vAlign w:val="center"/>
          </w:tcPr>
          <w:p w14:paraId="6FFF3C27">
            <w:pPr>
              <w:pStyle w:val="22"/>
              <w:bidi w:val="0"/>
              <w:jc w:val="center"/>
              <w:rPr>
                <w:highlight w:val="none"/>
              </w:rPr>
            </w:pPr>
            <w:r>
              <w:rPr>
                <w:highlight w:val="none"/>
              </w:rPr>
              <w:t>1</w:t>
            </w:r>
          </w:p>
        </w:tc>
        <w:tc>
          <w:tcPr>
            <w:tcW w:w="1268" w:type="dxa"/>
            <w:vAlign w:val="center"/>
          </w:tcPr>
          <w:p w14:paraId="2BE5E880">
            <w:pPr>
              <w:pStyle w:val="22"/>
              <w:bidi w:val="0"/>
              <w:jc w:val="center"/>
              <w:rPr>
                <w:highlight w:val="none"/>
              </w:rPr>
            </w:pPr>
            <w:r>
              <w:rPr>
                <w:highlight w:val="none"/>
              </w:rPr>
              <w:t>2. 17%</w:t>
            </w:r>
          </w:p>
        </w:tc>
        <w:tc>
          <w:tcPr>
            <w:tcW w:w="1269" w:type="dxa"/>
            <w:vAlign w:val="center"/>
          </w:tcPr>
          <w:p w14:paraId="7C81F7BE">
            <w:pPr>
              <w:pStyle w:val="22"/>
              <w:bidi w:val="0"/>
              <w:jc w:val="center"/>
              <w:rPr>
                <w:highlight w:val="none"/>
              </w:rPr>
            </w:pPr>
            <w:r>
              <w:rPr>
                <w:highlight w:val="none"/>
              </w:rPr>
              <w:t>7</w:t>
            </w:r>
          </w:p>
        </w:tc>
        <w:tc>
          <w:tcPr>
            <w:tcW w:w="1276" w:type="dxa"/>
            <w:vAlign w:val="center"/>
          </w:tcPr>
          <w:p w14:paraId="60F58F22">
            <w:pPr>
              <w:pStyle w:val="22"/>
              <w:bidi w:val="0"/>
              <w:jc w:val="center"/>
              <w:rPr>
                <w:highlight w:val="none"/>
              </w:rPr>
            </w:pPr>
            <w:r>
              <w:rPr>
                <w:highlight w:val="none"/>
              </w:rPr>
              <w:t>5.98%</w:t>
            </w:r>
          </w:p>
        </w:tc>
      </w:tr>
      <w:tr w14:paraId="24B91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388" w:type="dxa"/>
            <w:vAlign w:val="center"/>
          </w:tcPr>
          <w:p w14:paraId="113D5A1E">
            <w:pPr>
              <w:pStyle w:val="22"/>
              <w:bidi w:val="0"/>
              <w:jc w:val="center"/>
              <w:rPr>
                <w:highlight w:val="none"/>
              </w:rPr>
            </w:pPr>
            <w:r>
              <w:rPr>
                <w:highlight w:val="none"/>
              </w:rPr>
              <w:t>14</w:t>
            </w:r>
          </w:p>
        </w:tc>
        <w:tc>
          <w:tcPr>
            <w:tcW w:w="2060" w:type="dxa"/>
            <w:vAlign w:val="center"/>
          </w:tcPr>
          <w:p w14:paraId="0E301482">
            <w:pPr>
              <w:pStyle w:val="22"/>
              <w:bidi w:val="0"/>
              <w:jc w:val="center"/>
              <w:rPr>
                <w:highlight w:val="none"/>
              </w:rPr>
            </w:pPr>
            <w:r>
              <w:rPr>
                <w:highlight w:val="none"/>
              </w:rPr>
              <w:t>隼形目</w:t>
            </w:r>
          </w:p>
        </w:tc>
        <w:tc>
          <w:tcPr>
            <w:tcW w:w="1266" w:type="dxa"/>
            <w:vAlign w:val="center"/>
          </w:tcPr>
          <w:p w14:paraId="12C7C7B3">
            <w:pPr>
              <w:pStyle w:val="22"/>
              <w:bidi w:val="0"/>
              <w:jc w:val="center"/>
              <w:rPr>
                <w:highlight w:val="none"/>
              </w:rPr>
            </w:pPr>
            <w:r>
              <w:rPr>
                <w:highlight w:val="none"/>
              </w:rPr>
              <w:t>1</w:t>
            </w:r>
          </w:p>
        </w:tc>
        <w:tc>
          <w:tcPr>
            <w:tcW w:w="1268" w:type="dxa"/>
            <w:vAlign w:val="center"/>
          </w:tcPr>
          <w:p w14:paraId="1CB6D64E">
            <w:pPr>
              <w:pStyle w:val="22"/>
              <w:bidi w:val="0"/>
              <w:jc w:val="center"/>
              <w:rPr>
                <w:highlight w:val="none"/>
              </w:rPr>
            </w:pPr>
            <w:r>
              <w:rPr>
                <w:highlight w:val="none"/>
              </w:rPr>
              <w:t>2. 17%</w:t>
            </w:r>
          </w:p>
        </w:tc>
        <w:tc>
          <w:tcPr>
            <w:tcW w:w="1269" w:type="dxa"/>
            <w:vAlign w:val="center"/>
          </w:tcPr>
          <w:p w14:paraId="1AB8A290">
            <w:pPr>
              <w:pStyle w:val="22"/>
              <w:bidi w:val="0"/>
              <w:jc w:val="center"/>
              <w:rPr>
                <w:highlight w:val="none"/>
              </w:rPr>
            </w:pPr>
            <w:r>
              <w:rPr>
                <w:highlight w:val="none"/>
              </w:rPr>
              <w:t>2</w:t>
            </w:r>
          </w:p>
        </w:tc>
        <w:tc>
          <w:tcPr>
            <w:tcW w:w="1276" w:type="dxa"/>
            <w:vAlign w:val="center"/>
          </w:tcPr>
          <w:p w14:paraId="79F9F812">
            <w:pPr>
              <w:pStyle w:val="22"/>
              <w:bidi w:val="0"/>
              <w:jc w:val="center"/>
              <w:rPr>
                <w:highlight w:val="none"/>
              </w:rPr>
            </w:pPr>
            <w:r>
              <w:rPr>
                <w:highlight w:val="none"/>
              </w:rPr>
              <w:t>1.71%</w:t>
            </w:r>
          </w:p>
        </w:tc>
      </w:tr>
      <w:tr w14:paraId="55C91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388" w:type="dxa"/>
            <w:vAlign w:val="center"/>
          </w:tcPr>
          <w:p w14:paraId="7BB51E4A">
            <w:pPr>
              <w:pStyle w:val="22"/>
              <w:bidi w:val="0"/>
              <w:jc w:val="center"/>
              <w:rPr>
                <w:highlight w:val="none"/>
              </w:rPr>
            </w:pPr>
            <w:r>
              <w:rPr>
                <w:highlight w:val="none"/>
              </w:rPr>
              <w:t>15</w:t>
            </w:r>
          </w:p>
        </w:tc>
        <w:tc>
          <w:tcPr>
            <w:tcW w:w="2060" w:type="dxa"/>
            <w:vAlign w:val="center"/>
          </w:tcPr>
          <w:p w14:paraId="75F03500">
            <w:pPr>
              <w:pStyle w:val="22"/>
              <w:bidi w:val="0"/>
              <w:jc w:val="center"/>
              <w:rPr>
                <w:highlight w:val="none"/>
              </w:rPr>
            </w:pPr>
            <w:r>
              <w:rPr>
                <w:highlight w:val="none"/>
              </w:rPr>
              <w:t>鹦鹉目</w:t>
            </w:r>
          </w:p>
        </w:tc>
        <w:tc>
          <w:tcPr>
            <w:tcW w:w="1266" w:type="dxa"/>
            <w:vAlign w:val="center"/>
          </w:tcPr>
          <w:p w14:paraId="75061D1A">
            <w:pPr>
              <w:pStyle w:val="22"/>
              <w:bidi w:val="0"/>
              <w:jc w:val="center"/>
              <w:rPr>
                <w:highlight w:val="none"/>
              </w:rPr>
            </w:pPr>
            <w:r>
              <w:rPr>
                <w:highlight w:val="none"/>
              </w:rPr>
              <w:t>1</w:t>
            </w:r>
          </w:p>
        </w:tc>
        <w:tc>
          <w:tcPr>
            <w:tcW w:w="1268" w:type="dxa"/>
            <w:vAlign w:val="center"/>
          </w:tcPr>
          <w:p w14:paraId="5087B981">
            <w:pPr>
              <w:pStyle w:val="22"/>
              <w:bidi w:val="0"/>
              <w:jc w:val="center"/>
              <w:rPr>
                <w:highlight w:val="none"/>
              </w:rPr>
            </w:pPr>
            <w:r>
              <w:rPr>
                <w:highlight w:val="none"/>
              </w:rPr>
              <w:t>2. 17%</w:t>
            </w:r>
          </w:p>
        </w:tc>
        <w:tc>
          <w:tcPr>
            <w:tcW w:w="1269" w:type="dxa"/>
            <w:vAlign w:val="center"/>
          </w:tcPr>
          <w:p w14:paraId="46DFB9AC">
            <w:pPr>
              <w:pStyle w:val="22"/>
              <w:bidi w:val="0"/>
              <w:jc w:val="center"/>
              <w:rPr>
                <w:highlight w:val="none"/>
              </w:rPr>
            </w:pPr>
            <w:r>
              <w:rPr>
                <w:highlight w:val="none"/>
              </w:rPr>
              <w:t>1</w:t>
            </w:r>
          </w:p>
        </w:tc>
        <w:tc>
          <w:tcPr>
            <w:tcW w:w="1276" w:type="dxa"/>
            <w:vAlign w:val="center"/>
          </w:tcPr>
          <w:p w14:paraId="634B1AA9">
            <w:pPr>
              <w:pStyle w:val="22"/>
              <w:bidi w:val="0"/>
              <w:jc w:val="center"/>
              <w:rPr>
                <w:highlight w:val="none"/>
              </w:rPr>
            </w:pPr>
            <w:r>
              <w:rPr>
                <w:highlight w:val="none"/>
              </w:rPr>
              <w:t>0.85%</w:t>
            </w:r>
          </w:p>
        </w:tc>
      </w:tr>
      <w:tr w14:paraId="10622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388" w:type="dxa"/>
            <w:vAlign w:val="center"/>
          </w:tcPr>
          <w:p w14:paraId="7753D996">
            <w:pPr>
              <w:pStyle w:val="22"/>
              <w:bidi w:val="0"/>
              <w:jc w:val="center"/>
              <w:rPr>
                <w:highlight w:val="none"/>
              </w:rPr>
            </w:pPr>
            <w:r>
              <w:rPr>
                <w:highlight w:val="none"/>
              </w:rPr>
              <w:t>16</w:t>
            </w:r>
          </w:p>
        </w:tc>
        <w:tc>
          <w:tcPr>
            <w:tcW w:w="2060" w:type="dxa"/>
            <w:vAlign w:val="center"/>
          </w:tcPr>
          <w:p w14:paraId="7A99924C">
            <w:pPr>
              <w:pStyle w:val="22"/>
              <w:bidi w:val="0"/>
              <w:jc w:val="center"/>
              <w:rPr>
                <w:highlight w:val="none"/>
              </w:rPr>
            </w:pPr>
            <w:r>
              <w:rPr>
                <w:highlight w:val="none"/>
              </w:rPr>
              <w:t>雀形目</w:t>
            </w:r>
          </w:p>
        </w:tc>
        <w:tc>
          <w:tcPr>
            <w:tcW w:w="1266" w:type="dxa"/>
            <w:vAlign w:val="center"/>
          </w:tcPr>
          <w:p w14:paraId="0A060D1B">
            <w:pPr>
              <w:pStyle w:val="22"/>
              <w:bidi w:val="0"/>
              <w:jc w:val="center"/>
              <w:rPr>
                <w:highlight w:val="none"/>
              </w:rPr>
            </w:pPr>
            <w:r>
              <w:rPr>
                <w:highlight w:val="none"/>
              </w:rPr>
              <w:t>29</w:t>
            </w:r>
          </w:p>
        </w:tc>
        <w:tc>
          <w:tcPr>
            <w:tcW w:w="1268" w:type="dxa"/>
            <w:vAlign w:val="center"/>
          </w:tcPr>
          <w:p w14:paraId="483F5156">
            <w:pPr>
              <w:pStyle w:val="22"/>
              <w:bidi w:val="0"/>
              <w:jc w:val="center"/>
              <w:rPr>
                <w:highlight w:val="none"/>
              </w:rPr>
            </w:pPr>
            <w:r>
              <w:rPr>
                <w:highlight w:val="none"/>
              </w:rPr>
              <w:t>63.04%</w:t>
            </w:r>
          </w:p>
        </w:tc>
        <w:tc>
          <w:tcPr>
            <w:tcW w:w="1269" w:type="dxa"/>
            <w:vAlign w:val="center"/>
          </w:tcPr>
          <w:p w14:paraId="4E11C4F4">
            <w:pPr>
              <w:pStyle w:val="22"/>
              <w:bidi w:val="0"/>
              <w:jc w:val="center"/>
              <w:rPr>
                <w:highlight w:val="none"/>
              </w:rPr>
            </w:pPr>
            <w:r>
              <w:rPr>
                <w:highlight w:val="none"/>
              </w:rPr>
              <w:t>65</w:t>
            </w:r>
          </w:p>
        </w:tc>
        <w:tc>
          <w:tcPr>
            <w:tcW w:w="1276" w:type="dxa"/>
            <w:vAlign w:val="center"/>
          </w:tcPr>
          <w:p w14:paraId="4A65D925">
            <w:pPr>
              <w:pStyle w:val="22"/>
              <w:bidi w:val="0"/>
              <w:jc w:val="center"/>
              <w:rPr>
                <w:highlight w:val="none"/>
              </w:rPr>
            </w:pPr>
            <w:r>
              <w:rPr>
                <w:highlight w:val="none"/>
              </w:rPr>
              <w:t>55.56%</w:t>
            </w:r>
          </w:p>
        </w:tc>
      </w:tr>
      <w:tr w14:paraId="41543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trPr>
        <w:tc>
          <w:tcPr>
            <w:tcW w:w="3448" w:type="dxa"/>
            <w:gridSpan w:val="2"/>
            <w:vAlign w:val="center"/>
          </w:tcPr>
          <w:p w14:paraId="3F243052">
            <w:pPr>
              <w:pStyle w:val="22"/>
              <w:bidi w:val="0"/>
              <w:jc w:val="center"/>
              <w:rPr>
                <w:highlight w:val="none"/>
              </w:rPr>
            </w:pPr>
            <w:r>
              <w:rPr>
                <w:highlight w:val="none"/>
              </w:rPr>
              <w:t>合计</w:t>
            </w:r>
          </w:p>
        </w:tc>
        <w:tc>
          <w:tcPr>
            <w:tcW w:w="1266" w:type="dxa"/>
            <w:vAlign w:val="center"/>
          </w:tcPr>
          <w:p w14:paraId="49AE333C">
            <w:pPr>
              <w:pStyle w:val="22"/>
              <w:bidi w:val="0"/>
              <w:jc w:val="center"/>
              <w:rPr>
                <w:highlight w:val="none"/>
              </w:rPr>
            </w:pPr>
            <w:r>
              <w:rPr>
                <w:highlight w:val="none"/>
              </w:rPr>
              <w:t>46</w:t>
            </w:r>
          </w:p>
        </w:tc>
        <w:tc>
          <w:tcPr>
            <w:tcW w:w="1268" w:type="dxa"/>
            <w:vAlign w:val="center"/>
          </w:tcPr>
          <w:p w14:paraId="24EE6809">
            <w:pPr>
              <w:pStyle w:val="22"/>
              <w:bidi w:val="0"/>
              <w:jc w:val="center"/>
              <w:rPr>
                <w:highlight w:val="none"/>
              </w:rPr>
            </w:pPr>
            <w:r>
              <w:rPr>
                <w:highlight w:val="none"/>
              </w:rPr>
              <w:t>100.00%</w:t>
            </w:r>
          </w:p>
        </w:tc>
        <w:tc>
          <w:tcPr>
            <w:tcW w:w="1269" w:type="dxa"/>
            <w:vAlign w:val="center"/>
          </w:tcPr>
          <w:p w14:paraId="599689FE">
            <w:pPr>
              <w:pStyle w:val="22"/>
              <w:bidi w:val="0"/>
              <w:jc w:val="center"/>
              <w:rPr>
                <w:highlight w:val="none"/>
              </w:rPr>
            </w:pPr>
            <w:r>
              <w:rPr>
                <w:highlight w:val="none"/>
              </w:rPr>
              <w:t>117</w:t>
            </w:r>
          </w:p>
        </w:tc>
        <w:tc>
          <w:tcPr>
            <w:tcW w:w="1276" w:type="dxa"/>
            <w:vAlign w:val="center"/>
          </w:tcPr>
          <w:p w14:paraId="0880910D">
            <w:pPr>
              <w:pStyle w:val="22"/>
              <w:bidi w:val="0"/>
              <w:jc w:val="center"/>
              <w:rPr>
                <w:highlight w:val="none"/>
              </w:rPr>
            </w:pPr>
            <w:r>
              <w:rPr>
                <w:highlight w:val="none"/>
              </w:rPr>
              <w:t>100.00%</w:t>
            </w:r>
          </w:p>
        </w:tc>
      </w:tr>
    </w:tbl>
    <w:p w14:paraId="26E1FBFE">
      <w:pPr>
        <w:bidi w:val="0"/>
        <w:ind w:left="0" w:leftChars="0" w:firstLine="0" w:firstLineChars="0"/>
        <w:rPr>
          <w:rFonts w:hint="default"/>
          <w:highlight w:val="none"/>
          <w:lang w:val="en-US" w:eastAsia="zh-CN"/>
        </w:rPr>
      </w:pPr>
    </w:p>
    <w:p w14:paraId="5D917585">
      <w:pPr>
        <w:bidi w:val="0"/>
        <w:rPr>
          <w:rFonts w:hint="default"/>
          <w:highlight w:val="none"/>
          <w:lang w:val="en-US" w:eastAsia="zh-CN"/>
        </w:rPr>
      </w:pPr>
      <w:r>
        <w:rPr>
          <w:rFonts w:hint="default"/>
          <w:highlight w:val="none"/>
          <w:lang w:val="en-US" w:eastAsia="zh-CN"/>
        </w:rPr>
        <w:t>本次共记录到鸟类个体总频数为 327 次，总数量为 503 只。本次现场调查 到的58 种鸟类按 7 个监测区域划分，坝址下游 13 种；冷龙沟干流库中 21 种； 冷龙沟干流库尾 9 种；巨美拥沟支流沿线 21 种；冷龙村林地 12 种，巴拉镇林 地 16 种；鱼洼仲村 10 种。</w:t>
      </w:r>
    </w:p>
    <w:p w14:paraId="39511B04">
      <w:pPr>
        <w:bidi w:val="0"/>
        <w:rPr>
          <w:rFonts w:hint="default"/>
          <w:highlight w:val="none"/>
          <w:lang w:val="en-US" w:eastAsia="zh-CN"/>
        </w:rPr>
      </w:pPr>
      <w:r>
        <w:rPr>
          <w:rFonts w:hint="default"/>
          <w:highlight w:val="none"/>
          <w:lang w:val="en-US" w:eastAsia="zh-CN"/>
        </w:rPr>
        <w:t>在本次监测观察到的鸟类中，密度最高的是山麻雀(2. 12 只/hm</w:t>
      </w:r>
      <w:r>
        <w:rPr>
          <w:rFonts w:hint="default"/>
          <w:highlight w:val="none"/>
          <w:vertAlign w:val="superscript"/>
          <w:lang w:val="en-US" w:eastAsia="zh-CN"/>
        </w:rPr>
        <w:t>2</w:t>
      </w:r>
      <w:r>
        <w:rPr>
          <w:rFonts w:hint="default"/>
          <w:highlight w:val="none"/>
          <w:lang w:val="en-US" w:eastAsia="zh-CN"/>
        </w:rPr>
        <w:t>) ，其次是黑 眉长尾山雀(1.20 只/hm</w:t>
      </w:r>
      <w:r>
        <w:rPr>
          <w:rFonts w:hint="default"/>
          <w:highlight w:val="none"/>
          <w:vertAlign w:val="superscript"/>
          <w:lang w:val="en-US" w:eastAsia="zh-CN"/>
        </w:rPr>
        <w:t>2</w:t>
      </w:r>
      <w:r>
        <w:rPr>
          <w:rFonts w:hint="default"/>
          <w:highlight w:val="none"/>
          <w:lang w:val="en-US" w:eastAsia="zh-CN"/>
        </w:rPr>
        <w:t>) 、山斑鸠(0.6392 只/hm</w:t>
      </w:r>
      <w:r>
        <w:rPr>
          <w:rFonts w:hint="default"/>
          <w:highlight w:val="none"/>
          <w:vertAlign w:val="superscript"/>
          <w:lang w:val="en-US" w:eastAsia="zh-CN"/>
        </w:rPr>
        <w:t>2</w:t>
      </w:r>
      <w:r>
        <w:rPr>
          <w:rFonts w:hint="default"/>
          <w:highlight w:val="none"/>
          <w:lang w:val="en-US" w:eastAsia="zh-CN"/>
        </w:rPr>
        <w:t>) 、红眉朱雀(0.4008 只/hm2)、岩 燕(0.3041 只/hm</w:t>
      </w:r>
      <w:r>
        <w:rPr>
          <w:rFonts w:hint="default"/>
          <w:highlight w:val="none"/>
          <w:vertAlign w:val="superscript"/>
          <w:lang w:val="en-US" w:eastAsia="zh-CN"/>
        </w:rPr>
        <w:t>2</w:t>
      </w:r>
      <w:r>
        <w:rPr>
          <w:rFonts w:hint="default"/>
          <w:highlight w:val="none"/>
          <w:lang w:val="en-US" w:eastAsia="zh-CN"/>
        </w:rPr>
        <w:t>) 、麻雀(0. 1424 只/hm</w:t>
      </w:r>
      <w:r>
        <w:rPr>
          <w:rFonts w:hint="default"/>
          <w:highlight w:val="none"/>
          <w:vertAlign w:val="superscript"/>
          <w:lang w:val="en-US" w:eastAsia="zh-CN"/>
        </w:rPr>
        <w:t>2</w:t>
      </w:r>
      <w:r>
        <w:rPr>
          <w:rFonts w:hint="default"/>
          <w:highlight w:val="none"/>
          <w:lang w:val="en-US" w:eastAsia="zh-CN"/>
        </w:rPr>
        <w:t>)等，密度较低的有棕背黑头鸫(0.0025 只 /hm</w:t>
      </w:r>
      <w:r>
        <w:rPr>
          <w:rFonts w:hint="default"/>
          <w:highlight w:val="none"/>
          <w:vertAlign w:val="superscript"/>
          <w:lang w:val="en-US" w:eastAsia="zh-CN"/>
        </w:rPr>
        <w:t>2</w:t>
      </w:r>
      <w:r>
        <w:rPr>
          <w:rFonts w:hint="default"/>
          <w:highlight w:val="none"/>
          <w:lang w:val="en-US" w:eastAsia="zh-CN"/>
        </w:rPr>
        <w:t>) 、黄腹啄花鸟(0.0045 只/hm</w:t>
      </w:r>
      <w:r>
        <w:rPr>
          <w:rFonts w:hint="default"/>
          <w:highlight w:val="none"/>
          <w:vertAlign w:val="superscript"/>
          <w:lang w:val="en-US" w:eastAsia="zh-CN"/>
        </w:rPr>
        <w:t>2</w:t>
      </w:r>
      <w:r>
        <w:rPr>
          <w:rFonts w:hint="default"/>
          <w:highlight w:val="none"/>
          <w:lang w:val="en-US" w:eastAsia="zh-CN"/>
        </w:rPr>
        <w:t>)和黄嘴朱顶雀(0.0015 只/hm2)等。</w:t>
      </w:r>
    </w:p>
    <w:p w14:paraId="302FE633">
      <w:pPr>
        <w:bidi w:val="0"/>
        <w:rPr>
          <w:rFonts w:hint="default"/>
          <w:highlight w:val="none"/>
          <w:lang w:val="en-US" w:eastAsia="zh-CN"/>
        </w:rPr>
      </w:pPr>
      <w:r>
        <w:rPr>
          <w:rFonts w:hint="default"/>
          <w:highlight w:val="none"/>
          <w:lang w:val="en-US" w:eastAsia="zh-CN"/>
        </w:rPr>
        <w:t>根据鸟类在样线内出现的数量、时间和空间三项综合指标可以看出，本次 实地监测记录到的 58 种鸟类中，有最重要的鸟类 1 种 ，即山麻雀(IV 值为 209.62)；其余鸟类按 IV 值顺序排名前 9 的依次为山斑鸠、黄臀鹎、白鹡鸰、黑 喉红尾鸲、红眉朱雀、大杜鹃、大嘴乌鸦、大山雀、灰眉岩鹀，它们在监测区 域 中分布较广，观察到的数量较多。</w:t>
      </w:r>
    </w:p>
    <w:p w14:paraId="56E672CA">
      <w:pPr>
        <w:bidi w:val="0"/>
        <w:rPr>
          <w:rFonts w:hint="default"/>
          <w:highlight w:val="none"/>
          <w:lang w:val="en-US" w:eastAsia="zh-CN"/>
        </w:rPr>
      </w:pPr>
      <w:r>
        <w:rPr>
          <w:rFonts w:hint="default"/>
          <w:highlight w:val="none"/>
          <w:lang w:val="en-US" w:eastAsia="zh-CN"/>
        </w:rPr>
        <w:t>根据鸟类出现的样线条数和生境数，可计算出鸟类的分布系数，根据分布 系数，可以将鸟类分为广性分布(分布系数≥100%) 、 中性分布(分布系数50%~ 100%) 、狭性分布(分布系数&lt;50%) 。本次监测记录到的鸟类中，广性分布  的有 3 种，即山麻雀、大嘴乌鸦和山斑鸠；中性分布的有 13 种，即岩鸽、大杜  鹃、牛背鹭、灰背伯劳、喜鹊、红嘴山鸦、大山雀、岩燕、黄臀鹎、乌嘴柳莺、 黑眉长尾山雀、灰头鸫、黑喉红尾鸲等；其余为狭性分布的种类，计 58 种。</w:t>
      </w:r>
    </w:p>
    <w:p w14:paraId="6102574B">
      <w:pPr>
        <w:bidi w:val="0"/>
        <w:rPr>
          <w:rFonts w:hint="default"/>
          <w:highlight w:val="none"/>
          <w:lang w:val="en-US" w:eastAsia="zh-CN"/>
        </w:rPr>
      </w:pPr>
      <w:r>
        <w:rPr>
          <w:rFonts w:hint="default"/>
          <w:highlight w:val="none"/>
          <w:lang w:val="en-US" w:eastAsia="zh-CN"/>
        </w:rPr>
        <w:t>本次尼色拥水库两次调查鸟类数量和分布情况见下表。</w:t>
      </w:r>
    </w:p>
    <w:p w14:paraId="41C129C8">
      <w:pPr>
        <w:pStyle w:val="11"/>
        <w:bidi w:val="0"/>
        <w:ind w:left="0" w:leftChars="0" w:firstLine="0" w:firstLineChars="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36</w:t>
      </w:r>
      <w:r>
        <w:rPr>
          <w:highlight w:val="none"/>
        </w:rPr>
        <w:fldChar w:fldCharType="end"/>
      </w:r>
      <w:r>
        <w:rPr>
          <w:rFonts w:hint="eastAsia"/>
          <w:highlight w:val="none"/>
          <w:lang w:val="en-US" w:eastAsia="zh-CN"/>
        </w:rPr>
        <w:t xml:space="preserve"> </w:t>
      </w:r>
      <w:r>
        <w:rPr>
          <w:rFonts w:hint="default"/>
          <w:highlight w:val="none"/>
          <w:lang w:val="en-US" w:eastAsia="zh-CN"/>
        </w:rPr>
        <w:t>观测到的鸟类数量和种类多样性统计表</w:t>
      </w:r>
    </w:p>
    <w:tbl>
      <w:tblPr>
        <w:tblStyle w:val="24"/>
        <w:tblW w:w="8335" w:type="dxa"/>
        <w:tblInd w:w="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6"/>
        <w:gridCol w:w="1586"/>
        <w:gridCol w:w="531"/>
        <w:gridCol w:w="533"/>
        <w:gridCol w:w="428"/>
        <w:gridCol w:w="428"/>
        <w:gridCol w:w="793"/>
        <w:gridCol w:w="795"/>
        <w:gridCol w:w="970"/>
        <w:gridCol w:w="795"/>
        <w:gridCol w:w="800"/>
      </w:tblGrid>
      <w:tr w14:paraId="150C5D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 w:hRule="atLeast"/>
          <w:tblHeader/>
        </w:trPr>
        <w:tc>
          <w:tcPr>
            <w:tcW w:w="676" w:type="dxa"/>
            <w:vAlign w:val="center"/>
          </w:tcPr>
          <w:p w14:paraId="5FA2700F">
            <w:pPr>
              <w:pStyle w:val="22"/>
              <w:bidi w:val="0"/>
              <w:jc w:val="center"/>
              <w:rPr>
                <w:highlight w:val="none"/>
              </w:rPr>
            </w:pPr>
            <w:r>
              <w:rPr>
                <w:highlight w:val="none"/>
              </w:rPr>
              <w:t>编号</w:t>
            </w:r>
          </w:p>
        </w:tc>
        <w:tc>
          <w:tcPr>
            <w:tcW w:w="1586" w:type="dxa"/>
            <w:vAlign w:val="center"/>
          </w:tcPr>
          <w:p w14:paraId="57A0D396">
            <w:pPr>
              <w:pStyle w:val="22"/>
              <w:bidi w:val="0"/>
              <w:jc w:val="center"/>
              <w:rPr>
                <w:highlight w:val="none"/>
              </w:rPr>
            </w:pPr>
            <w:r>
              <w:rPr>
                <w:highlight w:val="none"/>
              </w:rPr>
              <w:t>种</w:t>
            </w:r>
          </w:p>
        </w:tc>
        <w:tc>
          <w:tcPr>
            <w:tcW w:w="531" w:type="dxa"/>
            <w:vAlign w:val="center"/>
          </w:tcPr>
          <w:p w14:paraId="3D945C6A">
            <w:pPr>
              <w:pStyle w:val="22"/>
              <w:bidi w:val="0"/>
              <w:jc w:val="center"/>
              <w:rPr>
                <w:highlight w:val="none"/>
              </w:rPr>
            </w:pPr>
            <w:r>
              <w:rPr>
                <w:highlight w:val="none"/>
              </w:rPr>
              <w:t>数量</w:t>
            </w:r>
          </w:p>
        </w:tc>
        <w:tc>
          <w:tcPr>
            <w:tcW w:w="533" w:type="dxa"/>
            <w:vAlign w:val="center"/>
          </w:tcPr>
          <w:p w14:paraId="042E14F1">
            <w:pPr>
              <w:pStyle w:val="22"/>
              <w:bidi w:val="0"/>
              <w:jc w:val="center"/>
              <w:rPr>
                <w:highlight w:val="none"/>
              </w:rPr>
            </w:pPr>
            <w:r>
              <w:rPr>
                <w:highlight w:val="none"/>
              </w:rPr>
              <w:t>出现</w:t>
            </w:r>
          </w:p>
          <w:p w14:paraId="5E4BF993">
            <w:pPr>
              <w:pStyle w:val="22"/>
              <w:bidi w:val="0"/>
              <w:jc w:val="center"/>
              <w:rPr>
                <w:highlight w:val="none"/>
              </w:rPr>
            </w:pPr>
            <w:r>
              <w:rPr>
                <w:highlight w:val="none"/>
              </w:rPr>
              <w:t>次数</w:t>
            </w:r>
          </w:p>
        </w:tc>
        <w:tc>
          <w:tcPr>
            <w:tcW w:w="428" w:type="dxa"/>
            <w:vAlign w:val="center"/>
          </w:tcPr>
          <w:p w14:paraId="1FAF844D">
            <w:pPr>
              <w:pStyle w:val="22"/>
              <w:bidi w:val="0"/>
              <w:jc w:val="center"/>
              <w:rPr>
                <w:highlight w:val="none"/>
              </w:rPr>
            </w:pPr>
            <w:r>
              <w:rPr>
                <w:highlight w:val="none"/>
              </w:rPr>
              <w:t>样线</w:t>
            </w:r>
          </w:p>
          <w:p w14:paraId="6840FDB5">
            <w:pPr>
              <w:pStyle w:val="22"/>
              <w:bidi w:val="0"/>
              <w:jc w:val="center"/>
              <w:rPr>
                <w:highlight w:val="none"/>
              </w:rPr>
            </w:pPr>
            <w:r>
              <w:rPr>
                <w:highlight w:val="none"/>
              </w:rPr>
              <w:t>频数</w:t>
            </w:r>
          </w:p>
        </w:tc>
        <w:tc>
          <w:tcPr>
            <w:tcW w:w="428" w:type="dxa"/>
            <w:vAlign w:val="center"/>
          </w:tcPr>
          <w:p w14:paraId="6F6E4C6F">
            <w:pPr>
              <w:pStyle w:val="22"/>
              <w:bidi w:val="0"/>
              <w:jc w:val="center"/>
              <w:rPr>
                <w:highlight w:val="none"/>
              </w:rPr>
            </w:pPr>
            <w:r>
              <w:rPr>
                <w:highlight w:val="none"/>
              </w:rPr>
              <w:t>生境</w:t>
            </w:r>
          </w:p>
          <w:p w14:paraId="6204D9E0">
            <w:pPr>
              <w:pStyle w:val="22"/>
              <w:bidi w:val="0"/>
              <w:jc w:val="center"/>
              <w:rPr>
                <w:highlight w:val="none"/>
              </w:rPr>
            </w:pPr>
            <w:r>
              <w:rPr>
                <w:highlight w:val="none"/>
              </w:rPr>
              <w:t>频数</w:t>
            </w:r>
          </w:p>
        </w:tc>
        <w:tc>
          <w:tcPr>
            <w:tcW w:w="793" w:type="dxa"/>
            <w:vAlign w:val="center"/>
          </w:tcPr>
          <w:p w14:paraId="49B5AF49">
            <w:pPr>
              <w:pStyle w:val="22"/>
              <w:bidi w:val="0"/>
              <w:jc w:val="center"/>
              <w:rPr>
                <w:highlight w:val="none"/>
              </w:rPr>
            </w:pPr>
            <w:r>
              <w:rPr>
                <w:highlight w:val="none"/>
              </w:rPr>
              <w:t>密度</w:t>
            </w:r>
          </w:p>
        </w:tc>
        <w:tc>
          <w:tcPr>
            <w:tcW w:w="795" w:type="dxa"/>
            <w:vAlign w:val="center"/>
          </w:tcPr>
          <w:p w14:paraId="7F8524C3">
            <w:pPr>
              <w:pStyle w:val="22"/>
              <w:bidi w:val="0"/>
              <w:jc w:val="center"/>
              <w:rPr>
                <w:highlight w:val="none"/>
              </w:rPr>
            </w:pPr>
            <w:r>
              <w:rPr>
                <w:highlight w:val="none"/>
              </w:rPr>
              <w:t>重要值</w:t>
            </w:r>
          </w:p>
        </w:tc>
        <w:tc>
          <w:tcPr>
            <w:tcW w:w="970" w:type="dxa"/>
            <w:vAlign w:val="center"/>
          </w:tcPr>
          <w:p w14:paraId="2C1DB86A">
            <w:pPr>
              <w:pStyle w:val="22"/>
              <w:bidi w:val="0"/>
              <w:jc w:val="center"/>
              <w:rPr>
                <w:highlight w:val="none"/>
              </w:rPr>
            </w:pPr>
            <w:r>
              <w:rPr>
                <w:highlight w:val="none"/>
              </w:rPr>
              <w:t>分布系数</w:t>
            </w:r>
          </w:p>
        </w:tc>
        <w:tc>
          <w:tcPr>
            <w:tcW w:w="795" w:type="dxa"/>
            <w:vAlign w:val="center"/>
          </w:tcPr>
          <w:p w14:paraId="01D691F7">
            <w:pPr>
              <w:pStyle w:val="22"/>
              <w:bidi w:val="0"/>
              <w:jc w:val="center"/>
              <w:rPr>
                <w:highlight w:val="none"/>
              </w:rPr>
            </w:pPr>
            <w:r>
              <w:rPr>
                <w:highlight w:val="none"/>
              </w:rPr>
              <w:t>香农维</w:t>
            </w:r>
          </w:p>
          <w:p w14:paraId="283B6EEF">
            <w:pPr>
              <w:pStyle w:val="22"/>
              <w:bidi w:val="0"/>
              <w:jc w:val="center"/>
              <w:rPr>
                <w:highlight w:val="none"/>
              </w:rPr>
            </w:pPr>
            <w:r>
              <w:rPr>
                <w:highlight w:val="none"/>
              </w:rPr>
              <w:t>纳指数</w:t>
            </w:r>
          </w:p>
        </w:tc>
        <w:tc>
          <w:tcPr>
            <w:tcW w:w="800" w:type="dxa"/>
            <w:vAlign w:val="center"/>
          </w:tcPr>
          <w:p w14:paraId="1EC39F7E">
            <w:pPr>
              <w:pStyle w:val="22"/>
              <w:bidi w:val="0"/>
              <w:jc w:val="center"/>
              <w:rPr>
                <w:highlight w:val="none"/>
              </w:rPr>
            </w:pPr>
            <w:r>
              <w:rPr>
                <w:highlight w:val="none"/>
              </w:rPr>
              <w:t>均匀度 指数</w:t>
            </w:r>
          </w:p>
        </w:tc>
      </w:tr>
      <w:tr w14:paraId="481B1B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676" w:type="dxa"/>
            <w:vAlign w:val="center"/>
          </w:tcPr>
          <w:p w14:paraId="6513F411">
            <w:pPr>
              <w:pStyle w:val="22"/>
              <w:bidi w:val="0"/>
              <w:jc w:val="center"/>
              <w:rPr>
                <w:highlight w:val="none"/>
              </w:rPr>
            </w:pPr>
            <w:r>
              <w:rPr>
                <w:highlight w:val="none"/>
              </w:rPr>
              <w:t>1</w:t>
            </w:r>
          </w:p>
        </w:tc>
        <w:tc>
          <w:tcPr>
            <w:tcW w:w="1586" w:type="dxa"/>
            <w:vAlign w:val="center"/>
          </w:tcPr>
          <w:p w14:paraId="2F80E66A">
            <w:pPr>
              <w:pStyle w:val="22"/>
              <w:bidi w:val="0"/>
              <w:jc w:val="center"/>
              <w:rPr>
                <w:highlight w:val="none"/>
              </w:rPr>
            </w:pPr>
            <w:r>
              <w:rPr>
                <w:highlight w:val="none"/>
              </w:rPr>
              <w:t>灰背伯劳</w:t>
            </w:r>
          </w:p>
          <w:p w14:paraId="3E4E8FEC">
            <w:pPr>
              <w:pStyle w:val="22"/>
              <w:bidi w:val="0"/>
              <w:jc w:val="center"/>
              <w:rPr>
                <w:highlight w:val="none"/>
              </w:rPr>
            </w:pPr>
            <w:r>
              <w:rPr>
                <w:i/>
                <w:iCs w:val="0"/>
                <w:highlight w:val="none"/>
              </w:rPr>
              <w:t>Lanius tephronotus</w:t>
            </w:r>
          </w:p>
        </w:tc>
        <w:tc>
          <w:tcPr>
            <w:tcW w:w="531" w:type="dxa"/>
            <w:vAlign w:val="center"/>
          </w:tcPr>
          <w:p w14:paraId="6663FF9C">
            <w:pPr>
              <w:pStyle w:val="22"/>
              <w:bidi w:val="0"/>
              <w:jc w:val="center"/>
              <w:rPr>
                <w:highlight w:val="none"/>
              </w:rPr>
            </w:pPr>
            <w:r>
              <w:rPr>
                <w:highlight w:val="none"/>
              </w:rPr>
              <w:t>17</w:t>
            </w:r>
          </w:p>
        </w:tc>
        <w:tc>
          <w:tcPr>
            <w:tcW w:w="533" w:type="dxa"/>
            <w:vAlign w:val="center"/>
          </w:tcPr>
          <w:p w14:paraId="216A0276">
            <w:pPr>
              <w:pStyle w:val="22"/>
              <w:bidi w:val="0"/>
              <w:jc w:val="center"/>
              <w:rPr>
                <w:highlight w:val="none"/>
              </w:rPr>
            </w:pPr>
            <w:r>
              <w:rPr>
                <w:highlight w:val="none"/>
              </w:rPr>
              <w:t>17</w:t>
            </w:r>
          </w:p>
        </w:tc>
        <w:tc>
          <w:tcPr>
            <w:tcW w:w="428" w:type="dxa"/>
            <w:vAlign w:val="center"/>
          </w:tcPr>
          <w:p w14:paraId="1DD74112">
            <w:pPr>
              <w:pStyle w:val="22"/>
              <w:bidi w:val="0"/>
              <w:jc w:val="center"/>
              <w:rPr>
                <w:highlight w:val="none"/>
              </w:rPr>
            </w:pPr>
            <w:r>
              <w:rPr>
                <w:highlight w:val="none"/>
              </w:rPr>
              <w:t>15</w:t>
            </w:r>
          </w:p>
        </w:tc>
        <w:tc>
          <w:tcPr>
            <w:tcW w:w="428" w:type="dxa"/>
            <w:vAlign w:val="center"/>
          </w:tcPr>
          <w:p w14:paraId="1E238E16">
            <w:pPr>
              <w:pStyle w:val="22"/>
              <w:bidi w:val="0"/>
              <w:jc w:val="center"/>
              <w:rPr>
                <w:highlight w:val="none"/>
              </w:rPr>
            </w:pPr>
            <w:r>
              <w:rPr>
                <w:highlight w:val="none"/>
              </w:rPr>
              <w:t>3</w:t>
            </w:r>
          </w:p>
        </w:tc>
        <w:tc>
          <w:tcPr>
            <w:tcW w:w="793" w:type="dxa"/>
            <w:vAlign w:val="center"/>
          </w:tcPr>
          <w:p w14:paraId="75DB225B">
            <w:pPr>
              <w:pStyle w:val="22"/>
              <w:bidi w:val="0"/>
              <w:jc w:val="center"/>
              <w:rPr>
                <w:highlight w:val="none"/>
              </w:rPr>
            </w:pPr>
            <w:r>
              <w:rPr>
                <w:highlight w:val="none"/>
              </w:rPr>
              <w:t>0.0590</w:t>
            </w:r>
          </w:p>
        </w:tc>
        <w:tc>
          <w:tcPr>
            <w:tcW w:w="795" w:type="dxa"/>
            <w:vAlign w:val="center"/>
          </w:tcPr>
          <w:p w14:paraId="6B5094B3">
            <w:pPr>
              <w:pStyle w:val="22"/>
              <w:bidi w:val="0"/>
              <w:jc w:val="center"/>
              <w:rPr>
                <w:highlight w:val="none"/>
              </w:rPr>
            </w:pPr>
            <w:r>
              <w:rPr>
                <w:highlight w:val="none"/>
              </w:rPr>
              <w:t>30.95</w:t>
            </w:r>
          </w:p>
        </w:tc>
        <w:tc>
          <w:tcPr>
            <w:tcW w:w="970" w:type="dxa"/>
            <w:vAlign w:val="center"/>
          </w:tcPr>
          <w:p w14:paraId="21B3EA45">
            <w:pPr>
              <w:pStyle w:val="22"/>
              <w:bidi w:val="0"/>
              <w:jc w:val="center"/>
              <w:rPr>
                <w:highlight w:val="none"/>
              </w:rPr>
            </w:pPr>
            <w:r>
              <w:rPr>
                <w:highlight w:val="none"/>
              </w:rPr>
              <w:t>85.00%</w:t>
            </w:r>
          </w:p>
        </w:tc>
        <w:tc>
          <w:tcPr>
            <w:tcW w:w="795" w:type="dxa"/>
            <w:vAlign w:val="center"/>
          </w:tcPr>
          <w:p w14:paraId="0EF44F93">
            <w:pPr>
              <w:pStyle w:val="22"/>
              <w:bidi w:val="0"/>
              <w:jc w:val="center"/>
              <w:rPr>
                <w:highlight w:val="none"/>
              </w:rPr>
            </w:pPr>
            <w:r>
              <w:rPr>
                <w:highlight w:val="none"/>
              </w:rPr>
              <w:t>0.0505</w:t>
            </w:r>
          </w:p>
        </w:tc>
        <w:tc>
          <w:tcPr>
            <w:tcW w:w="800" w:type="dxa"/>
            <w:vAlign w:val="center"/>
          </w:tcPr>
          <w:p w14:paraId="5244BE01">
            <w:pPr>
              <w:pStyle w:val="22"/>
              <w:bidi w:val="0"/>
              <w:jc w:val="center"/>
              <w:rPr>
                <w:highlight w:val="none"/>
              </w:rPr>
            </w:pPr>
            <w:r>
              <w:rPr>
                <w:highlight w:val="none"/>
              </w:rPr>
              <w:t>0.0121</w:t>
            </w:r>
          </w:p>
        </w:tc>
      </w:tr>
      <w:tr w14:paraId="4BB2DF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76" w:type="dxa"/>
            <w:vAlign w:val="center"/>
          </w:tcPr>
          <w:p w14:paraId="37F38C51">
            <w:pPr>
              <w:pStyle w:val="22"/>
              <w:bidi w:val="0"/>
              <w:jc w:val="center"/>
              <w:rPr>
                <w:highlight w:val="none"/>
              </w:rPr>
            </w:pPr>
            <w:r>
              <w:rPr>
                <w:highlight w:val="none"/>
              </w:rPr>
              <w:t>2</w:t>
            </w:r>
          </w:p>
        </w:tc>
        <w:tc>
          <w:tcPr>
            <w:tcW w:w="1586" w:type="dxa"/>
            <w:vAlign w:val="center"/>
          </w:tcPr>
          <w:p w14:paraId="17DC8791">
            <w:pPr>
              <w:pStyle w:val="22"/>
              <w:bidi w:val="0"/>
              <w:jc w:val="center"/>
              <w:rPr>
                <w:i/>
                <w:iCs w:val="0"/>
                <w:highlight w:val="none"/>
              </w:rPr>
            </w:pPr>
            <w:r>
              <w:rPr>
                <w:highlight w:val="none"/>
              </w:rPr>
              <w:t xml:space="preserve">松鸦  </w:t>
            </w:r>
            <w:r>
              <w:rPr>
                <w:i/>
                <w:iCs w:val="0"/>
                <w:highlight w:val="none"/>
              </w:rPr>
              <w:t>Garrulus</w:t>
            </w:r>
          </w:p>
          <w:p w14:paraId="057BBB08">
            <w:pPr>
              <w:pStyle w:val="22"/>
              <w:bidi w:val="0"/>
              <w:jc w:val="center"/>
              <w:rPr>
                <w:highlight w:val="none"/>
              </w:rPr>
            </w:pPr>
            <w:r>
              <w:rPr>
                <w:i/>
                <w:iCs w:val="0"/>
                <w:highlight w:val="none"/>
              </w:rPr>
              <w:t>glandarius</w:t>
            </w:r>
          </w:p>
        </w:tc>
        <w:tc>
          <w:tcPr>
            <w:tcW w:w="531" w:type="dxa"/>
            <w:vAlign w:val="center"/>
          </w:tcPr>
          <w:p w14:paraId="3BC4138F">
            <w:pPr>
              <w:pStyle w:val="22"/>
              <w:bidi w:val="0"/>
              <w:jc w:val="center"/>
              <w:rPr>
                <w:highlight w:val="none"/>
              </w:rPr>
            </w:pPr>
            <w:r>
              <w:rPr>
                <w:highlight w:val="none"/>
              </w:rPr>
              <w:t>3</w:t>
            </w:r>
          </w:p>
        </w:tc>
        <w:tc>
          <w:tcPr>
            <w:tcW w:w="533" w:type="dxa"/>
            <w:vAlign w:val="center"/>
          </w:tcPr>
          <w:p w14:paraId="6DBD41A0">
            <w:pPr>
              <w:pStyle w:val="22"/>
              <w:bidi w:val="0"/>
              <w:jc w:val="center"/>
              <w:rPr>
                <w:highlight w:val="none"/>
              </w:rPr>
            </w:pPr>
            <w:r>
              <w:rPr>
                <w:highlight w:val="none"/>
              </w:rPr>
              <w:t>3</w:t>
            </w:r>
          </w:p>
        </w:tc>
        <w:tc>
          <w:tcPr>
            <w:tcW w:w="428" w:type="dxa"/>
            <w:vAlign w:val="center"/>
          </w:tcPr>
          <w:p w14:paraId="6E5DFF84">
            <w:pPr>
              <w:pStyle w:val="22"/>
              <w:bidi w:val="0"/>
              <w:jc w:val="center"/>
              <w:rPr>
                <w:highlight w:val="none"/>
              </w:rPr>
            </w:pPr>
            <w:r>
              <w:rPr>
                <w:highlight w:val="none"/>
              </w:rPr>
              <w:t>3</w:t>
            </w:r>
          </w:p>
        </w:tc>
        <w:tc>
          <w:tcPr>
            <w:tcW w:w="428" w:type="dxa"/>
            <w:vAlign w:val="center"/>
          </w:tcPr>
          <w:p w14:paraId="16E87DC8">
            <w:pPr>
              <w:pStyle w:val="22"/>
              <w:bidi w:val="0"/>
              <w:jc w:val="center"/>
              <w:rPr>
                <w:highlight w:val="none"/>
              </w:rPr>
            </w:pPr>
            <w:r>
              <w:rPr>
                <w:highlight w:val="none"/>
              </w:rPr>
              <w:t>1</w:t>
            </w:r>
          </w:p>
        </w:tc>
        <w:tc>
          <w:tcPr>
            <w:tcW w:w="793" w:type="dxa"/>
            <w:vAlign w:val="center"/>
          </w:tcPr>
          <w:p w14:paraId="5CBE8B64">
            <w:pPr>
              <w:pStyle w:val="22"/>
              <w:bidi w:val="0"/>
              <w:jc w:val="center"/>
              <w:rPr>
                <w:highlight w:val="none"/>
              </w:rPr>
            </w:pPr>
            <w:r>
              <w:rPr>
                <w:highlight w:val="none"/>
              </w:rPr>
              <w:t>0.0104</w:t>
            </w:r>
          </w:p>
        </w:tc>
        <w:tc>
          <w:tcPr>
            <w:tcW w:w="795" w:type="dxa"/>
            <w:vAlign w:val="center"/>
          </w:tcPr>
          <w:p w14:paraId="63DB814A">
            <w:pPr>
              <w:pStyle w:val="22"/>
              <w:bidi w:val="0"/>
              <w:jc w:val="center"/>
              <w:rPr>
                <w:highlight w:val="none"/>
              </w:rPr>
            </w:pPr>
            <w:r>
              <w:rPr>
                <w:highlight w:val="none"/>
              </w:rPr>
              <w:t>6.05</w:t>
            </w:r>
          </w:p>
        </w:tc>
        <w:tc>
          <w:tcPr>
            <w:tcW w:w="970" w:type="dxa"/>
            <w:vAlign w:val="center"/>
          </w:tcPr>
          <w:p w14:paraId="4520FBD0">
            <w:pPr>
              <w:pStyle w:val="22"/>
              <w:bidi w:val="0"/>
              <w:jc w:val="center"/>
              <w:rPr>
                <w:highlight w:val="none"/>
              </w:rPr>
            </w:pPr>
            <w:r>
              <w:rPr>
                <w:highlight w:val="none"/>
              </w:rPr>
              <w:t>25.00%</w:t>
            </w:r>
          </w:p>
        </w:tc>
        <w:tc>
          <w:tcPr>
            <w:tcW w:w="795" w:type="dxa"/>
            <w:vAlign w:val="center"/>
          </w:tcPr>
          <w:p w14:paraId="4F5A7058">
            <w:pPr>
              <w:pStyle w:val="22"/>
              <w:bidi w:val="0"/>
              <w:jc w:val="center"/>
              <w:rPr>
                <w:highlight w:val="none"/>
              </w:rPr>
            </w:pPr>
            <w:r>
              <w:rPr>
                <w:highlight w:val="none"/>
              </w:rPr>
              <w:t>0.0124</w:t>
            </w:r>
          </w:p>
        </w:tc>
        <w:tc>
          <w:tcPr>
            <w:tcW w:w="800" w:type="dxa"/>
            <w:vAlign w:val="center"/>
          </w:tcPr>
          <w:p w14:paraId="18B7E797">
            <w:pPr>
              <w:pStyle w:val="22"/>
              <w:bidi w:val="0"/>
              <w:jc w:val="center"/>
              <w:rPr>
                <w:highlight w:val="none"/>
              </w:rPr>
            </w:pPr>
            <w:r>
              <w:rPr>
                <w:highlight w:val="none"/>
              </w:rPr>
              <w:t>0.0029</w:t>
            </w:r>
          </w:p>
        </w:tc>
      </w:tr>
      <w:tr w14:paraId="02002F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676" w:type="dxa"/>
            <w:vAlign w:val="center"/>
          </w:tcPr>
          <w:p w14:paraId="495D1698">
            <w:pPr>
              <w:pStyle w:val="22"/>
              <w:bidi w:val="0"/>
              <w:jc w:val="center"/>
              <w:rPr>
                <w:highlight w:val="none"/>
              </w:rPr>
            </w:pPr>
            <w:r>
              <w:rPr>
                <w:highlight w:val="none"/>
              </w:rPr>
              <w:t>3</w:t>
            </w:r>
          </w:p>
        </w:tc>
        <w:tc>
          <w:tcPr>
            <w:tcW w:w="1586" w:type="dxa"/>
            <w:vAlign w:val="center"/>
          </w:tcPr>
          <w:p w14:paraId="1FD31416">
            <w:pPr>
              <w:pStyle w:val="22"/>
              <w:bidi w:val="0"/>
              <w:jc w:val="center"/>
              <w:rPr>
                <w:highlight w:val="none"/>
              </w:rPr>
            </w:pPr>
            <w:r>
              <w:rPr>
                <w:highlight w:val="none"/>
              </w:rPr>
              <w:t>喜鹊</w:t>
            </w:r>
          </w:p>
          <w:p w14:paraId="2EF6290B">
            <w:pPr>
              <w:pStyle w:val="22"/>
              <w:bidi w:val="0"/>
              <w:jc w:val="center"/>
              <w:rPr>
                <w:highlight w:val="none"/>
              </w:rPr>
            </w:pPr>
            <w:r>
              <w:rPr>
                <w:highlight w:val="none"/>
              </w:rPr>
              <w:t>Pica serica</w:t>
            </w:r>
          </w:p>
        </w:tc>
        <w:tc>
          <w:tcPr>
            <w:tcW w:w="531" w:type="dxa"/>
            <w:vAlign w:val="center"/>
          </w:tcPr>
          <w:p w14:paraId="380C92FB">
            <w:pPr>
              <w:pStyle w:val="22"/>
              <w:bidi w:val="0"/>
              <w:jc w:val="center"/>
              <w:rPr>
                <w:highlight w:val="none"/>
              </w:rPr>
            </w:pPr>
            <w:r>
              <w:rPr>
                <w:highlight w:val="none"/>
              </w:rPr>
              <w:t>10</w:t>
            </w:r>
          </w:p>
        </w:tc>
        <w:tc>
          <w:tcPr>
            <w:tcW w:w="533" w:type="dxa"/>
            <w:vAlign w:val="center"/>
          </w:tcPr>
          <w:p w14:paraId="10100AA1">
            <w:pPr>
              <w:pStyle w:val="22"/>
              <w:bidi w:val="0"/>
              <w:jc w:val="center"/>
              <w:rPr>
                <w:highlight w:val="none"/>
              </w:rPr>
            </w:pPr>
            <w:r>
              <w:rPr>
                <w:highlight w:val="none"/>
              </w:rPr>
              <w:t>7</w:t>
            </w:r>
          </w:p>
        </w:tc>
        <w:tc>
          <w:tcPr>
            <w:tcW w:w="428" w:type="dxa"/>
            <w:vAlign w:val="center"/>
          </w:tcPr>
          <w:p w14:paraId="30584A83">
            <w:pPr>
              <w:pStyle w:val="22"/>
              <w:bidi w:val="0"/>
              <w:jc w:val="center"/>
              <w:rPr>
                <w:highlight w:val="none"/>
              </w:rPr>
            </w:pPr>
            <w:r>
              <w:rPr>
                <w:highlight w:val="none"/>
              </w:rPr>
              <w:t>5</w:t>
            </w:r>
          </w:p>
        </w:tc>
        <w:tc>
          <w:tcPr>
            <w:tcW w:w="428" w:type="dxa"/>
            <w:vAlign w:val="center"/>
          </w:tcPr>
          <w:p w14:paraId="2831DBD7">
            <w:pPr>
              <w:pStyle w:val="22"/>
              <w:bidi w:val="0"/>
              <w:jc w:val="center"/>
              <w:rPr>
                <w:highlight w:val="none"/>
              </w:rPr>
            </w:pPr>
            <w:r>
              <w:rPr>
                <w:highlight w:val="none"/>
              </w:rPr>
              <w:t>3</w:t>
            </w:r>
          </w:p>
        </w:tc>
        <w:tc>
          <w:tcPr>
            <w:tcW w:w="793" w:type="dxa"/>
            <w:vAlign w:val="center"/>
          </w:tcPr>
          <w:p w14:paraId="0FB9CC53">
            <w:pPr>
              <w:pStyle w:val="22"/>
              <w:bidi w:val="0"/>
              <w:jc w:val="center"/>
              <w:rPr>
                <w:highlight w:val="none"/>
              </w:rPr>
            </w:pPr>
            <w:r>
              <w:rPr>
                <w:highlight w:val="none"/>
              </w:rPr>
              <w:t>0.0347</w:t>
            </w:r>
          </w:p>
        </w:tc>
        <w:tc>
          <w:tcPr>
            <w:tcW w:w="795" w:type="dxa"/>
            <w:vAlign w:val="center"/>
          </w:tcPr>
          <w:p w14:paraId="066B9486">
            <w:pPr>
              <w:pStyle w:val="22"/>
              <w:bidi w:val="0"/>
              <w:jc w:val="center"/>
              <w:rPr>
                <w:highlight w:val="none"/>
              </w:rPr>
            </w:pPr>
            <w:r>
              <w:rPr>
                <w:highlight w:val="none"/>
              </w:rPr>
              <w:t>11.51</w:t>
            </w:r>
          </w:p>
        </w:tc>
        <w:tc>
          <w:tcPr>
            <w:tcW w:w="970" w:type="dxa"/>
            <w:vAlign w:val="center"/>
          </w:tcPr>
          <w:p w14:paraId="473D8BD4">
            <w:pPr>
              <w:pStyle w:val="22"/>
              <w:bidi w:val="0"/>
              <w:jc w:val="center"/>
              <w:rPr>
                <w:highlight w:val="none"/>
              </w:rPr>
            </w:pPr>
            <w:r>
              <w:rPr>
                <w:highlight w:val="none"/>
              </w:rPr>
              <w:t>68.33%</w:t>
            </w:r>
          </w:p>
        </w:tc>
        <w:tc>
          <w:tcPr>
            <w:tcW w:w="795" w:type="dxa"/>
            <w:vAlign w:val="center"/>
          </w:tcPr>
          <w:p w14:paraId="2A5208C2">
            <w:pPr>
              <w:pStyle w:val="22"/>
              <w:bidi w:val="0"/>
              <w:jc w:val="center"/>
              <w:rPr>
                <w:highlight w:val="none"/>
              </w:rPr>
            </w:pPr>
            <w:r>
              <w:rPr>
                <w:highlight w:val="none"/>
              </w:rPr>
              <w:t>0.0332</w:t>
            </w:r>
          </w:p>
        </w:tc>
        <w:tc>
          <w:tcPr>
            <w:tcW w:w="800" w:type="dxa"/>
            <w:vAlign w:val="center"/>
          </w:tcPr>
          <w:p w14:paraId="15864316">
            <w:pPr>
              <w:pStyle w:val="22"/>
              <w:bidi w:val="0"/>
              <w:jc w:val="center"/>
              <w:rPr>
                <w:highlight w:val="none"/>
              </w:rPr>
            </w:pPr>
            <w:r>
              <w:rPr>
                <w:highlight w:val="none"/>
              </w:rPr>
              <w:t>0.0079</w:t>
            </w:r>
          </w:p>
        </w:tc>
      </w:tr>
      <w:tr w14:paraId="33910C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1" w:hRule="atLeast"/>
        </w:trPr>
        <w:tc>
          <w:tcPr>
            <w:tcW w:w="676" w:type="dxa"/>
            <w:vAlign w:val="center"/>
          </w:tcPr>
          <w:p w14:paraId="7972ABAC">
            <w:pPr>
              <w:pStyle w:val="22"/>
              <w:bidi w:val="0"/>
              <w:jc w:val="center"/>
              <w:rPr>
                <w:highlight w:val="none"/>
              </w:rPr>
            </w:pPr>
            <w:r>
              <w:rPr>
                <w:highlight w:val="none"/>
              </w:rPr>
              <w:t>4</w:t>
            </w:r>
          </w:p>
        </w:tc>
        <w:tc>
          <w:tcPr>
            <w:tcW w:w="1586" w:type="dxa"/>
            <w:vAlign w:val="center"/>
          </w:tcPr>
          <w:p w14:paraId="58E834B2">
            <w:pPr>
              <w:pStyle w:val="22"/>
              <w:bidi w:val="0"/>
              <w:jc w:val="center"/>
              <w:rPr>
                <w:highlight w:val="none"/>
              </w:rPr>
            </w:pPr>
            <w:r>
              <w:rPr>
                <w:highlight w:val="none"/>
              </w:rPr>
              <w:t>红嘴山鸦</w:t>
            </w:r>
          </w:p>
          <w:p w14:paraId="7F5EDD84">
            <w:pPr>
              <w:pStyle w:val="22"/>
              <w:bidi w:val="0"/>
              <w:jc w:val="center"/>
              <w:rPr>
                <w:i/>
                <w:iCs w:val="0"/>
                <w:highlight w:val="none"/>
              </w:rPr>
            </w:pPr>
            <w:r>
              <w:rPr>
                <w:i/>
                <w:iCs w:val="0"/>
                <w:highlight w:val="none"/>
              </w:rPr>
              <w:t>Pyrrhocorax</w:t>
            </w:r>
          </w:p>
          <w:p w14:paraId="0A9A1CD2">
            <w:pPr>
              <w:pStyle w:val="22"/>
              <w:bidi w:val="0"/>
              <w:jc w:val="center"/>
              <w:rPr>
                <w:highlight w:val="none"/>
              </w:rPr>
            </w:pPr>
            <w:r>
              <w:rPr>
                <w:i/>
                <w:iCs w:val="0"/>
                <w:highlight w:val="none"/>
              </w:rPr>
              <w:t>pyrrhocorax</w:t>
            </w:r>
          </w:p>
        </w:tc>
        <w:tc>
          <w:tcPr>
            <w:tcW w:w="531" w:type="dxa"/>
            <w:vAlign w:val="center"/>
          </w:tcPr>
          <w:p w14:paraId="4277D28A">
            <w:pPr>
              <w:pStyle w:val="22"/>
              <w:bidi w:val="0"/>
              <w:jc w:val="center"/>
              <w:rPr>
                <w:highlight w:val="none"/>
              </w:rPr>
            </w:pPr>
            <w:r>
              <w:rPr>
                <w:highlight w:val="none"/>
              </w:rPr>
              <w:t>20</w:t>
            </w:r>
          </w:p>
        </w:tc>
        <w:tc>
          <w:tcPr>
            <w:tcW w:w="533" w:type="dxa"/>
            <w:vAlign w:val="center"/>
          </w:tcPr>
          <w:p w14:paraId="526086E8">
            <w:pPr>
              <w:pStyle w:val="22"/>
              <w:bidi w:val="0"/>
              <w:jc w:val="center"/>
              <w:rPr>
                <w:highlight w:val="none"/>
              </w:rPr>
            </w:pPr>
            <w:r>
              <w:rPr>
                <w:highlight w:val="none"/>
              </w:rPr>
              <w:t>11</w:t>
            </w:r>
          </w:p>
        </w:tc>
        <w:tc>
          <w:tcPr>
            <w:tcW w:w="428" w:type="dxa"/>
            <w:vAlign w:val="center"/>
          </w:tcPr>
          <w:p w14:paraId="0AFB8D89">
            <w:pPr>
              <w:pStyle w:val="22"/>
              <w:bidi w:val="0"/>
              <w:jc w:val="center"/>
              <w:rPr>
                <w:highlight w:val="none"/>
              </w:rPr>
            </w:pPr>
            <w:r>
              <w:rPr>
                <w:highlight w:val="none"/>
              </w:rPr>
              <w:t>9</w:t>
            </w:r>
          </w:p>
        </w:tc>
        <w:tc>
          <w:tcPr>
            <w:tcW w:w="428" w:type="dxa"/>
            <w:vAlign w:val="center"/>
          </w:tcPr>
          <w:p w14:paraId="68E5343D">
            <w:pPr>
              <w:pStyle w:val="22"/>
              <w:bidi w:val="0"/>
              <w:jc w:val="center"/>
              <w:rPr>
                <w:highlight w:val="none"/>
              </w:rPr>
            </w:pPr>
            <w:r>
              <w:rPr>
                <w:highlight w:val="none"/>
              </w:rPr>
              <w:t>3</w:t>
            </w:r>
          </w:p>
        </w:tc>
        <w:tc>
          <w:tcPr>
            <w:tcW w:w="793" w:type="dxa"/>
            <w:vAlign w:val="center"/>
          </w:tcPr>
          <w:p w14:paraId="481D46D7">
            <w:pPr>
              <w:pStyle w:val="22"/>
              <w:bidi w:val="0"/>
              <w:jc w:val="center"/>
              <w:rPr>
                <w:highlight w:val="none"/>
              </w:rPr>
            </w:pPr>
            <w:r>
              <w:rPr>
                <w:highlight w:val="none"/>
              </w:rPr>
              <w:t>0.0694</w:t>
            </w:r>
          </w:p>
        </w:tc>
        <w:tc>
          <w:tcPr>
            <w:tcW w:w="795" w:type="dxa"/>
            <w:vAlign w:val="center"/>
          </w:tcPr>
          <w:p w14:paraId="335DAEA2">
            <w:pPr>
              <w:pStyle w:val="22"/>
              <w:bidi w:val="0"/>
              <w:jc w:val="center"/>
              <w:rPr>
                <w:highlight w:val="none"/>
              </w:rPr>
            </w:pPr>
            <w:r>
              <w:rPr>
                <w:highlight w:val="none"/>
              </w:rPr>
              <w:t>21.02</w:t>
            </w:r>
          </w:p>
        </w:tc>
        <w:tc>
          <w:tcPr>
            <w:tcW w:w="970" w:type="dxa"/>
            <w:vAlign w:val="center"/>
          </w:tcPr>
          <w:p w14:paraId="6C9B2079">
            <w:pPr>
              <w:pStyle w:val="22"/>
              <w:bidi w:val="0"/>
              <w:jc w:val="center"/>
              <w:rPr>
                <w:highlight w:val="none"/>
              </w:rPr>
            </w:pPr>
            <w:r>
              <w:rPr>
                <w:highlight w:val="none"/>
              </w:rPr>
              <w:t>75.00%</w:t>
            </w:r>
          </w:p>
        </w:tc>
        <w:tc>
          <w:tcPr>
            <w:tcW w:w="795" w:type="dxa"/>
            <w:vAlign w:val="center"/>
          </w:tcPr>
          <w:p w14:paraId="7609A295">
            <w:pPr>
              <w:pStyle w:val="22"/>
              <w:bidi w:val="0"/>
              <w:jc w:val="center"/>
              <w:rPr>
                <w:highlight w:val="none"/>
              </w:rPr>
            </w:pPr>
            <w:r>
              <w:rPr>
                <w:highlight w:val="none"/>
              </w:rPr>
              <w:t>0.0572</w:t>
            </w:r>
          </w:p>
        </w:tc>
        <w:tc>
          <w:tcPr>
            <w:tcW w:w="800" w:type="dxa"/>
            <w:vAlign w:val="center"/>
          </w:tcPr>
          <w:p w14:paraId="4E4DD4C9">
            <w:pPr>
              <w:pStyle w:val="22"/>
              <w:bidi w:val="0"/>
              <w:jc w:val="center"/>
              <w:rPr>
                <w:highlight w:val="none"/>
              </w:rPr>
            </w:pPr>
            <w:r>
              <w:rPr>
                <w:highlight w:val="none"/>
              </w:rPr>
              <w:t>0.0137</w:t>
            </w:r>
          </w:p>
        </w:tc>
      </w:tr>
      <w:tr w14:paraId="47BBD7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676" w:type="dxa"/>
            <w:vAlign w:val="center"/>
          </w:tcPr>
          <w:p w14:paraId="0EB153F6">
            <w:pPr>
              <w:pStyle w:val="22"/>
              <w:bidi w:val="0"/>
              <w:jc w:val="center"/>
              <w:rPr>
                <w:highlight w:val="none"/>
              </w:rPr>
            </w:pPr>
            <w:r>
              <w:rPr>
                <w:highlight w:val="none"/>
              </w:rPr>
              <w:t>5</w:t>
            </w:r>
          </w:p>
        </w:tc>
        <w:tc>
          <w:tcPr>
            <w:tcW w:w="1586" w:type="dxa"/>
            <w:vAlign w:val="center"/>
          </w:tcPr>
          <w:p w14:paraId="1042D2FD">
            <w:pPr>
              <w:pStyle w:val="22"/>
              <w:bidi w:val="0"/>
              <w:jc w:val="center"/>
              <w:rPr>
                <w:highlight w:val="none"/>
              </w:rPr>
            </w:pPr>
            <w:r>
              <w:rPr>
                <w:highlight w:val="none"/>
              </w:rPr>
              <w:t>小嘴乌鸦</w:t>
            </w:r>
          </w:p>
          <w:p w14:paraId="3B626003">
            <w:pPr>
              <w:pStyle w:val="22"/>
              <w:bidi w:val="0"/>
              <w:jc w:val="center"/>
              <w:rPr>
                <w:highlight w:val="none"/>
              </w:rPr>
            </w:pPr>
            <w:r>
              <w:rPr>
                <w:i/>
                <w:iCs w:val="0"/>
                <w:highlight w:val="none"/>
              </w:rPr>
              <w:t>Corvus corone</w:t>
            </w:r>
          </w:p>
        </w:tc>
        <w:tc>
          <w:tcPr>
            <w:tcW w:w="531" w:type="dxa"/>
            <w:vAlign w:val="center"/>
          </w:tcPr>
          <w:p w14:paraId="1780A69B">
            <w:pPr>
              <w:pStyle w:val="22"/>
              <w:bidi w:val="0"/>
              <w:jc w:val="center"/>
              <w:rPr>
                <w:highlight w:val="none"/>
              </w:rPr>
            </w:pPr>
            <w:r>
              <w:rPr>
                <w:highlight w:val="none"/>
              </w:rPr>
              <w:t>9</w:t>
            </w:r>
          </w:p>
        </w:tc>
        <w:tc>
          <w:tcPr>
            <w:tcW w:w="533" w:type="dxa"/>
            <w:vAlign w:val="center"/>
          </w:tcPr>
          <w:p w14:paraId="5CDCE832">
            <w:pPr>
              <w:pStyle w:val="22"/>
              <w:bidi w:val="0"/>
              <w:jc w:val="center"/>
              <w:rPr>
                <w:highlight w:val="none"/>
              </w:rPr>
            </w:pPr>
            <w:r>
              <w:rPr>
                <w:highlight w:val="none"/>
              </w:rPr>
              <w:t>6</w:t>
            </w:r>
          </w:p>
        </w:tc>
        <w:tc>
          <w:tcPr>
            <w:tcW w:w="428" w:type="dxa"/>
            <w:vAlign w:val="center"/>
          </w:tcPr>
          <w:p w14:paraId="570DDC29">
            <w:pPr>
              <w:pStyle w:val="22"/>
              <w:bidi w:val="0"/>
              <w:jc w:val="center"/>
              <w:rPr>
                <w:highlight w:val="none"/>
              </w:rPr>
            </w:pPr>
            <w:r>
              <w:rPr>
                <w:highlight w:val="none"/>
              </w:rPr>
              <w:t>4</w:t>
            </w:r>
          </w:p>
        </w:tc>
        <w:tc>
          <w:tcPr>
            <w:tcW w:w="428" w:type="dxa"/>
            <w:vAlign w:val="center"/>
          </w:tcPr>
          <w:p w14:paraId="459E885C">
            <w:pPr>
              <w:pStyle w:val="22"/>
              <w:bidi w:val="0"/>
              <w:jc w:val="center"/>
              <w:rPr>
                <w:highlight w:val="none"/>
              </w:rPr>
            </w:pPr>
            <w:r>
              <w:rPr>
                <w:highlight w:val="none"/>
              </w:rPr>
              <w:t>2</w:t>
            </w:r>
          </w:p>
        </w:tc>
        <w:tc>
          <w:tcPr>
            <w:tcW w:w="793" w:type="dxa"/>
            <w:vAlign w:val="center"/>
          </w:tcPr>
          <w:p w14:paraId="7C0EE08F">
            <w:pPr>
              <w:pStyle w:val="22"/>
              <w:bidi w:val="0"/>
              <w:jc w:val="center"/>
              <w:rPr>
                <w:highlight w:val="none"/>
              </w:rPr>
            </w:pPr>
            <w:r>
              <w:rPr>
                <w:highlight w:val="none"/>
              </w:rPr>
              <w:t>0.0313</w:t>
            </w:r>
          </w:p>
        </w:tc>
        <w:tc>
          <w:tcPr>
            <w:tcW w:w="795" w:type="dxa"/>
            <w:vAlign w:val="center"/>
          </w:tcPr>
          <w:p w14:paraId="771BA024">
            <w:pPr>
              <w:pStyle w:val="22"/>
              <w:bidi w:val="0"/>
              <w:jc w:val="center"/>
              <w:rPr>
                <w:highlight w:val="none"/>
              </w:rPr>
            </w:pPr>
            <w:r>
              <w:rPr>
                <w:highlight w:val="none"/>
              </w:rPr>
              <w:t>9.49</w:t>
            </w:r>
          </w:p>
        </w:tc>
        <w:tc>
          <w:tcPr>
            <w:tcW w:w="970" w:type="dxa"/>
            <w:vAlign w:val="center"/>
          </w:tcPr>
          <w:p w14:paraId="4D0096BF">
            <w:pPr>
              <w:pStyle w:val="22"/>
              <w:bidi w:val="0"/>
              <w:jc w:val="center"/>
              <w:rPr>
                <w:highlight w:val="none"/>
              </w:rPr>
            </w:pPr>
            <w:r>
              <w:rPr>
                <w:highlight w:val="none"/>
              </w:rPr>
              <w:t>46.67%</w:t>
            </w:r>
          </w:p>
        </w:tc>
        <w:tc>
          <w:tcPr>
            <w:tcW w:w="795" w:type="dxa"/>
            <w:vAlign w:val="center"/>
          </w:tcPr>
          <w:p w14:paraId="6B461094">
            <w:pPr>
              <w:pStyle w:val="22"/>
              <w:bidi w:val="0"/>
              <w:jc w:val="center"/>
              <w:rPr>
                <w:highlight w:val="none"/>
              </w:rPr>
            </w:pPr>
            <w:r>
              <w:rPr>
                <w:highlight w:val="none"/>
              </w:rPr>
              <w:t>0.0305</w:t>
            </w:r>
          </w:p>
        </w:tc>
        <w:tc>
          <w:tcPr>
            <w:tcW w:w="800" w:type="dxa"/>
            <w:vAlign w:val="center"/>
          </w:tcPr>
          <w:p w14:paraId="41A8CC55">
            <w:pPr>
              <w:pStyle w:val="22"/>
              <w:bidi w:val="0"/>
              <w:jc w:val="center"/>
              <w:rPr>
                <w:highlight w:val="none"/>
              </w:rPr>
            </w:pPr>
            <w:r>
              <w:rPr>
                <w:highlight w:val="none"/>
              </w:rPr>
              <w:t>0.0073</w:t>
            </w:r>
          </w:p>
        </w:tc>
      </w:tr>
      <w:tr w14:paraId="4A3039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76" w:type="dxa"/>
            <w:vAlign w:val="center"/>
          </w:tcPr>
          <w:p w14:paraId="08858D11">
            <w:pPr>
              <w:pStyle w:val="22"/>
              <w:bidi w:val="0"/>
              <w:jc w:val="center"/>
              <w:rPr>
                <w:highlight w:val="none"/>
              </w:rPr>
            </w:pPr>
            <w:r>
              <w:rPr>
                <w:highlight w:val="none"/>
              </w:rPr>
              <w:t>6</w:t>
            </w:r>
          </w:p>
        </w:tc>
        <w:tc>
          <w:tcPr>
            <w:tcW w:w="1586" w:type="dxa"/>
            <w:vAlign w:val="center"/>
          </w:tcPr>
          <w:p w14:paraId="41AD6E91">
            <w:pPr>
              <w:pStyle w:val="22"/>
              <w:bidi w:val="0"/>
              <w:jc w:val="center"/>
              <w:rPr>
                <w:highlight w:val="none"/>
              </w:rPr>
            </w:pPr>
            <w:r>
              <w:rPr>
                <w:highlight w:val="none"/>
              </w:rPr>
              <w:t>大嘴乌鸦</w:t>
            </w:r>
          </w:p>
          <w:p w14:paraId="2BB63A4C">
            <w:pPr>
              <w:pStyle w:val="22"/>
              <w:bidi w:val="0"/>
              <w:jc w:val="center"/>
              <w:rPr>
                <w:i/>
                <w:iCs w:val="0"/>
                <w:highlight w:val="none"/>
              </w:rPr>
            </w:pPr>
            <w:r>
              <w:rPr>
                <w:i/>
                <w:iCs w:val="0"/>
                <w:highlight w:val="none"/>
              </w:rPr>
              <w:t>Corvus</w:t>
            </w:r>
          </w:p>
          <w:p w14:paraId="16F42F39">
            <w:pPr>
              <w:pStyle w:val="22"/>
              <w:bidi w:val="0"/>
              <w:jc w:val="center"/>
              <w:rPr>
                <w:highlight w:val="none"/>
              </w:rPr>
            </w:pPr>
            <w:r>
              <w:rPr>
                <w:i/>
                <w:iCs w:val="0"/>
                <w:highlight w:val="none"/>
              </w:rPr>
              <w:t>macrorhynchos</w:t>
            </w:r>
          </w:p>
        </w:tc>
        <w:tc>
          <w:tcPr>
            <w:tcW w:w="531" w:type="dxa"/>
            <w:vAlign w:val="center"/>
          </w:tcPr>
          <w:p w14:paraId="1A93B883">
            <w:pPr>
              <w:pStyle w:val="22"/>
              <w:bidi w:val="0"/>
              <w:jc w:val="center"/>
              <w:rPr>
                <w:highlight w:val="none"/>
              </w:rPr>
            </w:pPr>
            <w:r>
              <w:rPr>
                <w:highlight w:val="none"/>
              </w:rPr>
              <w:t>42</w:t>
            </w:r>
          </w:p>
        </w:tc>
        <w:tc>
          <w:tcPr>
            <w:tcW w:w="533" w:type="dxa"/>
            <w:vAlign w:val="center"/>
          </w:tcPr>
          <w:p w14:paraId="2947032C">
            <w:pPr>
              <w:pStyle w:val="22"/>
              <w:bidi w:val="0"/>
              <w:jc w:val="center"/>
              <w:rPr>
                <w:highlight w:val="none"/>
              </w:rPr>
            </w:pPr>
            <w:r>
              <w:rPr>
                <w:highlight w:val="none"/>
              </w:rPr>
              <w:t>24</w:t>
            </w:r>
          </w:p>
        </w:tc>
        <w:tc>
          <w:tcPr>
            <w:tcW w:w="428" w:type="dxa"/>
            <w:vAlign w:val="center"/>
          </w:tcPr>
          <w:p w14:paraId="0D55001E">
            <w:pPr>
              <w:pStyle w:val="22"/>
              <w:bidi w:val="0"/>
              <w:jc w:val="center"/>
              <w:rPr>
                <w:highlight w:val="none"/>
              </w:rPr>
            </w:pPr>
            <w:r>
              <w:rPr>
                <w:highlight w:val="none"/>
              </w:rPr>
              <w:t>16</w:t>
            </w:r>
          </w:p>
        </w:tc>
        <w:tc>
          <w:tcPr>
            <w:tcW w:w="428" w:type="dxa"/>
            <w:vAlign w:val="center"/>
          </w:tcPr>
          <w:p w14:paraId="7CADAA81">
            <w:pPr>
              <w:pStyle w:val="22"/>
              <w:bidi w:val="0"/>
              <w:jc w:val="center"/>
              <w:rPr>
                <w:highlight w:val="none"/>
              </w:rPr>
            </w:pPr>
            <w:r>
              <w:rPr>
                <w:highlight w:val="none"/>
              </w:rPr>
              <w:t>4</w:t>
            </w:r>
          </w:p>
        </w:tc>
        <w:tc>
          <w:tcPr>
            <w:tcW w:w="793" w:type="dxa"/>
            <w:vAlign w:val="center"/>
          </w:tcPr>
          <w:p w14:paraId="2693247F">
            <w:pPr>
              <w:pStyle w:val="22"/>
              <w:bidi w:val="0"/>
              <w:jc w:val="center"/>
              <w:rPr>
                <w:highlight w:val="none"/>
              </w:rPr>
            </w:pPr>
            <w:r>
              <w:rPr>
                <w:highlight w:val="none"/>
              </w:rPr>
              <w:t>0.1458</w:t>
            </w:r>
          </w:p>
        </w:tc>
        <w:tc>
          <w:tcPr>
            <w:tcW w:w="795" w:type="dxa"/>
            <w:vAlign w:val="center"/>
          </w:tcPr>
          <w:p w14:paraId="6FEC1DF4">
            <w:pPr>
              <w:pStyle w:val="22"/>
              <w:bidi w:val="0"/>
              <w:jc w:val="center"/>
              <w:rPr>
                <w:highlight w:val="none"/>
              </w:rPr>
            </w:pPr>
            <w:r>
              <w:rPr>
                <w:highlight w:val="none"/>
              </w:rPr>
              <w:t>39.40</w:t>
            </w:r>
          </w:p>
        </w:tc>
        <w:tc>
          <w:tcPr>
            <w:tcW w:w="970" w:type="dxa"/>
            <w:vAlign w:val="center"/>
          </w:tcPr>
          <w:p w14:paraId="0FF3911F">
            <w:pPr>
              <w:pStyle w:val="22"/>
              <w:bidi w:val="0"/>
              <w:jc w:val="center"/>
              <w:rPr>
                <w:highlight w:val="none"/>
              </w:rPr>
            </w:pPr>
            <w:r>
              <w:rPr>
                <w:highlight w:val="none"/>
              </w:rPr>
              <w:t>106.67%</w:t>
            </w:r>
          </w:p>
        </w:tc>
        <w:tc>
          <w:tcPr>
            <w:tcW w:w="795" w:type="dxa"/>
            <w:vAlign w:val="center"/>
          </w:tcPr>
          <w:p w14:paraId="5B3E81F5">
            <w:pPr>
              <w:pStyle w:val="22"/>
              <w:bidi w:val="0"/>
              <w:jc w:val="center"/>
              <w:rPr>
                <w:highlight w:val="none"/>
              </w:rPr>
            </w:pPr>
            <w:r>
              <w:rPr>
                <w:highlight w:val="none"/>
              </w:rPr>
              <w:t>0.0996</w:t>
            </w:r>
          </w:p>
        </w:tc>
        <w:tc>
          <w:tcPr>
            <w:tcW w:w="800" w:type="dxa"/>
            <w:vAlign w:val="center"/>
          </w:tcPr>
          <w:p w14:paraId="5C1BD770">
            <w:pPr>
              <w:pStyle w:val="22"/>
              <w:bidi w:val="0"/>
              <w:jc w:val="center"/>
              <w:rPr>
                <w:highlight w:val="none"/>
              </w:rPr>
            </w:pPr>
            <w:r>
              <w:rPr>
                <w:highlight w:val="none"/>
              </w:rPr>
              <w:t>0.0238</w:t>
            </w:r>
          </w:p>
        </w:tc>
      </w:tr>
      <w:tr w14:paraId="167071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76" w:type="dxa"/>
            <w:vAlign w:val="center"/>
          </w:tcPr>
          <w:p w14:paraId="51C61CCE">
            <w:pPr>
              <w:pStyle w:val="22"/>
              <w:bidi w:val="0"/>
              <w:jc w:val="center"/>
              <w:rPr>
                <w:highlight w:val="none"/>
              </w:rPr>
            </w:pPr>
            <w:r>
              <w:rPr>
                <w:highlight w:val="none"/>
              </w:rPr>
              <w:t>7</w:t>
            </w:r>
          </w:p>
        </w:tc>
        <w:tc>
          <w:tcPr>
            <w:tcW w:w="1586" w:type="dxa"/>
            <w:vAlign w:val="center"/>
          </w:tcPr>
          <w:p w14:paraId="1BD50CDA">
            <w:pPr>
              <w:pStyle w:val="22"/>
              <w:bidi w:val="0"/>
              <w:jc w:val="center"/>
              <w:rPr>
                <w:i/>
                <w:iCs w:val="0"/>
                <w:highlight w:val="none"/>
              </w:rPr>
            </w:pPr>
            <w:r>
              <w:rPr>
                <w:highlight w:val="none"/>
              </w:rPr>
              <w:t xml:space="preserve">黑冠山雀 </w:t>
            </w:r>
            <w:r>
              <w:rPr>
                <w:i/>
                <w:iCs w:val="0"/>
                <w:highlight w:val="none"/>
              </w:rPr>
              <w:t>Periparus</w:t>
            </w:r>
          </w:p>
          <w:p w14:paraId="21867F65">
            <w:pPr>
              <w:pStyle w:val="22"/>
              <w:bidi w:val="0"/>
              <w:jc w:val="center"/>
              <w:rPr>
                <w:highlight w:val="none"/>
              </w:rPr>
            </w:pPr>
            <w:r>
              <w:rPr>
                <w:i/>
                <w:iCs w:val="0"/>
                <w:highlight w:val="none"/>
              </w:rPr>
              <w:t>rubidiventris</w:t>
            </w:r>
          </w:p>
        </w:tc>
        <w:tc>
          <w:tcPr>
            <w:tcW w:w="531" w:type="dxa"/>
            <w:vAlign w:val="center"/>
          </w:tcPr>
          <w:p w14:paraId="3AC8BE03">
            <w:pPr>
              <w:pStyle w:val="22"/>
              <w:bidi w:val="0"/>
              <w:jc w:val="center"/>
              <w:rPr>
                <w:highlight w:val="none"/>
              </w:rPr>
            </w:pPr>
            <w:r>
              <w:rPr>
                <w:highlight w:val="none"/>
              </w:rPr>
              <w:t>1</w:t>
            </w:r>
          </w:p>
        </w:tc>
        <w:tc>
          <w:tcPr>
            <w:tcW w:w="533" w:type="dxa"/>
            <w:vAlign w:val="center"/>
          </w:tcPr>
          <w:p w14:paraId="5AC82917">
            <w:pPr>
              <w:pStyle w:val="22"/>
              <w:bidi w:val="0"/>
              <w:jc w:val="center"/>
              <w:rPr>
                <w:highlight w:val="none"/>
              </w:rPr>
            </w:pPr>
            <w:r>
              <w:rPr>
                <w:highlight w:val="none"/>
              </w:rPr>
              <w:t>1</w:t>
            </w:r>
          </w:p>
        </w:tc>
        <w:tc>
          <w:tcPr>
            <w:tcW w:w="428" w:type="dxa"/>
            <w:vAlign w:val="center"/>
          </w:tcPr>
          <w:p w14:paraId="5915BDBA">
            <w:pPr>
              <w:pStyle w:val="22"/>
              <w:bidi w:val="0"/>
              <w:jc w:val="center"/>
              <w:rPr>
                <w:highlight w:val="none"/>
              </w:rPr>
            </w:pPr>
            <w:r>
              <w:rPr>
                <w:highlight w:val="none"/>
              </w:rPr>
              <w:t>1</w:t>
            </w:r>
          </w:p>
        </w:tc>
        <w:tc>
          <w:tcPr>
            <w:tcW w:w="428" w:type="dxa"/>
            <w:vAlign w:val="center"/>
          </w:tcPr>
          <w:p w14:paraId="65E42739">
            <w:pPr>
              <w:pStyle w:val="22"/>
              <w:bidi w:val="0"/>
              <w:jc w:val="center"/>
              <w:rPr>
                <w:highlight w:val="none"/>
              </w:rPr>
            </w:pPr>
            <w:r>
              <w:rPr>
                <w:highlight w:val="none"/>
              </w:rPr>
              <w:t>1</w:t>
            </w:r>
          </w:p>
        </w:tc>
        <w:tc>
          <w:tcPr>
            <w:tcW w:w="793" w:type="dxa"/>
            <w:vAlign w:val="center"/>
          </w:tcPr>
          <w:p w14:paraId="3765C788">
            <w:pPr>
              <w:pStyle w:val="22"/>
              <w:bidi w:val="0"/>
              <w:jc w:val="center"/>
              <w:rPr>
                <w:highlight w:val="none"/>
              </w:rPr>
            </w:pPr>
            <w:r>
              <w:rPr>
                <w:highlight w:val="none"/>
              </w:rPr>
              <w:t>0.0035</w:t>
            </w:r>
          </w:p>
        </w:tc>
        <w:tc>
          <w:tcPr>
            <w:tcW w:w="795" w:type="dxa"/>
            <w:vAlign w:val="center"/>
          </w:tcPr>
          <w:p w14:paraId="1EF35414">
            <w:pPr>
              <w:pStyle w:val="22"/>
              <w:bidi w:val="0"/>
              <w:jc w:val="center"/>
              <w:rPr>
                <w:highlight w:val="none"/>
              </w:rPr>
            </w:pPr>
            <w:r>
              <w:rPr>
                <w:highlight w:val="none"/>
              </w:rPr>
              <w:t>2.02</w:t>
            </w:r>
          </w:p>
        </w:tc>
        <w:tc>
          <w:tcPr>
            <w:tcW w:w="970" w:type="dxa"/>
            <w:vAlign w:val="center"/>
          </w:tcPr>
          <w:p w14:paraId="144C74EA">
            <w:pPr>
              <w:pStyle w:val="22"/>
              <w:bidi w:val="0"/>
              <w:jc w:val="center"/>
              <w:rPr>
                <w:highlight w:val="none"/>
              </w:rPr>
            </w:pPr>
            <w:r>
              <w:rPr>
                <w:highlight w:val="none"/>
              </w:rPr>
              <w:t>21.67%</w:t>
            </w:r>
          </w:p>
        </w:tc>
        <w:tc>
          <w:tcPr>
            <w:tcW w:w="795" w:type="dxa"/>
            <w:vAlign w:val="center"/>
          </w:tcPr>
          <w:p w14:paraId="73105BD0">
            <w:pPr>
              <w:pStyle w:val="22"/>
              <w:bidi w:val="0"/>
              <w:jc w:val="center"/>
              <w:rPr>
                <w:highlight w:val="none"/>
              </w:rPr>
            </w:pPr>
            <w:r>
              <w:rPr>
                <w:highlight w:val="none"/>
              </w:rPr>
              <w:t>0.0048</w:t>
            </w:r>
          </w:p>
        </w:tc>
        <w:tc>
          <w:tcPr>
            <w:tcW w:w="800" w:type="dxa"/>
            <w:vAlign w:val="center"/>
          </w:tcPr>
          <w:p w14:paraId="79E5D3DC">
            <w:pPr>
              <w:pStyle w:val="22"/>
              <w:bidi w:val="0"/>
              <w:jc w:val="center"/>
              <w:rPr>
                <w:highlight w:val="none"/>
              </w:rPr>
            </w:pPr>
            <w:r>
              <w:rPr>
                <w:highlight w:val="none"/>
              </w:rPr>
              <w:t>0.0012</w:t>
            </w:r>
          </w:p>
        </w:tc>
      </w:tr>
      <w:tr w14:paraId="49F670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76" w:type="dxa"/>
            <w:vAlign w:val="center"/>
          </w:tcPr>
          <w:p w14:paraId="623EE1B3">
            <w:pPr>
              <w:pStyle w:val="22"/>
              <w:bidi w:val="0"/>
              <w:jc w:val="center"/>
              <w:rPr>
                <w:highlight w:val="none"/>
              </w:rPr>
            </w:pPr>
            <w:r>
              <w:rPr>
                <w:highlight w:val="none"/>
              </w:rPr>
              <w:t>8</w:t>
            </w:r>
          </w:p>
        </w:tc>
        <w:tc>
          <w:tcPr>
            <w:tcW w:w="1586" w:type="dxa"/>
            <w:vAlign w:val="center"/>
          </w:tcPr>
          <w:p w14:paraId="65A6A1BF">
            <w:pPr>
              <w:pStyle w:val="22"/>
              <w:bidi w:val="0"/>
              <w:jc w:val="center"/>
              <w:rPr>
                <w:highlight w:val="none"/>
              </w:rPr>
            </w:pPr>
            <w:r>
              <w:rPr>
                <w:highlight w:val="none"/>
              </w:rPr>
              <w:t>地山雀</w:t>
            </w:r>
          </w:p>
          <w:p w14:paraId="7D6A9CAB">
            <w:pPr>
              <w:pStyle w:val="22"/>
              <w:bidi w:val="0"/>
              <w:jc w:val="center"/>
              <w:rPr>
                <w:i/>
                <w:iCs w:val="0"/>
                <w:highlight w:val="none"/>
              </w:rPr>
            </w:pPr>
            <w:r>
              <w:rPr>
                <w:i/>
                <w:iCs w:val="0"/>
                <w:highlight w:val="none"/>
              </w:rPr>
              <w:t>Pseudopodoces</w:t>
            </w:r>
          </w:p>
          <w:p w14:paraId="637E93F6">
            <w:pPr>
              <w:pStyle w:val="22"/>
              <w:bidi w:val="0"/>
              <w:jc w:val="center"/>
              <w:rPr>
                <w:highlight w:val="none"/>
              </w:rPr>
            </w:pPr>
            <w:r>
              <w:rPr>
                <w:i/>
                <w:iCs w:val="0"/>
                <w:highlight w:val="none"/>
              </w:rPr>
              <w:t>humilis</w:t>
            </w:r>
          </w:p>
        </w:tc>
        <w:tc>
          <w:tcPr>
            <w:tcW w:w="531" w:type="dxa"/>
            <w:vAlign w:val="center"/>
          </w:tcPr>
          <w:p w14:paraId="38E90242">
            <w:pPr>
              <w:pStyle w:val="22"/>
              <w:bidi w:val="0"/>
              <w:jc w:val="center"/>
              <w:rPr>
                <w:highlight w:val="none"/>
              </w:rPr>
            </w:pPr>
            <w:r>
              <w:rPr>
                <w:highlight w:val="none"/>
              </w:rPr>
              <w:t>5</w:t>
            </w:r>
          </w:p>
        </w:tc>
        <w:tc>
          <w:tcPr>
            <w:tcW w:w="533" w:type="dxa"/>
            <w:vAlign w:val="center"/>
          </w:tcPr>
          <w:p w14:paraId="5DED83DC">
            <w:pPr>
              <w:pStyle w:val="22"/>
              <w:bidi w:val="0"/>
              <w:jc w:val="center"/>
              <w:rPr>
                <w:highlight w:val="none"/>
              </w:rPr>
            </w:pPr>
            <w:r>
              <w:rPr>
                <w:highlight w:val="none"/>
              </w:rPr>
              <w:t>2</w:t>
            </w:r>
          </w:p>
        </w:tc>
        <w:tc>
          <w:tcPr>
            <w:tcW w:w="428" w:type="dxa"/>
            <w:vAlign w:val="center"/>
          </w:tcPr>
          <w:p w14:paraId="091A43F4">
            <w:pPr>
              <w:pStyle w:val="22"/>
              <w:bidi w:val="0"/>
              <w:jc w:val="center"/>
              <w:rPr>
                <w:highlight w:val="none"/>
              </w:rPr>
            </w:pPr>
            <w:r>
              <w:rPr>
                <w:highlight w:val="none"/>
              </w:rPr>
              <w:t>1</w:t>
            </w:r>
          </w:p>
        </w:tc>
        <w:tc>
          <w:tcPr>
            <w:tcW w:w="428" w:type="dxa"/>
            <w:vAlign w:val="center"/>
          </w:tcPr>
          <w:p w14:paraId="7A8A65B8">
            <w:pPr>
              <w:pStyle w:val="22"/>
              <w:bidi w:val="0"/>
              <w:jc w:val="center"/>
              <w:rPr>
                <w:highlight w:val="none"/>
              </w:rPr>
            </w:pPr>
            <w:r>
              <w:rPr>
                <w:highlight w:val="none"/>
              </w:rPr>
              <w:t>1</w:t>
            </w:r>
          </w:p>
        </w:tc>
        <w:tc>
          <w:tcPr>
            <w:tcW w:w="793" w:type="dxa"/>
            <w:vAlign w:val="center"/>
          </w:tcPr>
          <w:p w14:paraId="3D690FF8">
            <w:pPr>
              <w:pStyle w:val="22"/>
              <w:bidi w:val="0"/>
              <w:jc w:val="center"/>
              <w:rPr>
                <w:highlight w:val="none"/>
              </w:rPr>
            </w:pPr>
            <w:r>
              <w:rPr>
                <w:highlight w:val="none"/>
              </w:rPr>
              <w:t>0.0174</w:t>
            </w:r>
          </w:p>
        </w:tc>
        <w:tc>
          <w:tcPr>
            <w:tcW w:w="795" w:type="dxa"/>
            <w:vAlign w:val="center"/>
          </w:tcPr>
          <w:p w14:paraId="323D7AB8">
            <w:pPr>
              <w:pStyle w:val="22"/>
              <w:bidi w:val="0"/>
              <w:jc w:val="center"/>
              <w:rPr>
                <w:highlight w:val="none"/>
              </w:rPr>
            </w:pPr>
            <w:r>
              <w:rPr>
                <w:highlight w:val="none"/>
              </w:rPr>
              <w:t>3.09</w:t>
            </w:r>
          </w:p>
        </w:tc>
        <w:tc>
          <w:tcPr>
            <w:tcW w:w="970" w:type="dxa"/>
            <w:vAlign w:val="center"/>
          </w:tcPr>
          <w:p w14:paraId="72E9AE1F">
            <w:pPr>
              <w:pStyle w:val="22"/>
              <w:bidi w:val="0"/>
              <w:jc w:val="center"/>
              <w:rPr>
                <w:highlight w:val="none"/>
              </w:rPr>
            </w:pPr>
            <w:r>
              <w:rPr>
                <w:highlight w:val="none"/>
              </w:rPr>
              <w:t>21.67%</w:t>
            </w:r>
          </w:p>
        </w:tc>
        <w:tc>
          <w:tcPr>
            <w:tcW w:w="795" w:type="dxa"/>
            <w:vAlign w:val="center"/>
          </w:tcPr>
          <w:p w14:paraId="0600A58A">
            <w:pPr>
              <w:pStyle w:val="22"/>
              <w:bidi w:val="0"/>
              <w:jc w:val="center"/>
              <w:rPr>
                <w:highlight w:val="none"/>
              </w:rPr>
            </w:pPr>
            <w:r>
              <w:rPr>
                <w:highlight w:val="none"/>
              </w:rPr>
              <w:t>0.0189</w:t>
            </w:r>
          </w:p>
        </w:tc>
        <w:tc>
          <w:tcPr>
            <w:tcW w:w="800" w:type="dxa"/>
            <w:vAlign w:val="center"/>
          </w:tcPr>
          <w:p w14:paraId="29EC3DCA">
            <w:pPr>
              <w:pStyle w:val="22"/>
              <w:bidi w:val="0"/>
              <w:jc w:val="center"/>
              <w:rPr>
                <w:highlight w:val="none"/>
              </w:rPr>
            </w:pPr>
            <w:r>
              <w:rPr>
                <w:highlight w:val="none"/>
              </w:rPr>
              <w:t>0.0045</w:t>
            </w:r>
          </w:p>
        </w:tc>
      </w:tr>
      <w:tr w14:paraId="725595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676" w:type="dxa"/>
            <w:vAlign w:val="center"/>
          </w:tcPr>
          <w:p w14:paraId="29506670">
            <w:pPr>
              <w:pStyle w:val="22"/>
              <w:bidi w:val="0"/>
              <w:jc w:val="center"/>
              <w:rPr>
                <w:highlight w:val="none"/>
              </w:rPr>
            </w:pPr>
            <w:r>
              <w:rPr>
                <w:highlight w:val="none"/>
              </w:rPr>
              <w:t>9</w:t>
            </w:r>
          </w:p>
        </w:tc>
        <w:tc>
          <w:tcPr>
            <w:tcW w:w="1586" w:type="dxa"/>
            <w:vAlign w:val="center"/>
          </w:tcPr>
          <w:p w14:paraId="741EAD74">
            <w:pPr>
              <w:pStyle w:val="22"/>
              <w:bidi w:val="0"/>
              <w:jc w:val="center"/>
              <w:rPr>
                <w:highlight w:val="none"/>
              </w:rPr>
            </w:pPr>
            <w:r>
              <w:rPr>
                <w:highlight w:val="none"/>
              </w:rPr>
              <w:t>大山雀</w:t>
            </w:r>
          </w:p>
          <w:p w14:paraId="6CD4E0F9">
            <w:pPr>
              <w:pStyle w:val="22"/>
              <w:bidi w:val="0"/>
              <w:jc w:val="center"/>
              <w:rPr>
                <w:highlight w:val="none"/>
              </w:rPr>
            </w:pPr>
            <w:r>
              <w:rPr>
                <w:i/>
                <w:iCs w:val="0"/>
                <w:highlight w:val="none"/>
              </w:rPr>
              <w:t>Parus minor</w:t>
            </w:r>
          </w:p>
        </w:tc>
        <w:tc>
          <w:tcPr>
            <w:tcW w:w="531" w:type="dxa"/>
            <w:vAlign w:val="center"/>
          </w:tcPr>
          <w:p w14:paraId="528F61A5">
            <w:pPr>
              <w:pStyle w:val="22"/>
              <w:bidi w:val="0"/>
              <w:jc w:val="center"/>
              <w:rPr>
                <w:highlight w:val="none"/>
              </w:rPr>
            </w:pPr>
            <w:r>
              <w:rPr>
                <w:highlight w:val="none"/>
              </w:rPr>
              <w:t>25</w:t>
            </w:r>
          </w:p>
        </w:tc>
        <w:tc>
          <w:tcPr>
            <w:tcW w:w="533" w:type="dxa"/>
            <w:vAlign w:val="center"/>
          </w:tcPr>
          <w:p w14:paraId="7AF3F3B3">
            <w:pPr>
              <w:pStyle w:val="22"/>
              <w:bidi w:val="0"/>
              <w:jc w:val="center"/>
              <w:rPr>
                <w:highlight w:val="none"/>
              </w:rPr>
            </w:pPr>
            <w:r>
              <w:rPr>
                <w:highlight w:val="none"/>
              </w:rPr>
              <w:t>24</w:t>
            </w:r>
          </w:p>
        </w:tc>
        <w:tc>
          <w:tcPr>
            <w:tcW w:w="428" w:type="dxa"/>
            <w:vAlign w:val="center"/>
          </w:tcPr>
          <w:p w14:paraId="393A272E">
            <w:pPr>
              <w:pStyle w:val="22"/>
              <w:bidi w:val="0"/>
              <w:jc w:val="center"/>
              <w:rPr>
                <w:highlight w:val="none"/>
              </w:rPr>
            </w:pPr>
            <w:r>
              <w:rPr>
                <w:highlight w:val="none"/>
              </w:rPr>
              <w:t>18</w:t>
            </w:r>
          </w:p>
        </w:tc>
        <w:tc>
          <w:tcPr>
            <w:tcW w:w="428" w:type="dxa"/>
            <w:vAlign w:val="center"/>
          </w:tcPr>
          <w:p w14:paraId="357790BE">
            <w:pPr>
              <w:pStyle w:val="22"/>
              <w:bidi w:val="0"/>
              <w:jc w:val="center"/>
              <w:rPr>
                <w:highlight w:val="none"/>
              </w:rPr>
            </w:pPr>
            <w:r>
              <w:rPr>
                <w:highlight w:val="none"/>
              </w:rPr>
              <w:t>2</w:t>
            </w:r>
          </w:p>
        </w:tc>
        <w:tc>
          <w:tcPr>
            <w:tcW w:w="793" w:type="dxa"/>
            <w:vAlign w:val="center"/>
          </w:tcPr>
          <w:p w14:paraId="6269361C">
            <w:pPr>
              <w:pStyle w:val="22"/>
              <w:bidi w:val="0"/>
              <w:jc w:val="center"/>
              <w:rPr>
                <w:highlight w:val="none"/>
              </w:rPr>
            </w:pPr>
            <w:r>
              <w:rPr>
                <w:highlight w:val="none"/>
              </w:rPr>
              <w:t>0.0868</w:t>
            </w:r>
          </w:p>
        </w:tc>
        <w:tc>
          <w:tcPr>
            <w:tcW w:w="795" w:type="dxa"/>
            <w:vAlign w:val="center"/>
          </w:tcPr>
          <w:p w14:paraId="0F5C3394">
            <w:pPr>
              <w:pStyle w:val="22"/>
              <w:bidi w:val="0"/>
              <w:jc w:val="center"/>
              <w:rPr>
                <w:highlight w:val="none"/>
              </w:rPr>
            </w:pPr>
            <w:r>
              <w:rPr>
                <w:highlight w:val="none"/>
              </w:rPr>
              <w:t>38.65</w:t>
            </w:r>
          </w:p>
        </w:tc>
        <w:tc>
          <w:tcPr>
            <w:tcW w:w="970" w:type="dxa"/>
            <w:vAlign w:val="center"/>
          </w:tcPr>
          <w:p w14:paraId="560620B9">
            <w:pPr>
              <w:pStyle w:val="22"/>
              <w:bidi w:val="0"/>
              <w:jc w:val="center"/>
              <w:rPr>
                <w:highlight w:val="none"/>
              </w:rPr>
            </w:pPr>
            <w:r>
              <w:rPr>
                <w:highlight w:val="none"/>
              </w:rPr>
              <w:t>70.00%</w:t>
            </w:r>
          </w:p>
        </w:tc>
        <w:tc>
          <w:tcPr>
            <w:tcW w:w="795" w:type="dxa"/>
            <w:vAlign w:val="center"/>
          </w:tcPr>
          <w:p w14:paraId="64AD2498">
            <w:pPr>
              <w:pStyle w:val="22"/>
              <w:bidi w:val="0"/>
              <w:jc w:val="center"/>
              <w:rPr>
                <w:highlight w:val="none"/>
              </w:rPr>
            </w:pPr>
            <w:r>
              <w:rPr>
                <w:highlight w:val="none"/>
              </w:rPr>
              <w:t>0.0679</w:t>
            </w:r>
          </w:p>
        </w:tc>
        <w:tc>
          <w:tcPr>
            <w:tcW w:w="800" w:type="dxa"/>
            <w:vAlign w:val="center"/>
          </w:tcPr>
          <w:p w14:paraId="513F3DA8">
            <w:pPr>
              <w:pStyle w:val="22"/>
              <w:bidi w:val="0"/>
              <w:jc w:val="center"/>
              <w:rPr>
                <w:highlight w:val="none"/>
              </w:rPr>
            </w:pPr>
            <w:r>
              <w:rPr>
                <w:highlight w:val="none"/>
              </w:rPr>
              <w:t>0.0162</w:t>
            </w:r>
          </w:p>
        </w:tc>
      </w:tr>
      <w:tr w14:paraId="4721DF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676" w:type="dxa"/>
            <w:vAlign w:val="center"/>
          </w:tcPr>
          <w:p w14:paraId="04780DFB">
            <w:pPr>
              <w:pStyle w:val="22"/>
              <w:bidi w:val="0"/>
              <w:jc w:val="center"/>
              <w:rPr>
                <w:highlight w:val="none"/>
              </w:rPr>
            </w:pPr>
            <w:r>
              <w:rPr>
                <w:highlight w:val="none"/>
              </w:rPr>
              <w:t>10</w:t>
            </w:r>
          </w:p>
        </w:tc>
        <w:tc>
          <w:tcPr>
            <w:tcW w:w="1586" w:type="dxa"/>
            <w:vAlign w:val="center"/>
          </w:tcPr>
          <w:p w14:paraId="58F893CE">
            <w:pPr>
              <w:pStyle w:val="22"/>
              <w:bidi w:val="0"/>
              <w:jc w:val="center"/>
              <w:rPr>
                <w:highlight w:val="none"/>
              </w:rPr>
            </w:pPr>
            <w:r>
              <w:rPr>
                <w:highlight w:val="none"/>
              </w:rPr>
              <w:t>岩燕</w:t>
            </w:r>
          </w:p>
          <w:p w14:paraId="24491E71">
            <w:pPr>
              <w:pStyle w:val="22"/>
              <w:bidi w:val="0"/>
              <w:jc w:val="center"/>
              <w:rPr>
                <w:i/>
                <w:iCs w:val="0"/>
                <w:highlight w:val="none"/>
              </w:rPr>
            </w:pPr>
            <w:r>
              <w:rPr>
                <w:i/>
                <w:iCs w:val="0"/>
                <w:highlight w:val="none"/>
              </w:rPr>
              <w:t>Ptyonoprogne</w:t>
            </w:r>
          </w:p>
          <w:p w14:paraId="2BA19C12">
            <w:pPr>
              <w:pStyle w:val="22"/>
              <w:bidi w:val="0"/>
              <w:jc w:val="center"/>
              <w:rPr>
                <w:highlight w:val="none"/>
              </w:rPr>
            </w:pPr>
            <w:r>
              <w:rPr>
                <w:i/>
                <w:iCs w:val="0"/>
                <w:highlight w:val="none"/>
              </w:rPr>
              <w:t>rupestris</w:t>
            </w:r>
          </w:p>
        </w:tc>
        <w:tc>
          <w:tcPr>
            <w:tcW w:w="531" w:type="dxa"/>
            <w:vAlign w:val="center"/>
          </w:tcPr>
          <w:p w14:paraId="4EAB0CE9">
            <w:pPr>
              <w:pStyle w:val="22"/>
              <w:bidi w:val="0"/>
              <w:jc w:val="center"/>
              <w:rPr>
                <w:highlight w:val="none"/>
              </w:rPr>
            </w:pPr>
            <w:r>
              <w:rPr>
                <w:highlight w:val="none"/>
              </w:rPr>
              <w:t>60</w:t>
            </w:r>
          </w:p>
        </w:tc>
        <w:tc>
          <w:tcPr>
            <w:tcW w:w="533" w:type="dxa"/>
            <w:vAlign w:val="center"/>
          </w:tcPr>
          <w:p w14:paraId="271D6804">
            <w:pPr>
              <w:pStyle w:val="22"/>
              <w:bidi w:val="0"/>
              <w:jc w:val="center"/>
              <w:rPr>
                <w:highlight w:val="none"/>
              </w:rPr>
            </w:pPr>
            <w:r>
              <w:rPr>
                <w:highlight w:val="none"/>
              </w:rPr>
              <w:t>22</w:t>
            </w:r>
          </w:p>
        </w:tc>
        <w:tc>
          <w:tcPr>
            <w:tcW w:w="428" w:type="dxa"/>
            <w:vAlign w:val="center"/>
          </w:tcPr>
          <w:p w14:paraId="5AD413C9">
            <w:pPr>
              <w:pStyle w:val="22"/>
              <w:bidi w:val="0"/>
              <w:jc w:val="center"/>
              <w:rPr>
                <w:highlight w:val="none"/>
              </w:rPr>
            </w:pPr>
            <w:r>
              <w:rPr>
                <w:highlight w:val="none"/>
              </w:rPr>
              <w:t>12</w:t>
            </w:r>
          </w:p>
        </w:tc>
        <w:tc>
          <w:tcPr>
            <w:tcW w:w="428" w:type="dxa"/>
            <w:vAlign w:val="center"/>
          </w:tcPr>
          <w:p w14:paraId="18B05DE4">
            <w:pPr>
              <w:pStyle w:val="22"/>
              <w:bidi w:val="0"/>
              <w:jc w:val="center"/>
              <w:rPr>
                <w:highlight w:val="none"/>
              </w:rPr>
            </w:pPr>
            <w:r>
              <w:rPr>
                <w:highlight w:val="none"/>
              </w:rPr>
              <w:t>3</w:t>
            </w:r>
          </w:p>
        </w:tc>
        <w:tc>
          <w:tcPr>
            <w:tcW w:w="793" w:type="dxa"/>
            <w:vAlign w:val="center"/>
          </w:tcPr>
          <w:p w14:paraId="688A825E">
            <w:pPr>
              <w:pStyle w:val="22"/>
              <w:bidi w:val="0"/>
              <w:jc w:val="center"/>
              <w:rPr>
                <w:highlight w:val="none"/>
              </w:rPr>
            </w:pPr>
            <w:r>
              <w:rPr>
                <w:highlight w:val="none"/>
              </w:rPr>
              <w:t>0.2083</w:t>
            </w:r>
          </w:p>
        </w:tc>
        <w:tc>
          <w:tcPr>
            <w:tcW w:w="795" w:type="dxa"/>
            <w:vAlign w:val="center"/>
          </w:tcPr>
          <w:p w14:paraId="77637355">
            <w:pPr>
              <w:pStyle w:val="22"/>
              <w:bidi w:val="0"/>
              <w:jc w:val="center"/>
              <w:rPr>
                <w:highlight w:val="none"/>
              </w:rPr>
            </w:pPr>
            <w:r>
              <w:rPr>
                <w:highlight w:val="none"/>
              </w:rPr>
              <w:t>36.84</w:t>
            </w:r>
          </w:p>
        </w:tc>
        <w:tc>
          <w:tcPr>
            <w:tcW w:w="970" w:type="dxa"/>
            <w:vAlign w:val="center"/>
          </w:tcPr>
          <w:p w14:paraId="5DF3BF2E">
            <w:pPr>
              <w:pStyle w:val="22"/>
              <w:bidi w:val="0"/>
              <w:jc w:val="center"/>
              <w:rPr>
                <w:highlight w:val="none"/>
              </w:rPr>
            </w:pPr>
            <w:r>
              <w:rPr>
                <w:highlight w:val="none"/>
              </w:rPr>
              <w:t>80.00%</w:t>
            </w:r>
          </w:p>
        </w:tc>
        <w:tc>
          <w:tcPr>
            <w:tcW w:w="795" w:type="dxa"/>
            <w:vAlign w:val="center"/>
          </w:tcPr>
          <w:p w14:paraId="1E9D8E66">
            <w:pPr>
              <w:pStyle w:val="22"/>
              <w:bidi w:val="0"/>
              <w:jc w:val="center"/>
              <w:rPr>
                <w:highlight w:val="none"/>
              </w:rPr>
            </w:pPr>
            <w:r>
              <w:rPr>
                <w:highlight w:val="none"/>
              </w:rPr>
              <w:t>0.1281</w:t>
            </w:r>
          </w:p>
        </w:tc>
        <w:tc>
          <w:tcPr>
            <w:tcW w:w="800" w:type="dxa"/>
            <w:vAlign w:val="center"/>
          </w:tcPr>
          <w:p w14:paraId="466596DE">
            <w:pPr>
              <w:pStyle w:val="22"/>
              <w:bidi w:val="0"/>
              <w:jc w:val="center"/>
              <w:rPr>
                <w:highlight w:val="none"/>
              </w:rPr>
            </w:pPr>
            <w:r>
              <w:rPr>
                <w:highlight w:val="none"/>
              </w:rPr>
              <w:t>0.0306</w:t>
            </w:r>
          </w:p>
        </w:tc>
      </w:tr>
      <w:tr w14:paraId="3B3A17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76" w:type="dxa"/>
            <w:vAlign w:val="center"/>
          </w:tcPr>
          <w:p w14:paraId="62DDF4F4">
            <w:pPr>
              <w:pStyle w:val="22"/>
              <w:bidi w:val="0"/>
              <w:jc w:val="center"/>
              <w:rPr>
                <w:highlight w:val="none"/>
              </w:rPr>
            </w:pPr>
            <w:r>
              <w:rPr>
                <w:highlight w:val="none"/>
              </w:rPr>
              <w:t>11</w:t>
            </w:r>
          </w:p>
        </w:tc>
        <w:tc>
          <w:tcPr>
            <w:tcW w:w="1586" w:type="dxa"/>
            <w:vAlign w:val="center"/>
          </w:tcPr>
          <w:p w14:paraId="584C3F74">
            <w:pPr>
              <w:pStyle w:val="22"/>
              <w:bidi w:val="0"/>
              <w:jc w:val="center"/>
              <w:rPr>
                <w:highlight w:val="none"/>
              </w:rPr>
            </w:pPr>
            <w:r>
              <w:rPr>
                <w:highlight w:val="none"/>
              </w:rPr>
              <w:t>黄臀鹎</w:t>
            </w:r>
          </w:p>
          <w:p w14:paraId="28EC94F4">
            <w:pPr>
              <w:pStyle w:val="22"/>
              <w:bidi w:val="0"/>
              <w:jc w:val="center"/>
              <w:rPr>
                <w:i/>
                <w:iCs w:val="0"/>
                <w:highlight w:val="none"/>
              </w:rPr>
            </w:pPr>
            <w:r>
              <w:rPr>
                <w:i/>
                <w:iCs w:val="0"/>
                <w:highlight w:val="none"/>
              </w:rPr>
              <w:t>Pycnonotus</w:t>
            </w:r>
          </w:p>
          <w:p w14:paraId="068608BC">
            <w:pPr>
              <w:pStyle w:val="22"/>
              <w:bidi w:val="0"/>
              <w:jc w:val="center"/>
              <w:rPr>
                <w:highlight w:val="none"/>
              </w:rPr>
            </w:pPr>
            <w:r>
              <w:rPr>
                <w:i/>
                <w:iCs w:val="0"/>
                <w:highlight w:val="none"/>
              </w:rPr>
              <w:t>xanthorrhous</w:t>
            </w:r>
          </w:p>
        </w:tc>
        <w:tc>
          <w:tcPr>
            <w:tcW w:w="531" w:type="dxa"/>
            <w:vAlign w:val="center"/>
          </w:tcPr>
          <w:p w14:paraId="4A36D266">
            <w:pPr>
              <w:pStyle w:val="22"/>
              <w:bidi w:val="0"/>
              <w:jc w:val="center"/>
              <w:rPr>
                <w:highlight w:val="none"/>
              </w:rPr>
            </w:pPr>
            <w:r>
              <w:rPr>
                <w:highlight w:val="none"/>
              </w:rPr>
              <w:t>71</w:t>
            </w:r>
          </w:p>
        </w:tc>
        <w:tc>
          <w:tcPr>
            <w:tcW w:w="533" w:type="dxa"/>
            <w:vAlign w:val="center"/>
          </w:tcPr>
          <w:p w14:paraId="4197CE1C">
            <w:pPr>
              <w:pStyle w:val="22"/>
              <w:bidi w:val="0"/>
              <w:jc w:val="center"/>
              <w:rPr>
                <w:highlight w:val="none"/>
              </w:rPr>
            </w:pPr>
            <w:r>
              <w:rPr>
                <w:highlight w:val="none"/>
              </w:rPr>
              <w:t>49</w:t>
            </w:r>
          </w:p>
        </w:tc>
        <w:tc>
          <w:tcPr>
            <w:tcW w:w="428" w:type="dxa"/>
            <w:vAlign w:val="center"/>
          </w:tcPr>
          <w:p w14:paraId="2D0D46B6">
            <w:pPr>
              <w:pStyle w:val="22"/>
              <w:bidi w:val="0"/>
              <w:jc w:val="center"/>
              <w:rPr>
                <w:highlight w:val="none"/>
              </w:rPr>
            </w:pPr>
            <w:r>
              <w:rPr>
                <w:highlight w:val="none"/>
              </w:rPr>
              <w:t>21</w:t>
            </w:r>
          </w:p>
        </w:tc>
        <w:tc>
          <w:tcPr>
            <w:tcW w:w="428" w:type="dxa"/>
            <w:vAlign w:val="center"/>
          </w:tcPr>
          <w:p w14:paraId="583A9C23">
            <w:pPr>
              <w:pStyle w:val="22"/>
              <w:bidi w:val="0"/>
              <w:jc w:val="center"/>
              <w:rPr>
                <w:highlight w:val="none"/>
              </w:rPr>
            </w:pPr>
            <w:r>
              <w:rPr>
                <w:highlight w:val="none"/>
              </w:rPr>
              <w:t>2</w:t>
            </w:r>
          </w:p>
        </w:tc>
        <w:tc>
          <w:tcPr>
            <w:tcW w:w="793" w:type="dxa"/>
            <w:vAlign w:val="center"/>
          </w:tcPr>
          <w:p w14:paraId="4FFFA13A">
            <w:pPr>
              <w:pStyle w:val="22"/>
              <w:bidi w:val="0"/>
              <w:jc w:val="center"/>
              <w:rPr>
                <w:highlight w:val="none"/>
              </w:rPr>
            </w:pPr>
            <w:r>
              <w:rPr>
                <w:highlight w:val="none"/>
              </w:rPr>
              <w:t>0.2465</w:t>
            </w:r>
          </w:p>
        </w:tc>
        <w:tc>
          <w:tcPr>
            <w:tcW w:w="795" w:type="dxa"/>
            <w:vAlign w:val="center"/>
          </w:tcPr>
          <w:p w14:paraId="129EAB18">
            <w:pPr>
              <w:pStyle w:val="22"/>
              <w:bidi w:val="0"/>
              <w:jc w:val="center"/>
              <w:rPr>
                <w:highlight w:val="none"/>
              </w:rPr>
            </w:pPr>
            <w:r>
              <w:rPr>
                <w:highlight w:val="none"/>
              </w:rPr>
              <w:t>57.45</w:t>
            </w:r>
          </w:p>
        </w:tc>
        <w:tc>
          <w:tcPr>
            <w:tcW w:w="970" w:type="dxa"/>
            <w:vAlign w:val="center"/>
          </w:tcPr>
          <w:p w14:paraId="626EE4AF">
            <w:pPr>
              <w:pStyle w:val="22"/>
              <w:bidi w:val="0"/>
              <w:jc w:val="center"/>
              <w:rPr>
                <w:highlight w:val="none"/>
              </w:rPr>
            </w:pPr>
            <w:r>
              <w:rPr>
                <w:highlight w:val="none"/>
              </w:rPr>
              <w:t>75.00%</w:t>
            </w:r>
          </w:p>
        </w:tc>
        <w:tc>
          <w:tcPr>
            <w:tcW w:w="795" w:type="dxa"/>
            <w:vAlign w:val="center"/>
          </w:tcPr>
          <w:p w14:paraId="6AA24B46">
            <w:pPr>
              <w:pStyle w:val="22"/>
              <w:bidi w:val="0"/>
              <w:jc w:val="center"/>
              <w:rPr>
                <w:highlight w:val="none"/>
              </w:rPr>
            </w:pPr>
            <w:r>
              <w:rPr>
                <w:highlight w:val="none"/>
              </w:rPr>
              <w:t>0.1437</w:t>
            </w:r>
          </w:p>
        </w:tc>
        <w:tc>
          <w:tcPr>
            <w:tcW w:w="800" w:type="dxa"/>
            <w:vAlign w:val="center"/>
          </w:tcPr>
          <w:p w14:paraId="78F7D316">
            <w:pPr>
              <w:pStyle w:val="22"/>
              <w:bidi w:val="0"/>
              <w:jc w:val="center"/>
              <w:rPr>
                <w:highlight w:val="none"/>
              </w:rPr>
            </w:pPr>
            <w:r>
              <w:rPr>
                <w:highlight w:val="none"/>
              </w:rPr>
              <w:t>0.0343</w:t>
            </w:r>
          </w:p>
        </w:tc>
      </w:tr>
      <w:tr w14:paraId="4E05DF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676" w:type="dxa"/>
            <w:vAlign w:val="center"/>
          </w:tcPr>
          <w:p w14:paraId="733EAEF2">
            <w:pPr>
              <w:pStyle w:val="22"/>
              <w:bidi w:val="0"/>
              <w:jc w:val="center"/>
              <w:rPr>
                <w:highlight w:val="none"/>
              </w:rPr>
            </w:pPr>
            <w:r>
              <w:rPr>
                <w:highlight w:val="none"/>
              </w:rPr>
              <w:t>12</w:t>
            </w:r>
          </w:p>
        </w:tc>
        <w:tc>
          <w:tcPr>
            <w:tcW w:w="1586" w:type="dxa"/>
            <w:vAlign w:val="center"/>
          </w:tcPr>
          <w:p w14:paraId="024CD7FB">
            <w:pPr>
              <w:pStyle w:val="22"/>
              <w:bidi w:val="0"/>
              <w:jc w:val="center"/>
              <w:rPr>
                <w:i/>
                <w:iCs w:val="0"/>
                <w:highlight w:val="none"/>
              </w:rPr>
            </w:pPr>
            <w:r>
              <w:rPr>
                <w:highlight w:val="none"/>
              </w:rPr>
              <w:t xml:space="preserve">黑短脚鹎 </w:t>
            </w:r>
            <w:r>
              <w:rPr>
                <w:i/>
                <w:iCs w:val="0"/>
                <w:highlight w:val="none"/>
              </w:rPr>
              <w:t>Hypsipetes</w:t>
            </w:r>
          </w:p>
          <w:p w14:paraId="3748E598">
            <w:pPr>
              <w:pStyle w:val="22"/>
              <w:bidi w:val="0"/>
              <w:jc w:val="center"/>
              <w:rPr>
                <w:highlight w:val="none"/>
              </w:rPr>
            </w:pPr>
            <w:r>
              <w:rPr>
                <w:i/>
                <w:iCs w:val="0"/>
                <w:highlight w:val="none"/>
              </w:rPr>
              <w:t>leucocephalus</w:t>
            </w:r>
          </w:p>
        </w:tc>
        <w:tc>
          <w:tcPr>
            <w:tcW w:w="531" w:type="dxa"/>
            <w:vAlign w:val="center"/>
          </w:tcPr>
          <w:p w14:paraId="120A9C48">
            <w:pPr>
              <w:pStyle w:val="22"/>
              <w:bidi w:val="0"/>
              <w:jc w:val="center"/>
              <w:rPr>
                <w:highlight w:val="none"/>
              </w:rPr>
            </w:pPr>
            <w:r>
              <w:rPr>
                <w:highlight w:val="none"/>
              </w:rPr>
              <w:t>4</w:t>
            </w:r>
          </w:p>
        </w:tc>
        <w:tc>
          <w:tcPr>
            <w:tcW w:w="533" w:type="dxa"/>
            <w:vAlign w:val="center"/>
          </w:tcPr>
          <w:p w14:paraId="16023BCD">
            <w:pPr>
              <w:pStyle w:val="22"/>
              <w:bidi w:val="0"/>
              <w:jc w:val="center"/>
              <w:rPr>
                <w:highlight w:val="none"/>
              </w:rPr>
            </w:pPr>
            <w:r>
              <w:rPr>
                <w:highlight w:val="none"/>
              </w:rPr>
              <w:t>3</w:t>
            </w:r>
          </w:p>
        </w:tc>
        <w:tc>
          <w:tcPr>
            <w:tcW w:w="428" w:type="dxa"/>
            <w:vAlign w:val="center"/>
          </w:tcPr>
          <w:p w14:paraId="06AAAC25">
            <w:pPr>
              <w:pStyle w:val="22"/>
              <w:bidi w:val="0"/>
              <w:jc w:val="center"/>
              <w:rPr>
                <w:highlight w:val="none"/>
              </w:rPr>
            </w:pPr>
            <w:r>
              <w:rPr>
                <w:highlight w:val="none"/>
              </w:rPr>
              <w:t>2</w:t>
            </w:r>
          </w:p>
        </w:tc>
        <w:tc>
          <w:tcPr>
            <w:tcW w:w="428" w:type="dxa"/>
            <w:vAlign w:val="center"/>
          </w:tcPr>
          <w:p w14:paraId="241EA701">
            <w:pPr>
              <w:pStyle w:val="22"/>
              <w:bidi w:val="0"/>
              <w:jc w:val="center"/>
              <w:rPr>
                <w:highlight w:val="none"/>
              </w:rPr>
            </w:pPr>
            <w:r>
              <w:rPr>
                <w:highlight w:val="none"/>
              </w:rPr>
              <w:t>2</w:t>
            </w:r>
          </w:p>
        </w:tc>
        <w:tc>
          <w:tcPr>
            <w:tcW w:w="793" w:type="dxa"/>
            <w:vAlign w:val="center"/>
          </w:tcPr>
          <w:p w14:paraId="78999091">
            <w:pPr>
              <w:pStyle w:val="22"/>
              <w:bidi w:val="0"/>
              <w:jc w:val="center"/>
              <w:rPr>
                <w:highlight w:val="none"/>
              </w:rPr>
            </w:pPr>
            <w:r>
              <w:rPr>
                <w:highlight w:val="none"/>
              </w:rPr>
              <w:t>0.0139</w:t>
            </w:r>
          </w:p>
        </w:tc>
        <w:tc>
          <w:tcPr>
            <w:tcW w:w="795" w:type="dxa"/>
            <w:vAlign w:val="center"/>
          </w:tcPr>
          <w:p w14:paraId="643D030A">
            <w:pPr>
              <w:pStyle w:val="22"/>
              <w:bidi w:val="0"/>
              <w:jc w:val="center"/>
              <w:rPr>
                <w:highlight w:val="none"/>
              </w:rPr>
            </w:pPr>
            <w:r>
              <w:rPr>
                <w:highlight w:val="none"/>
              </w:rPr>
              <w:t>4.62</w:t>
            </w:r>
          </w:p>
        </w:tc>
        <w:tc>
          <w:tcPr>
            <w:tcW w:w="970" w:type="dxa"/>
            <w:vAlign w:val="center"/>
          </w:tcPr>
          <w:p w14:paraId="69FFF453">
            <w:pPr>
              <w:pStyle w:val="22"/>
              <w:bidi w:val="0"/>
              <w:jc w:val="center"/>
              <w:rPr>
                <w:highlight w:val="none"/>
              </w:rPr>
            </w:pPr>
            <w:r>
              <w:rPr>
                <w:highlight w:val="none"/>
              </w:rPr>
              <w:t>43.33%</w:t>
            </w:r>
          </w:p>
        </w:tc>
        <w:tc>
          <w:tcPr>
            <w:tcW w:w="795" w:type="dxa"/>
            <w:vAlign w:val="center"/>
          </w:tcPr>
          <w:p w14:paraId="2FE5C25F">
            <w:pPr>
              <w:pStyle w:val="22"/>
              <w:bidi w:val="0"/>
              <w:jc w:val="center"/>
              <w:rPr>
                <w:highlight w:val="none"/>
              </w:rPr>
            </w:pPr>
            <w:r>
              <w:rPr>
                <w:highlight w:val="none"/>
              </w:rPr>
              <w:t>0.0157</w:t>
            </w:r>
          </w:p>
        </w:tc>
        <w:tc>
          <w:tcPr>
            <w:tcW w:w="800" w:type="dxa"/>
            <w:vAlign w:val="center"/>
          </w:tcPr>
          <w:p w14:paraId="10DD1DED">
            <w:pPr>
              <w:pStyle w:val="22"/>
              <w:bidi w:val="0"/>
              <w:jc w:val="center"/>
              <w:rPr>
                <w:highlight w:val="none"/>
              </w:rPr>
            </w:pPr>
            <w:r>
              <w:rPr>
                <w:highlight w:val="none"/>
              </w:rPr>
              <w:t>0.0037</w:t>
            </w:r>
          </w:p>
        </w:tc>
      </w:tr>
      <w:tr w14:paraId="129429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76" w:type="dxa"/>
            <w:vAlign w:val="center"/>
          </w:tcPr>
          <w:p w14:paraId="33CA12C8">
            <w:pPr>
              <w:pStyle w:val="22"/>
              <w:bidi w:val="0"/>
              <w:jc w:val="center"/>
              <w:rPr>
                <w:highlight w:val="none"/>
              </w:rPr>
            </w:pPr>
            <w:r>
              <w:rPr>
                <w:highlight w:val="none"/>
              </w:rPr>
              <w:t>13</w:t>
            </w:r>
          </w:p>
        </w:tc>
        <w:tc>
          <w:tcPr>
            <w:tcW w:w="1586" w:type="dxa"/>
            <w:vAlign w:val="center"/>
          </w:tcPr>
          <w:p w14:paraId="12CEEA3B">
            <w:pPr>
              <w:pStyle w:val="22"/>
              <w:bidi w:val="0"/>
              <w:jc w:val="center"/>
              <w:rPr>
                <w:i/>
                <w:iCs w:val="0"/>
                <w:highlight w:val="none"/>
              </w:rPr>
            </w:pPr>
            <w:r>
              <w:rPr>
                <w:highlight w:val="none"/>
              </w:rPr>
              <w:t xml:space="preserve">橙斑翅柳莺 </w:t>
            </w:r>
            <w:r>
              <w:rPr>
                <w:i/>
                <w:iCs w:val="0"/>
                <w:highlight w:val="none"/>
              </w:rPr>
              <w:t>Phylloscopus</w:t>
            </w:r>
          </w:p>
          <w:p w14:paraId="12CED824">
            <w:pPr>
              <w:pStyle w:val="22"/>
              <w:bidi w:val="0"/>
              <w:jc w:val="center"/>
              <w:rPr>
                <w:highlight w:val="none"/>
              </w:rPr>
            </w:pPr>
            <w:r>
              <w:rPr>
                <w:i/>
                <w:iCs w:val="0"/>
                <w:highlight w:val="none"/>
              </w:rPr>
              <w:t>pulcher</w:t>
            </w:r>
          </w:p>
        </w:tc>
        <w:tc>
          <w:tcPr>
            <w:tcW w:w="531" w:type="dxa"/>
            <w:vAlign w:val="center"/>
          </w:tcPr>
          <w:p w14:paraId="72A53D60">
            <w:pPr>
              <w:pStyle w:val="22"/>
              <w:bidi w:val="0"/>
              <w:jc w:val="center"/>
              <w:rPr>
                <w:highlight w:val="none"/>
              </w:rPr>
            </w:pPr>
            <w:r>
              <w:rPr>
                <w:highlight w:val="none"/>
              </w:rPr>
              <w:t>39</w:t>
            </w:r>
          </w:p>
        </w:tc>
        <w:tc>
          <w:tcPr>
            <w:tcW w:w="533" w:type="dxa"/>
            <w:vAlign w:val="center"/>
          </w:tcPr>
          <w:p w14:paraId="26463DD5">
            <w:pPr>
              <w:pStyle w:val="22"/>
              <w:bidi w:val="0"/>
              <w:jc w:val="center"/>
              <w:rPr>
                <w:highlight w:val="none"/>
              </w:rPr>
            </w:pPr>
            <w:r>
              <w:rPr>
                <w:highlight w:val="none"/>
              </w:rPr>
              <w:t>31</w:t>
            </w:r>
          </w:p>
        </w:tc>
        <w:tc>
          <w:tcPr>
            <w:tcW w:w="428" w:type="dxa"/>
            <w:vAlign w:val="center"/>
          </w:tcPr>
          <w:p w14:paraId="1CAEFC01">
            <w:pPr>
              <w:pStyle w:val="22"/>
              <w:bidi w:val="0"/>
              <w:jc w:val="center"/>
              <w:rPr>
                <w:highlight w:val="none"/>
              </w:rPr>
            </w:pPr>
            <w:r>
              <w:rPr>
                <w:highlight w:val="none"/>
              </w:rPr>
              <w:t>14</w:t>
            </w:r>
          </w:p>
        </w:tc>
        <w:tc>
          <w:tcPr>
            <w:tcW w:w="428" w:type="dxa"/>
            <w:vAlign w:val="center"/>
          </w:tcPr>
          <w:p w14:paraId="5D3B319E">
            <w:pPr>
              <w:pStyle w:val="22"/>
              <w:bidi w:val="0"/>
              <w:jc w:val="center"/>
              <w:rPr>
                <w:highlight w:val="none"/>
              </w:rPr>
            </w:pPr>
            <w:r>
              <w:rPr>
                <w:highlight w:val="none"/>
              </w:rPr>
              <w:t>1</w:t>
            </w:r>
          </w:p>
        </w:tc>
        <w:tc>
          <w:tcPr>
            <w:tcW w:w="793" w:type="dxa"/>
            <w:vAlign w:val="center"/>
          </w:tcPr>
          <w:p w14:paraId="07566EA2">
            <w:pPr>
              <w:pStyle w:val="22"/>
              <w:bidi w:val="0"/>
              <w:jc w:val="center"/>
              <w:rPr>
                <w:highlight w:val="none"/>
              </w:rPr>
            </w:pPr>
            <w:r>
              <w:rPr>
                <w:highlight w:val="none"/>
              </w:rPr>
              <w:t>0.1354</w:t>
            </w:r>
          </w:p>
        </w:tc>
        <w:tc>
          <w:tcPr>
            <w:tcW w:w="795" w:type="dxa"/>
            <w:vAlign w:val="center"/>
          </w:tcPr>
          <w:p w14:paraId="4C12EF5C">
            <w:pPr>
              <w:pStyle w:val="22"/>
              <w:bidi w:val="0"/>
              <w:jc w:val="center"/>
              <w:rPr>
                <w:highlight w:val="none"/>
              </w:rPr>
            </w:pPr>
            <w:r>
              <w:rPr>
                <w:highlight w:val="none"/>
              </w:rPr>
              <w:t>36.11</w:t>
            </w:r>
          </w:p>
        </w:tc>
        <w:tc>
          <w:tcPr>
            <w:tcW w:w="970" w:type="dxa"/>
            <w:vAlign w:val="center"/>
          </w:tcPr>
          <w:p w14:paraId="169BE1BE">
            <w:pPr>
              <w:pStyle w:val="22"/>
              <w:bidi w:val="0"/>
              <w:jc w:val="center"/>
              <w:rPr>
                <w:highlight w:val="none"/>
              </w:rPr>
            </w:pPr>
            <w:r>
              <w:rPr>
                <w:highlight w:val="none"/>
              </w:rPr>
              <w:t>43.33%</w:t>
            </w:r>
          </w:p>
        </w:tc>
        <w:tc>
          <w:tcPr>
            <w:tcW w:w="795" w:type="dxa"/>
            <w:vAlign w:val="center"/>
          </w:tcPr>
          <w:p w14:paraId="5A47FDA6">
            <w:pPr>
              <w:pStyle w:val="22"/>
              <w:bidi w:val="0"/>
              <w:jc w:val="center"/>
              <w:rPr>
                <w:highlight w:val="none"/>
              </w:rPr>
            </w:pPr>
            <w:r>
              <w:rPr>
                <w:highlight w:val="none"/>
              </w:rPr>
              <w:t>0.0944</w:t>
            </w:r>
          </w:p>
        </w:tc>
        <w:tc>
          <w:tcPr>
            <w:tcW w:w="800" w:type="dxa"/>
            <w:vAlign w:val="center"/>
          </w:tcPr>
          <w:p w14:paraId="33D04DB5">
            <w:pPr>
              <w:pStyle w:val="22"/>
              <w:bidi w:val="0"/>
              <w:jc w:val="center"/>
              <w:rPr>
                <w:highlight w:val="none"/>
              </w:rPr>
            </w:pPr>
            <w:r>
              <w:rPr>
                <w:highlight w:val="none"/>
              </w:rPr>
              <w:t>0.0225</w:t>
            </w:r>
          </w:p>
        </w:tc>
      </w:tr>
      <w:tr w14:paraId="215F75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7C8C0D0A">
            <w:pPr>
              <w:pStyle w:val="22"/>
              <w:bidi w:val="0"/>
              <w:jc w:val="center"/>
              <w:rPr>
                <w:highlight w:val="none"/>
              </w:rPr>
            </w:pPr>
            <w:r>
              <w:rPr>
                <w:highlight w:val="none"/>
              </w:rPr>
              <w:t>14</w:t>
            </w:r>
          </w:p>
        </w:tc>
        <w:tc>
          <w:tcPr>
            <w:tcW w:w="1586" w:type="dxa"/>
            <w:vAlign w:val="center"/>
          </w:tcPr>
          <w:p w14:paraId="1A931711">
            <w:pPr>
              <w:pStyle w:val="22"/>
              <w:bidi w:val="0"/>
              <w:jc w:val="center"/>
              <w:rPr>
                <w:i/>
                <w:iCs w:val="0"/>
                <w:highlight w:val="none"/>
              </w:rPr>
            </w:pPr>
            <w:r>
              <w:rPr>
                <w:highlight w:val="none"/>
              </w:rPr>
              <w:t xml:space="preserve">淡黄腰柳莺 </w:t>
            </w:r>
            <w:r>
              <w:rPr>
                <w:i/>
                <w:iCs w:val="0"/>
                <w:highlight w:val="none"/>
              </w:rPr>
              <w:t>Phylloscopus</w:t>
            </w:r>
          </w:p>
          <w:p w14:paraId="33CD2AC9">
            <w:pPr>
              <w:pStyle w:val="22"/>
              <w:bidi w:val="0"/>
              <w:jc w:val="center"/>
              <w:rPr>
                <w:highlight w:val="none"/>
              </w:rPr>
            </w:pPr>
            <w:r>
              <w:rPr>
                <w:i/>
                <w:iCs w:val="0"/>
                <w:highlight w:val="none"/>
              </w:rPr>
              <w:t>chloronotus</w:t>
            </w:r>
          </w:p>
        </w:tc>
        <w:tc>
          <w:tcPr>
            <w:tcW w:w="531" w:type="dxa"/>
            <w:vAlign w:val="center"/>
          </w:tcPr>
          <w:p w14:paraId="54A33F33">
            <w:pPr>
              <w:pStyle w:val="22"/>
              <w:bidi w:val="0"/>
              <w:jc w:val="center"/>
              <w:rPr>
                <w:highlight w:val="none"/>
              </w:rPr>
            </w:pPr>
            <w:r>
              <w:rPr>
                <w:highlight w:val="none"/>
              </w:rPr>
              <w:t>1</w:t>
            </w:r>
          </w:p>
        </w:tc>
        <w:tc>
          <w:tcPr>
            <w:tcW w:w="533" w:type="dxa"/>
            <w:vAlign w:val="center"/>
          </w:tcPr>
          <w:p w14:paraId="02489F30">
            <w:pPr>
              <w:pStyle w:val="22"/>
              <w:bidi w:val="0"/>
              <w:jc w:val="center"/>
              <w:rPr>
                <w:highlight w:val="none"/>
              </w:rPr>
            </w:pPr>
            <w:r>
              <w:rPr>
                <w:highlight w:val="none"/>
              </w:rPr>
              <w:t>1</w:t>
            </w:r>
          </w:p>
        </w:tc>
        <w:tc>
          <w:tcPr>
            <w:tcW w:w="428" w:type="dxa"/>
            <w:vAlign w:val="center"/>
          </w:tcPr>
          <w:p w14:paraId="5E681800">
            <w:pPr>
              <w:pStyle w:val="22"/>
              <w:bidi w:val="0"/>
              <w:jc w:val="center"/>
              <w:rPr>
                <w:highlight w:val="none"/>
              </w:rPr>
            </w:pPr>
            <w:r>
              <w:rPr>
                <w:highlight w:val="none"/>
              </w:rPr>
              <w:t>1</w:t>
            </w:r>
          </w:p>
        </w:tc>
        <w:tc>
          <w:tcPr>
            <w:tcW w:w="428" w:type="dxa"/>
            <w:vAlign w:val="center"/>
          </w:tcPr>
          <w:p w14:paraId="3CB488B3">
            <w:pPr>
              <w:pStyle w:val="22"/>
              <w:bidi w:val="0"/>
              <w:jc w:val="center"/>
              <w:rPr>
                <w:highlight w:val="none"/>
              </w:rPr>
            </w:pPr>
            <w:r>
              <w:rPr>
                <w:highlight w:val="none"/>
              </w:rPr>
              <w:t>1</w:t>
            </w:r>
          </w:p>
        </w:tc>
        <w:tc>
          <w:tcPr>
            <w:tcW w:w="793" w:type="dxa"/>
            <w:vAlign w:val="center"/>
          </w:tcPr>
          <w:p w14:paraId="64E684D8">
            <w:pPr>
              <w:pStyle w:val="22"/>
              <w:bidi w:val="0"/>
              <w:jc w:val="center"/>
              <w:rPr>
                <w:highlight w:val="none"/>
              </w:rPr>
            </w:pPr>
            <w:r>
              <w:rPr>
                <w:highlight w:val="none"/>
              </w:rPr>
              <w:t>0.0035</w:t>
            </w:r>
          </w:p>
        </w:tc>
        <w:tc>
          <w:tcPr>
            <w:tcW w:w="795" w:type="dxa"/>
            <w:vAlign w:val="center"/>
          </w:tcPr>
          <w:p w14:paraId="0BC489F3">
            <w:pPr>
              <w:pStyle w:val="22"/>
              <w:bidi w:val="0"/>
              <w:jc w:val="center"/>
              <w:rPr>
                <w:highlight w:val="none"/>
              </w:rPr>
            </w:pPr>
            <w:r>
              <w:rPr>
                <w:highlight w:val="none"/>
              </w:rPr>
              <w:t>2.02</w:t>
            </w:r>
          </w:p>
        </w:tc>
        <w:tc>
          <w:tcPr>
            <w:tcW w:w="970" w:type="dxa"/>
            <w:vAlign w:val="center"/>
          </w:tcPr>
          <w:p w14:paraId="5B4DA2A7">
            <w:pPr>
              <w:pStyle w:val="22"/>
              <w:bidi w:val="0"/>
              <w:jc w:val="center"/>
              <w:rPr>
                <w:highlight w:val="none"/>
              </w:rPr>
            </w:pPr>
            <w:r>
              <w:rPr>
                <w:highlight w:val="none"/>
              </w:rPr>
              <w:t>21.67%</w:t>
            </w:r>
          </w:p>
        </w:tc>
        <w:tc>
          <w:tcPr>
            <w:tcW w:w="795" w:type="dxa"/>
            <w:vAlign w:val="center"/>
          </w:tcPr>
          <w:p w14:paraId="710B4DDD">
            <w:pPr>
              <w:pStyle w:val="22"/>
              <w:bidi w:val="0"/>
              <w:jc w:val="center"/>
              <w:rPr>
                <w:highlight w:val="none"/>
              </w:rPr>
            </w:pPr>
            <w:r>
              <w:rPr>
                <w:highlight w:val="none"/>
              </w:rPr>
              <w:t>0.0048</w:t>
            </w:r>
          </w:p>
        </w:tc>
        <w:tc>
          <w:tcPr>
            <w:tcW w:w="800" w:type="dxa"/>
            <w:vAlign w:val="center"/>
          </w:tcPr>
          <w:p w14:paraId="643C5F7B">
            <w:pPr>
              <w:pStyle w:val="22"/>
              <w:bidi w:val="0"/>
              <w:jc w:val="center"/>
              <w:rPr>
                <w:highlight w:val="none"/>
              </w:rPr>
            </w:pPr>
            <w:r>
              <w:rPr>
                <w:highlight w:val="none"/>
              </w:rPr>
              <w:t>0.0012</w:t>
            </w:r>
          </w:p>
        </w:tc>
      </w:tr>
      <w:tr w14:paraId="043B12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676" w:type="dxa"/>
            <w:vAlign w:val="center"/>
          </w:tcPr>
          <w:p w14:paraId="5056AE0A">
            <w:pPr>
              <w:pStyle w:val="22"/>
              <w:bidi w:val="0"/>
              <w:jc w:val="center"/>
              <w:rPr>
                <w:highlight w:val="none"/>
              </w:rPr>
            </w:pPr>
            <w:r>
              <w:rPr>
                <w:highlight w:val="none"/>
              </w:rPr>
              <w:t>15</w:t>
            </w:r>
          </w:p>
        </w:tc>
        <w:tc>
          <w:tcPr>
            <w:tcW w:w="1586" w:type="dxa"/>
            <w:vAlign w:val="center"/>
          </w:tcPr>
          <w:p w14:paraId="1DB8F058">
            <w:pPr>
              <w:pStyle w:val="22"/>
              <w:bidi w:val="0"/>
              <w:jc w:val="center"/>
              <w:rPr>
                <w:highlight w:val="none"/>
              </w:rPr>
            </w:pPr>
            <w:r>
              <w:rPr>
                <w:highlight w:val="none"/>
              </w:rPr>
              <w:t>黄腹柳莺</w:t>
            </w:r>
          </w:p>
          <w:p w14:paraId="7163772A">
            <w:pPr>
              <w:pStyle w:val="22"/>
              <w:bidi w:val="0"/>
              <w:jc w:val="center"/>
              <w:rPr>
                <w:i/>
                <w:iCs w:val="0"/>
                <w:highlight w:val="none"/>
              </w:rPr>
            </w:pPr>
            <w:r>
              <w:rPr>
                <w:i/>
                <w:iCs w:val="0"/>
                <w:highlight w:val="none"/>
              </w:rPr>
              <w:t>Phylloscopus</w:t>
            </w:r>
          </w:p>
          <w:p w14:paraId="076CA07A">
            <w:pPr>
              <w:pStyle w:val="22"/>
              <w:bidi w:val="0"/>
              <w:jc w:val="center"/>
              <w:rPr>
                <w:highlight w:val="none"/>
              </w:rPr>
            </w:pPr>
            <w:r>
              <w:rPr>
                <w:highlight w:val="none"/>
              </w:rPr>
              <w:t>afinis</w:t>
            </w:r>
          </w:p>
        </w:tc>
        <w:tc>
          <w:tcPr>
            <w:tcW w:w="531" w:type="dxa"/>
            <w:vAlign w:val="center"/>
          </w:tcPr>
          <w:p w14:paraId="01A8F23F">
            <w:pPr>
              <w:pStyle w:val="22"/>
              <w:bidi w:val="0"/>
              <w:jc w:val="center"/>
              <w:rPr>
                <w:highlight w:val="none"/>
              </w:rPr>
            </w:pPr>
            <w:r>
              <w:rPr>
                <w:highlight w:val="none"/>
              </w:rPr>
              <w:t>15</w:t>
            </w:r>
          </w:p>
        </w:tc>
        <w:tc>
          <w:tcPr>
            <w:tcW w:w="533" w:type="dxa"/>
            <w:vAlign w:val="center"/>
          </w:tcPr>
          <w:p w14:paraId="73AF6993">
            <w:pPr>
              <w:pStyle w:val="22"/>
              <w:bidi w:val="0"/>
              <w:jc w:val="center"/>
              <w:rPr>
                <w:highlight w:val="none"/>
              </w:rPr>
            </w:pPr>
            <w:r>
              <w:rPr>
                <w:highlight w:val="none"/>
              </w:rPr>
              <w:t>10</w:t>
            </w:r>
          </w:p>
        </w:tc>
        <w:tc>
          <w:tcPr>
            <w:tcW w:w="428" w:type="dxa"/>
            <w:vAlign w:val="center"/>
          </w:tcPr>
          <w:p w14:paraId="7B311109">
            <w:pPr>
              <w:pStyle w:val="22"/>
              <w:bidi w:val="0"/>
              <w:jc w:val="center"/>
              <w:rPr>
                <w:highlight w:val="none"/>
              </w:rPr>
            </w:pPr>
            <w:r>
              <w:rPr>
                <w:highlight w:val="none"/>
              </w:rPr>
              <w:t>5</w:t>
            </w:r>
          </w:p>
        </w:tc>
        <w:tc>
          <w:tcPr>
            <w:tcW w:w="428" w:type="dxa"/>
            <w:vAlign w:val="center"/>
          </w:tcPr>
          <w:p w14:paraId="19FEBDD1">
            <w:pPr>
              <w:pStyle w:val="22"/>
              <w:bidi w:val="0"/>
              <w:jc w:val="center"/>
              <w:rPr>
                <w:highlight w:val="none"/>
              </w:rPr>
            </w:pPr>
            <w:r>
              <w:rPr>
                <w:highlight w:val="none"/>
              </w:rPr>
              <w:t>1</w:t>
            </w:r>
          </w:p>
        </w:tc>
        <w:tc>
          <w:tcPr>
            <w:tcW w:w="793" w:type="dxa"/>
            <w:vAlign w:val="center"/>
          </w:tcPr>
          <w:p w14:paraId="10D1A877">
            <w:pPr>
              <w:pStyle w:val="22"/>
              <w:bidi w:val="0"/>
              <w:jc w:val="center"/>
              <w:rPr>
                <w:highlight w:val="none"/>
              </w:rPr>
            </w:pPr>
            <w:r>
              <w:rPr>
                <w:highlight w:val="none"/>
              </w:rPr>
              <w:t>0.0521</w:t>
            </w:r>
          </w:p>
        </w:tc>
        <w:tc>
          <w:tcPr>
            <w:tcW w:w="795" w:type="dxa"/>
            <w:vAlign w:val="center"/>
          </w:tcPr>
          <w:p w14:paraId="1099E128">
            <w:pPr>
              <w:pStyle w:val="22"/>
              <w:bidi w:val="0"/>
              <w:jc w:val="center"/>
              <w:rPr>
                <w:highlight w:val="none"/>
              </w:rPr>
            </w:pPr>
            <w:r>
              <w:rPr>
                <w:highlight w:val="none"/>
              </w:rPr>
              <w:t>13.04</w:t>
            </w:r>
          </w:p>
        </w:tc>
        <w:tc>
          <w:tcPr>
            <w:tcW w:w="970" w:type="dxa"/>
            <w:vAlign w:val="center"/>
          </w:tcPr>
          <w:p w14:paraId="0FAF61AE">
            <w:pPr>
              <w:pStyle w:val="22"/>
              <w:bidi w:val="0"/>
              <w:jc w:val="center"/>
              <w:rPr>
                <w:highlight w:val="none"/>
              </w:rPr>
            </w:pPr>
            <w:r>
              <w:rPr>
                <w:highlight w:val="none"/>
              </w:rPr>
              <w:t>28.33%</w:t>
            </w:r>
          </w:p>
        </w:tc>
        <w:tc>
          <w:tcPr>
            <w:tcW w:w="795" w:type="dxa"/>
            <w:vAlign w:val="center"/>
          </w:tcPr>
          <w:p w14:paraId="2C10C2B1">
            <w:pPr>
              <w:pStyle w:val="22"/>
              <w:bidi w:val="0"/>
              <w:jc w:val="center"/>
              <w:rPr>
                <w:highlight w:val="none"/>
              </w:rPr>
            </w:pPr>
            <w:r>
              <w:rPr>
                <w:highlight w:val="none"/>
              </w:rPr>
              <w:t>0.0458</w:t>
            </w:r>
          </w:p>
        </w:tc>
        <w:tc>
          <w:tcPr>
            <w:tcW w:w="800" w:type="dxa"/>
            <w:vAlign w:val="center"/>
          </w:tcPr>
          <w:p w14:paraId="1C3D85A8">
            <w:pPr>
              <w:pStyle w:val="22"/>
              <w:bidi w:val="0"/>
              <w:jc w:val="center"/>
              <w:rPr>
                <w:highlight w:val="none"/>
              </w:rPr>
            </w:pPr>
            <w:r>
              <w:rPr>
                <w:highlight w:val="none"/>
              </w:rPr>
              <w:t>0.0109</w:t>
            </w:r>
          </w:p>
        </w:tc>
      </w:tr>
      <w:tr w14:paraId="3DBE11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0A2DD9CD">
            <w:pPr>
              <w:pStyle w:val="22"/>
              <w:bidi w:val="0"/>
              <w:jc w:val="center"/>
              <w:rPr>
                <w:highlight w:val="none"/>
              </w:rPr>
            </w:pPr>
            <w:r>
              <w:rPr>
                <w:highlight w:val="none"/>
              </w:rPr>
              <w:t>16</w:t>
            </w:r>
          </w:p>
        </w:tc>
        <w:tc>
          <w:tcPr>
            <w:tcW w:w="1586" w:type="dxa"/>
            <w:vAlign w:val="center"/>
          </w:tcPr>
          <w:p w14:paraId="3830DB34">
            <w:pPr>
              <w:pStyle w:val="22"/>
              <w:bidi w:val="0"/>
              <w:jc w:val="center"/>
              <w:rPr>
                <w:highlight w:val="none"/>
              </w:rPr>
            </w:pPr>
            <w:r>
              <w:rPr>
                <w:highlight w:val="none"/>
              </w:rPr>
              <w:t>褐柳莺</w:t>
            </w:r>
          </w:p>
          <w:p w14:paraId="21BD13F6">
            <w:pPr>
              <w:pStyle w:val="22"/>
              <w:bidi w:val="0"/>
              <w:jc w:val="center"/>
              <w:rPr>
                <w:i/>
                <w:iCs w:val="0"/>
                <w:highlight w:val="none"/>
              </w:rPr>
            </w:pPr>
            <w:r>
              <w:rPr>
                <w:i/>
                <w:iCs w:val="0"/>
                <w:highlight w:val="none"/>
              </w:rPr>
              <w:t>Phylloscopus</w:t>
            </w:r>
          </w:p>
          <w:p w14:paraId="33AFDE1D">
            <w:pPr>
              <w:pStyle w:val="22"/>
              <w:bidi w:val="0"/>
              <w:jc w:val="center"/>
              <w:rPr>
                <w:highlight w:val="none"/>
              </w:rPr>
            </w:pPr>
            <w:r>
              <w:rPr>
                <w:i/>
                <w:iCs w:val="0"/>
                <w:highlight w:val="none"/>
              </w:rPr>
              <w:t>fuscatus</w:t>
            </w:r>
          </w:p>
        </w:tc>
        <w:tc>
          <w:tcPr>
            <w:tcW w:w="531" w:type="dxa"/>
            <w:vAlign w:val="center"/>
          </w:tcPr>
          <w:p w14:paraId="6EE3A096">
            <w:pPr>
              <w:pStyle w:val="22"/>
              <w:bidi w:val="0"/>
              <w:jc w:val="center"/>
              <w:rPr>
                <w:highlight w:val="none"/>
              </w:rPr>
            </w:pPr>
            <w:r>
              <w:rPr>
                <w:highlight w:val="none"/>
              </w:rPr>
              <w:t>7</w:t>
            </w:r>
          </w:p>
        </w:tc>
        <w:tc>
          <w:tcPr>
            <w:tcW w:w="533" w:type="dxa"/>
            <w:vAlign w:val="center"/>
          </w:tcPr>
          <w:p w14:paraId="4C9D0F27">
            <w:pPr>
              <w:pStyle w:val="22"/>
              <w:bidi w:val="0"/>
              <w:jc w:val="center"/>
              <w:rPr>
                <w:highlight w:val="none"/>
              </w:rPr>
            </w:pPr>
            <w:r>
              <w:rPr>
                <w:highlight w:val="none"/>
              </w:rPr>
              <w:t>7</w:t>
            </w:r>
          </w:p>
        </w:tc>
        <w:tc>
          <w:tcPr>
            <w:tcW w:w="428" w:type="dxa"/>
            <w:vAlign w:val="center"/>
          </w:tcPr>
          <w:p w14:paraId="6122F507">
            <w:pPr>
              <w:pStyle w:val="22"/>
              <w:bidi w:val="0"/>
              <w:jc w:val="center"/>
              <w:rPr>
                <w:highlight w:val="none"/>
              </w:rPr>
            </w:pPr>
            <w:r>
              <w:rPr>
                <w:highlight w:val="none"/>
              </w:rPr>
              <w:t>7</w:t>
            </w:r>
          </w:p>
        </w:tc>
        <w:tc>
          <w:tcPr>
            <w:tcW w:w="428" w:type="dxa"/>
            <w:vAlign w:val="center"/>
          </w:tcPr>
          <w:p w14:paraId="3FB79B16">
            <w:pPr>
              <w:pStyle w:val="22"/>
              <w:bidi w:val="0"/>
              <w:jc w:val="center"/>
              <w:rPr>
                <w:highlight w:val="none"/>
              </w:rPr>
            </w:pPr>
            <w:r>
              <w:rPr>
                <w:highlight w:val="none"/>
              </w:rPr>
              <w:t>1</w:t>
            </w:r>
          </w:p>
        </w:tc>
        <w:tc>
          <w:tcPr>
            <w:tcW w:w="793" w:type="dxa"/>
            <w:vAlign w:val="center"/>
          </w:tcPr>
          <w:p w14:paraId="6D4BB291">
            <w:pPr>
              <w:pStyle w:val="22"/>
              <w:bidi w:val="0"/>
              <w:jc w:val="center"/>
              <w:rPr>
                <w:highlight w:val="none"/>
              </w:rPr>
            </w:pPr>
            <w:r>
              <w:rPr>
                <w:highlight w:val="none"/>
              </w:rPr>
              <w:t>0.0243</w:t>
            </w:r>
          </w:p>
        </w:tc>
        <w:tc>
          <w:tcPr>
            <w:tcW w:w="795" w:type="dxa"/>
            <w:vAlign w:val="center"/>
          </w:tcPr>
          <w:p w14:paraId="754133BD">
            <w:pPr>
              <w:pStyle w:val="22"/>
              <w:bidi w:val="0"/>
              <w:jc w:val="center"/>
              <w:rPr>
                <w:highlight w:val="none"/>
              </w:rPr>
            </w:pPr>
            <w:r>
              <w:rPr>
                <w:highlight w:val="none"/>
              </w:rPr>
              <w:t>14.12</w:t>
            </w:r>
          </w:p>
        </w:tc>
        <w:tc>
          <w:tcPr>
            <w:tcW w:w="970" w:type="dxa"/>
            <w:vAlign w:val="center"/>
          </w:tcPr>
          <w:p w14:paraId="571E22DF">
            <w:pPr>
              <w:pStyle w:val="22"/>
              <w:bidi w:val="0"/>
              <w:jc w:val="center"/>
              <w:rPr>
                <w:highlight w:val="none"/>
              </w:rPr>
            </w:pPr>
            <w:r>
              <w:rPr>
                <w:highlight w:val="none"/>
              </w:rPr>
              <w:t>31.67%</w:t>
            </w:r>
          </w:p>
        </w:tc>
        <w:tc>
          <w:tcPr>
            <w:tcW w:w="795" w:type="dxa"/>
            <w:vAlign w:val="center"/>
          </w:tcPr>
          <w:p w14:paraId="425BB6F4">
            <w:pPr>
              <w:pStyle w:val="22"/>
              <w:bidi w:val="0"/>
              <w:jc w:val="center"/>
              <w:rPr>
                <w:highlight w:val="none"/>
              </w:rPr>
            </w:pPr>
            <w:r>
              <w:rPr>
                <w:highlight w:val="none"/>
              </w:rPr>
              <w:t>0.0249</w:t>
            </w:r>
          </w:p>
        </w:tc>
        <w:tc>
          <w:tcPr>
            <w:tcW w:w="800" w:type="dxa"/>
            <w:vAlign w:val="center"/>
          </w:tcPr>
          <w:p w14:paraId="79375962">
            <w:pPr>
              <w:pStyle w:val="22"/>
              <w:bidi w:val="0"/>
              <w:jc w:val="center"/>
              <w:rPr>
                <w:highlight w:val="none"/>
              </w:rPr>
            </w:pPr>
            <w:r>
              <w:rPr>
                <w:highlight w:val="none"/>
              </w:rPr>
              <w:t>0.0059</w:t>
            </w:r>
          </w:p>
        </w:tc>
      </w:tr>
      <w:tr w14:paraId="79058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7DDC4FDA">
            <w:pPr>
              <w:pStyle w:val="22"/>
              <w:bidi w:val="0"/>
              <w:jc w:val="center"/>
              <w:rPr>
                <w:highlight w:val="none"/>
              </w:rPr>
            </w:pPr>
            <w:r>
              <w:rPr>
                <w:highlight w:val="none"/>
              </w:rPr>
              <w:t>17</w:t>
            </w:r>
          </w:p>
        </w:tc>
        <w:tc>
          <w:tcPr>
            <w:tcW w:w="1586" w:type="dxa"/>
            <w:vAlign w:val="center"/>
          </w:tcPr>
          <w:p w14:paraId="5BD8F954">
            <w:pPr>
              <w:pStyle w:val="22"/>
              <w:bidi w:val="0"/>
              <w:jc w:val="center"/>
              <w:rPr>
                <w:i/>
                <w:iCs w:val="0"/>
                <w:highlight w:val="none"/>
              </w:rPr>
            </w:pPr>
            <w:r>
              <w:rPr>
                <w:highlight w:val="none"/>
              </w:rPr>
              <w:t xml:space="preserve">暗绿柳莺  </w:t>
            </w:r>
            <w:r>
              <w:rPr>
                <w:i/>
                <w:iCs w:val="0"/>
                <w:highlight w:val="none"/>
              </w:rPr>
              <w:t>Phylloscopus</w:t>
            </w:r>
          </w:p>
          <w:p w14:paraId="51A5356C">
            <w:pPr>
              <w:pStyle w:val="22"/>
              <w:bidi w:val="0"/>
              <w:jc w:val="center"/>
              <w:rPr>
                <w:highlight w:val="none"/>
              </w:rPr>
            </w:pPr>
            <w:r>
              <w:rPr>
                <w:i/>
                <w:iCs w:val="0"/>
                <w:highlight w:val="none"/>
              </w:rPr>
              <w:t>trochiloides</w:t>
            </w:r>
          </w:p>
        </w:tc>
        <w:tc>
          <w:tcPr>
            <w:tcW w:w="531" w:type="dxa"/>
            <w:vAlign w:val="center"/>
          </w:tcPr>
          <w:p w14:paraId="37A2AD7A">
            <w:pPr>
              <w:pStyle w:val="22"/>
              <w:bidi w:val="0"/>
              <w:jc w:val="center"/>
              <w:rPr>
                <w:highlight w:val="none"/>
              </w:rPr>
            </w:pPr>
            <w:r>
              <w:rPr>
                <w:highlight w:val="none"/>
              </w:rPr>
              <w:t>2</w:t>
            </w:r>
          </w:p>
        </w:tc>
        <w:tc>
          <w:tcPr>
            <w:tcW w:w="533" w:type="dxa"/>
            <w:vAlign w:val="center"/>
          </w:tcPr>
          <w:p w14:paraId="72C36FC2">
            <w:pPr>
              <w:pStyle w:val="22"/>
              <w:bidi w:val="0"/>
              <w:jc w:val="center"/>
              <w:rPr>
                <w:highlight w:val="none"/>
              </w:rPr>
            </w:pPr>
            <w:r>
              <w:rPr>
                <w:highlight w:val="none"/>
              </w:rPr>
              <w:t>2</w:t>
            </w:r>
          </w:p>
        </w:tc>
        <w:tc>
          <w:tcPr>
            <w:tcW w:w="428" w:type="dxa"/>
            <w:vAlign w:val="center"/>
          </w:tcPr>
          <w:p w14:paraId="2DA39C97">
            <w:pPr>
              <w:pStyle w:val="22"/>
              <w:bidi w:val="0"/>
              <w:jc w:val="center"/>
              <w:rPr>
                <w:highlight w:val="none"/>
              </w:rPr>
            </w:pPr>
            <w:r>
              <w:rPr>
                <w:highlight w:val="none"/>
              </w:rPr>
              <w:t>2</w:t>
            </w:r>
          </w:p>
        </w:tc>
        <w:tc>
          <w:tcPr>
            <w:tcW w:w="428" w:type="dxa"/>
            <w:vAlign w:val="center"/>
          </w:tcPr>
          <w:p w14:paraId="07007A27">
            <w:pPr>
              <w:pStyle w:val="22"/>
              <w:bidi w:val="0"/>
              <w:jc w:val="center"/>
              <w:rPr>
                <w:highlight w:val="none"/>
              </w:rPr>
            </w:pPr>
            <w:r>
              <w:rPr>
                <w:highlight w:val="none"/>
              </w:rPr>
              <w:t>1</w:t>
            </w:r>
          </w:p>
        </w:tc>
        <w:tc>
          <w:tcPr>
            <w:tcW w:w="793" w:type="dxa"/>
            <w:vAlign w:val="center"/>
          </w:tcPr>
          <w:p w14:paraId="2228116F">
            <w:pPr>
              <w:pStyle w:val="22"/>
              <w:bidi w:val="0"/>
              <w:jc w:val="center"/>
              <w:rPr>
                <w:highlight w:val="none"/>
              </w:rPr>
            </w:pPr>
            <w:r>
              <w:rPr>
                <w:highlight w:val="none"/>
              </w:rPr>
              <w:t>0.0069</w:t>
            </w:r>
          </w:p>
        </w:tc>
        <w:tc>
          <w:tcPr>
            <w:tcW w:w="795" w:type="dxa"/>
            <w:vAlign w:val="center"/>
          </w:tcPr>
          <w:p w14:paraId="5568F17D">
            <w:pPr>
              <w:pStyle w:val="22"/>
              <w:bidi w:val="0"/>
              <w:jc w:val="center"/>
              <w:rPr>
                <w:highlight w:val="none"/>
              </w:rPr>
            </w:pPr>
            <w:r>
              <w:rPr>
                <w:highlight w:val="none"/>
              </w:rPr>
              <w:t>4.03</w:t>
            </w:r>
          </w:p>
        </w:tc>
        <w:tc>
          <w:tcPr>
            <w:tcW w:w="970" w:type="dxa"/>
            <w:vAlign w:val="center"/>
          </w:tcPr>
          <w:p w14:paraId="155D55FA">
            <w:pPr>
              <w:pStyle w:val="22"/>
              <w:bidi w:val="0"/>
              <w:jc w:val="center"/>
              <w:rPr>
                <w:highlight w:val="none"/>
              </w:rPr>
            </w:pPr>
            <w:r>
              <w:rPr>
                <w:highlight w:val="none"/>
              </w:rPr>
              <w:t>23.33%</w:t>
            </w:r>
          </w:p>
        </w:tc>
        <w:tc>
          <w:tcPr>
            <w:tcW w:w="795" w:type="dxa"/>
            <w:vAlign w:val="center"/>
          </w:tcPr>
          <w:p w14:paraId="15F7B54F">
            <w:pPr>
              <w:pStyle w:val="22"/>
              <w:bidi w:val="0"/>
              <w:jc w:val="center"/>
              <w:rPr>
                <w:highlight w:val="none"/>
              </w:rPr>
            </w:pPr>
            <w:r>
              <w:rPr>
                <w:highlight w:val="none"/>
              </w:rPr>
              <w:t>0.0088</w:t>
            </w:r>
          </w:p>
        </w:tc>
        <w:tc>
          <w:tcPr>
            <w:tcW w:w="800" w:type="dxa"/>
            <w:vAlign w:val="center"/>
          </w:tcPr>
          <w:p w14:paraId="033560EE">
            <w:pPr>
              <w:pStyle w:val="22"/>
              <w:bidi w:val="0"/>
              <w:jc w:val="center"/>
              <w:rPr>
                <w:highlight w:val="none"/>
              </w:rPr>
            </w:pPr>
            <w:r>
              <w:rPr>
                <w:highlight w:val="none"/>
              </w:rPr>
              <w:t>0.0021</w:t>
            </w:r>
          </w:p>
        </w:tc>
      </w:tr>
      <w:tr w14:paraId="23B11F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3DED2B61">
            <w:pPr>
              <w:pStyle w:val="22"/>
              <w:bidi w:val="0"/>
              <w:jc w:val="center"/>
              <w:rPr>
                <w:highlight w:val="none"/>
              </w:rPr>
            </w:pPr>
            <w:r>
              <w:rPr>
                <w:highlight w:val="none"/>
              </w:rPr>
              <w:t>18</w:t>
            </w:r>
          </w:p>
        </w:tc>
        <w:tc>
          <w:tcPr>
            <w:tcW w:w="1586" w:type="dxa"/>
            <w:vAlign w:val="center"/>
          </w:tcPr>
          <w:p w14:paraId="2AEE98BD">
            <w:pPr>
              <w:pStyle w:val="22"/>
              <w:bidi w:val="0"/>
              <w:jc w:val="center"/>
              <w:rPr>
                <w:highlight w:val="none"/>
              </w:rPr>
            </w:pPr>
            <w:r>
              <w:rPr>
                <w:highlight w:val="none"/>
              </w:rPr>
              <w:t>乌嘴柳莺</w:t>
            </w:r>
          </w:p>
          <w:p w14:paraId="20558A0B">
            <w:pPr>
              <w:pStyle w:val="22"/>
              <w:bidi w:val="0"/>
              <w:jc w:val="center"/>
              <w:rPr>
                <w:i/>
                <w:iCs w:val="0"/>
                <w:highlight w:val="none"/>
              </w:rPr>
            </w:pPr>
            <w:r>
              <w:rPr>
                <w:i/>
                <w:iCs w:val="0"/>
                <w:highlight w:val="none"/>
              </w:rPr>
              <w:t>Phylloscopus</w:t>
            </w:r>
          </w:p>
          <w:p w14:paraId="390BA088">
            <w:pPr>
              <w:pStyle w:val="22"/>
              <w:bidi w:val="0"/>
              <w:jc w:val="center"/>
              <w:rPr>
                <w:highlight w:val="none"/>
              </w:rPr>
            </w:pPr>
            <w:r>
              <w:rPr>
                <w:i/>
                <w:iCs w:val="0"/>
                <w:highlight w:val="none"/>
              </w:rPr>
              <w:t>magnirostris</w:t>
            </w:r>
          </w:p>
        </w:tc>
        <w:tc>
          <w:tcPr>
            <w:tcW w:w="531" w:type="dxa"/>
            <w:vAlign w:val="center"/>
          </w:tcPr>
          <w:p w14:paraId="3A666599">
            <w:pPr>
              <w:pStyle w:val="22"/>
              <w:bidi w:val="0"/>
              <w:jc w:val="center"/>
              <w:rPr>
                <w:highlight w:val="none"/>
              </w:rPr>
            </w:pPr>
            <w:r>
              <w:rPr>
                <w:highlight w:val="none"/>
              </w:rPr>
              <w:t>38</w:t>
            </w:r>
          </w:p>
        </w:tc>
        <w:tc>
          <w:tcPr>
            <w:tcW w:w="533" w:type="dxa"/>
            <w:vAlign w:val="center"/>
          </w:tcPr>
          <w:p w14:paraId="382E33FC">
            <w:pPr>
              <w:pStyle w:val="22"/>
              <w:bidi w:val="0"/>
              <w:jc w:val="center"/>
              <w:rPr>
                <w:highlight w:val="none"/>
              </w:rPr>
            </w:pPr>
            <w:r>
              <w:rPr>
                <w:highlight w:val="none"/>
              </w:rPr>
              <w:t>36</w:t>
            </w:r>
          </w:p>
        </w:tc>
        <w:tc>
          <w:tcPr>
            <w:tcW w:w="428" w:type="dxa"/>
            <w:vAlign w:val="center"/>
          </w:tcPr>
          <w:p w14:paraId="40C67E77">
            <w:pPr>
              <w:pStyle w:val="22"/>
              <w:bidi w:val="0"/>
              <w:jc w:val="center"/>
              <w:rPr>
                <w:highlight w:val="none"/>
              </w:rPr>
            </w:pPr>
            <w:r>
              <w:rPr>
                <w:highlight w:val="none"/>
              </w:rPr>
              <w:t>13</w:t>
            </w:r>
          </w:p>
        </w:tc>
        <w:tc>
          <w:tcPr>
            <w:tcW w:w="428" w:type="dxa"/>
            <w:vAlign w:val="center"/>
          </w:tcPr>
          <w:p w14:paraId="70857351">
            <w:pPr>
              <w:pStyle w:val="22"/>
              <w:bidi w:val="0"/>
              <w:jc w:val="center"/>
              <w:rPr>
                <w:highlight w:val="none"/>
              </w:rPr>
            </w:pPr>
            <w:r>
              <w:rPr>
                <w:highlight w:val="none"/>
              </w:rPr>
              <w:t>2</w:t>
            </w:r>
          </w:p>
        </w:tc>
        <w:tc>
          <w:tcPr>
            <w:tcW w:w="793" w:type="dxa"/>
            <w:vAlign w:val="center"/>
          </w:tcPr>
          <w:p w14:paraId="76C4712F">
            <w:pPr>
              <w:pStyle w:val="22"/>
              <w:bidi w:val="0"/>
              <w:jc w:val="center"/>
              <w:rPr>
                <w:highlight w:val="none"/>
              </w:rPr>
            </w:pPr>
            <w:r>
              <w:rPr>
                <w:highlight w:val="none"/>
              </w:rPr>
              <w:t>0.1319</w:t>
            </w:r>
          </w:p>
        </w:tc>
        <w:tc>
          <w:tcPr>
            <w:tcW w:w="795" w:type="dxa"/>
            <w:vAlign w:val="center"/>
          </w:tcPr>
          <w:p w14:paraId="1EEEFBE1">
            <w:pPr>
              <w:pStyle w:val="22"/>
              <w:bidi w:val="0"/>
              <w:jc w:val="center"/>
              <w:rPr>
                <w:highlight w:val="none"/>
              </w:rPr>
            </w:pPr>
            <w:r>
              <w:rPr>
                <w:highlight w:val="none"/>
              </w:rPr>
              <w:t>34.76</w:t>
            </w:r>
          </w:p>
        </w:tc>
        <w:tc>
          <w:tcPr>
            <w:tcW w:w="970" w:type="dxa"/>
            <w:vAlign w:val="center"/>
          </w:tcPr>
          <w:p w14:paraId="0155B783">
            <w:pPr>
              <w:pStyle w:val="22"/>
              <w:bidi w:val="0"/>
              <w:jc w:val="center"/>
              <w:rPr>
                <w:highlight w:val="none"/>
              </w:rPr>
            </w:pPr>
            <w:r>
              <w:rPr>
                <w:highlight w:val="none"/>
              </w:rPr>
              <w:t>61.67%</w:t>
            </w:r>
          </w:p>
        </w:tc>
        <w:tc>
          <w:tcPr>
            <w:tcW w:w="795" w:type="dxa"/>
            <w:vAlign w:val="center"/>
          </w:tcPr>
          <w:p w14:paraId="62F4CA5F">
            <w:pPr>
              <w:pStyle w:val="22"/>
              <w:bidi w:val="0"/>
              <w:jc w:val="center"/>
              <w:rPr>
                <w:highlight w:val="none"/>
              </w:rPr>
            </w:pPr>
            <w:r>
              <w:rPr>
                <w:highlight w:val="none"/>
              </w:rPr>
              <w:t>0.0926</w:t>
            </w:r>
          </w:p>
        </w:tc>
        <w:tc>
          <w:tcPr>
            <w:tcW w:w="800" w:type="dxa"/>
            <w:vAlign w:val="center"/>
          </w:tcPr>
          <w:p w14:paraId="3CCB48F9">
            <w:pPr>
              <w:pStyle w:val="22"/>
              <w:bidi w:val="0"/>
              <w:jc w:val="center"/>
              <w:rPr>
                <w:highlight w:val="none"/>
              </w:rPr>
            </w:pPr>
            <w:r>
              <w:rPr>
                <w:highlight w:val="none"/>
              </w:rPr>
              <w:t>0.0221</w:t>
            </w:r>
          </w:p>
        </w:tc>
      </w:tr>
      <w:tr w14:paraId="346838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2C85E9CC">
            <w:pPr>
              <w:pStyle w:val="22"/>
              <w:bidi w:val="0"/>
              <w:jc w:val="center"/>
              <w:rPr>
                <w:highlight w:val="none"/>
              </w:rPr>
            </w:pPr>
            <w:r>
              <w:rPr>
                <w:highlight w:val="none"/>
              </w:rPr>
              <w:t>19</w:t>
            </w:r>
          </w:p>
        </w:tc>
        <w:tc>
          <w:tcPr>
            <w:tcW w:w="1586" w:type="dxa"/>
            <w:vAlign w:val="center"/>
          </w:tcPr>
          <w:p w14:paraId="20824E9F">
            <w:pPr>
              <w:pStyle w:val="22"/>
              <w:bidi w:val="0"/>
              <w:jc w:val="center"/>
              <w:rPr>
                <w:i/>
                <w:iCs w:val="0"/>
                <w:highlight w:val="none"/>
              </w:rPr>
            </w:pPr>
            <w:r>
              <w:rPr>
                <w:highlight w:val="none"/>
              </w:rPr>
              <w:t xml:space="preserve">黑眉长尾山雀 </w:t>
            </w:r>
            <w:r>
              <w:rPr>
                <w:i/>
                <w:iCs w:val="0"/>
                <w:highlight w:val="none"/>
              </w:rPr>
              <w:t>Aegithalos</w:t>
            </w:r>
          </w:p>
          <w:p w14:paraId="77B81D93">
            <w:pPr>
              <w:pStyle w:val="22"/>
              <w:bidi w:val="0"/>
              <w:jc w:val="center"/>
              <w:rPr>
                <w:highlight w:val="none"/>
              </w:rPr>
            </w:pPr>
            <w:r>
              <w:rPr>
                <w:i/>
                <w:iCs w:val="0"/>
                <w:highlight w:val="none"/>
              </w:rPr>
              <w:t>bonvaloti</w:t>
            </w:r>
          </w:p>
        </w:tc>
        <w:tc>
          <w:tcPr>
            <w:tcW w:w="531" w:type="dxa"/>
            <w:vAlign w:val="center"/>
          </w:tcPr>
          <w:p w14:paraId="4C43F2DB">
            <w:pPr>
              <w:pStyle w:val="22"/>
              <w:bidi w:val="0"/>
              <w:jc w:val="center"/>
              <w:rPr>
                <w:highlight w:val="none"/>
              </w:rPr>
            </w:pPr>
            <w:r>
              <w:rPr>
                <w:highlight w:val="none"/>
              </w:rPr>
              <w:t>62</w:t>
            </w:r>
          </w:p>
        </w:tc>
        <w:tc>
          <w:tcPr>
            <w:tcW w:w="533" w:type="dxa"/>
            <w:vAlign w:val="center"/>
          </w:tcPr>
          <w:p w14:paraId="2F67879F">
            <w:pPr>
              <w:pStyle w:val="22"/>
              <w:bidi w:val="0"/>
              <w:jc w:val="center"/>
              <w:rPr>
                <w:highlight w:val="none"/>
              </w:rPr>
            </w:pPr>
            <w:r>
              <w:rPr>
                <w:highlight w:val="none"/>
              </w:rPr>
              <w:t>10</w:t>
            </w:r>
          </w:p>
        </w:tc>
        <w:tc>
          <w:tcPr>
            <w:tcW w:w="428" w:type="dxa"/>
            <w:vAlign w:val="center"/>
          </w:tcPr>
          <w:p w14:paraId="324440FA">
            <w:pPr>
              <w:pStyle w:val="22"/>
              <w:bidi w:val="0"/>
              <w:jc w:val="center"/>
              <w:rPr>
                <w:highlight w:val="none"/>
              </w:rPr>
            </w:pPr>
            <w:r>
              <w:rPr>
                <w:highlight w:val="none"/>
              </w:rPr>
              <w:t>7</w:t>
            </w:r>
          </w:p>
        </w:tc>
        <w:tc>
          <w:tcPr>
            <w:tcW w:w="428" w:type="dxa"/>
            <w:vAlign w:val="center"/>
          </w:tcPr>
          <w:p w14:paraId="0A00A332">
            <w:pPr>
              <w:pStyle w:val="22"/>
              <w:bidi w:val="0"/>
              <w:jc w:val="center"/>
              <w:rPr>
                <w:highlight w:val="none"/>
              </w:rPr>
            </w:pPr>
            <w:r>
              <w:rPr>
                <w:highlight w:val="none"/>
              </w:rPr>
              <w:t>2</w:t>
            </w:r>
          </w:p>
        </w:tc>
        <w:tc>
          <w:tcPr>
            <w:tcW w:w="793" w:type="dxa"/>
            <w:vAlign w:val="center"/>
          </w:tcPr>
          <w:p w14:paraId="5834AE8A">
            <w:pPr>
              <w:pStyle w:val="22"/>
              <w:bidi w:val="0"/>
              <w:jc w:val="center"/>
              <w:rPr>
                <w:highlight w:val="none"/>
              </w:rPr>
            </w:pPr>
            <w:r>
              <w:rPr>
                <w:highlight w:val="none"/>
              </w:rPr>
              <w:t>0.2153</w:t>
            </w:r>
          </w:p>
        </w:tc>
        <w:tc>
          <w:tcPr>
            <w:tcW w:w="795" w:type="dxa"/>
            <w:vAlign w:val="center"/>
          </w:tcPr>
          <w:p w14:paraId="6C272875">
            <w:pPr>
              <w:pStyle w:val="22"/>
              <w:bidi w:val="0"/>
              <w:jc w:val="center"/>
              <w:rPr>
                <w:highlight w:val="none"/>
              </w:rPr>
            </w:pPr>
            <w:r>
              <w:rPr>
                <w:highlight w:val="none"/>
              </w:rPr>
              <w:t>27.67</w:t>
            </w:r>
          </w:p>
        </w:tc>
        <w:tc>
          <w:tcPr>
            <w:tcW w:w="970" w:type="dxa"/>
            <w:vAlign w:val="center"/>
          </w:tcPr>
          <w:p w14:paraId="2F6613C9">
            <w:pPr>
              <w:pStyle w:val="22"/>
              <w:bidi w:val="0"/>
              <w:jc w:val="center"/>
              <w:rPr>
                <w:highlight w:val="none"/>
              </w:rPr>
            </w:pPr>
            <w:r>
              <w:rPr>
                <w:highlight w:val="none"/>
              </w:rPr>
              <w:t>51.67%</w:t>
            </w:r>
          </w:p>
        </w:tc>
        <w:tc>
          <w:tcPr>
            <w:tcW w:w="795" w:type="dxa"/>
            <w:vAlign w:val="center"/>
          </w:tcPr>
          <w:p w14:paraId="232DE119">
            <w:pPr>
              <w:pStyle w:val="22"/>
              <w:bidi w:val="0"/>
              <w:jc w:val="center"/>
              <w:rPr>
                <w:highlight w:val="none"/>
              </w:rPr>
            </w:pPr>
            <w:r>
              <w:rPr>
                <w:highlight w:val="none"/>
              </w:rPr>
              <w:t>0.1310</w:t>
            </w:r>
          </w:p>
        </w:tc>
        <w:tc>
          <w:tcPr>
            <w:tcW w:w="800" w:type="dxa"/>
            <w:vAlign w:val="center"/>
          </w:tcPr>
          <w:p w14:paraId="567ED8C6">
            <w:pPr>
              <w:pStyle w:val="22"/>
              <w:bidi w:val="0"/>
              <w:jc w:val="center"/>
              <w:rPr>
                <w:highlight w:val="none"/>
              </w:rPr>
            </w:pPr>
            <w:r>
              <w:rPr>
                <w:highlight w:val="none"/>
              </w:rPr>
              <w:t>0.0313</w:t>
            </w:r>
          </w:p>
        </w:tc>
      </w:tr>
      <w:tr w14:paraId="468431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17305510">
            <w:pPr>
              <w:pStyle w:val="22"/>
              <w:bidi w:val="0"/>
              <w:jc w:val="center"/>
              <w:rPr>
                <w:highlight w:val="none"/>
              </w:rPr>
            </w:pPr>
            <w:r>
              <w:rPr>
                <w:highlight w:val="none"/>
              </w:rPr>
              <w:t>20</w:t>
            </w:r>
          </w:p>
        </w:tc>
        <w:tc>
          <w:tcPr>
            <w:tcW w:w="1586" w:type="dxa"/>
            <w:vAlign w:val="center"/>
          </w:tcPr>
          <w:p w14:paraId="78A9D137">
            <w:pPr>
              <w:pStyle w:val="22"/>
              <w:bidi w:val="0"/>
              <w:jc w:val="center"/>
              <w:rPr>
                <w:highlight w:val="none"/>
              </w:rPr>
            </w:pPr>
            <w:r>
              <w:rPr>
                <w:highlight w:val="none"/>
              </w:rPr>
              <w:t>暗绿绣眼鸟</w:t>
            </w:r>
          </w:p>
          <w:p w14:paraId="2F88AB97">
            <w:pPr>
              <w:pStyle w:val="22"/>
              <w:bidi w:val="0"/>
              <w:jc w:val="center"/>
              <w:rPr>
                <w:highlight w:val="none"/>
              </w:rPr>
            </w:pPr>
            <w:r>
              <w:rPr>
                <w:i/>
                <w:iCs w:val="0"/>
                <w:highlight w:val="none"/>
              </w:rPr>
              <w:t>Zosterops simplex</w:t>
            </w:r>
          </w:p>
        </w:tc>
        <w:tc>
          <w:tcPr>
            <w:tcW w:w="531" w:type="dxa"/>
            <w:vAlign w:val="center"/>
          </w:tcPr>
          <w:p w14:paraId="31583B1C">
            <w:pPr>
              <w:pStyle w:val="22"/>
              <w:bidi w:val="0"/>
              <w:jc w:val="center"/>
              <w:rPr>
                <w:highlight w:val="none"/>
              </w:rPr>
            </w:pPr>
            <w:r>
              <w:rPr>
                <w:highlight w:val="none"/>
              </w:rPr>
              <w:t>30</w:t>
            </w:r>
          </w:p>
        </w:tc>
        <w:tc>
          <w:tcPr>
            <w:tcW w:w="533" w:type="dxa"/>
            <w:vAlign w:val="center"/>
          </w:tcPr>
          <w:p w14:paraId="5A77B8F5">
            <w:pPr>
              <w:pStyle w:val="22"/>
              <w:bidi w:val="0"/>
              <w:jc w:val="center"/>
              <w:rPr>
                <w:highlight w:val="none"/>
              </w:rPr>
            </w:pPr>
            <w:r>
              <w:rPr>
                <w:highlight w:val="none"/>
              </w:rPr>
              <w:t>3</w:t>
            </w:r>
          </w:p>
        </w:tc>
        <w:tc>
          <w:tcPr>
            <w:tcW w:w="428" w:type="dxa"/>
            <w:vAlign w:val="center"/>
          </w:tcPr>
          <w:p w14:paraId="29C74786">
            <w:pPr>
              <w:pStyle w:val="22"/>
              <w:bidi w:val="0"/>
              <w:jc w:val="center"/>
              <w:rPr>
                <w:highlight w:val="none"/>
              </w:rPr>
            </w:pPr>
            <w:r>
              <w:rPr>
                <w:highlight w:val="none"/>
              </w:rPr>
              <w:t>2</w:t>
            </w:r>
          </w:p>
        </w:tc>
        <w:tc>
          <w:tcPr>
            <w:tcW w:w="428" w:type="dxa"/>
            <w:vAlign w:val="center"/>
          </w:tcPr>
          <w:p w14:paraId="382A5CD4">
            <w:pPr>
              <w:pStyle w:val="22"/>
              <w:bidi w:val="0"/>
              <w:jc w:val="center"/>
              <w:rPr>
                <w:highlight w:val="none"/>
              </w:rPr>
            </w:pPr>
            <w:r>
              <w:rPr>
                <w:highlight w:val="none"/>
              </w:rPr>
              <w:t>1</w:t>
            </w:r>
          </w:p>
        </w:tc>
        <w:tc>
          <w:tcPr>
            <w:tcW w:w="793" w:type="dxa"/>
            <w:vAlign w:val="center"/>
          </w:tcPr>
          <w:p w14:paraId="5FAFBB30">
            <w:pPr>
              <w:pStyle w:val="22"/>
              <w:bidi w:val="0"/>
              <w:jc w:val="center"/>
              <w:rPr>
                <w:highlight w:val="none"/>
              </w:rPr>
            </w:pPr>
            <w:r>
              <w:rPr>
                <w:highlight w:val="none"/>
              </w:rPr>
              <w:t>0.1042</w:t>
            </w:r>
          </w:p>
        </w:tc>
        <w:tc>
          <w:tcPr>
            <w:tcW w:w="795" w:type="dxa"/>
            <w:vAlign w:val="center"/>
          </w:tcPr>
          <w:p w14:paraId="27D77A22">
            <w:pPr>
              <w:pStyle w:val="22"/>
              <w:bidi w:val="0"/>
              <w:jc w:val="center"/>
              <w:rPr>
                <w:highlight w:val="none"/>
              </w:rPr>
            </w:pPr>
            <w:r>
              <w:rPr>
                <w:highlight w:val="none"/>
              </w:rPr>
              <w:t>10.87</w:t>
            </w:r>
          </w:p>
        </w:tc>
        <w:tc>
          <w:tcPr>
            <w:tcW w:w="970" w:type="dxa"/>
            <w:vAlign w:val="center"/>
          </w:tcPr>
          <w:p w14:paraId="413F956A">
            <w:pPr>
              <w:pStyle w:val="22"/>
              <w:bidi w:val="0"/>
              <w:jc w:val="center"/>
              <w:rPr>
                <w:highlight w:val="none"/>
              </w:rPr>
            </w:pPr>
            <w:r>
              <w:rPr>
                <w:highlight w:val="none"/>
              </w:rPr>
              <w:t>23.33%</w:t>
            </w:r>
          </w:p>
        </w:tc>
        <w:tc>
          <w:tcPr>
            <w:tcW w:w="795" w:type="dxa"/>
            <w:vAlign w:val="center"/>
          </w:tcPr>
          <w:p w14:paraId="789AEDB3">
            <w:pPr>
              <w:pStyle w:val="22"/>
              <w:bidi w:val="0"/>
              <w:jc w:val="center"/>
              <w:rPr>
                <w:highlight w:val="none"/>
              </w:rPr>
            </w:pPr>
            <w:r>
              <w:rPr>
                <w:highlight w:val="none"/>
              </w:rPr>
              <w:t>0.0778</w:t>
            </w:r>
          </w:p>
        </w:tc>
        <w:tc>
          <w:tcPr>
            <w:tcW w:w="800" w:type="dxa"/>
            <w:vAlign w:val="center"/>
          </w:tcPr>
          <w:p w14:paraId="7F6F395C">
            <w:pPr>
              <w:pStyle w:val="22"/>
              <w:bidi w:val="0"/>
              <w:jc w:val="center"/>
              <w:rPr>
                <w:highlight w:val="none"/>
              </w:rPr>
            </w:pPr>
            <w:r>
              <w:rPr>
                <w:highlight w:val="none"/>
              </w:rPr>
              <w:t>0.0186</w:t>
            </w:r>
          </w:p>
        </w:tc>
      </w:tr>
      <w:tr w14:paraId="18F46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365DDB2D">
            <w:pPr>
              <w:pStyle w:val="22"/>
              <w:bidi w:val="0"/>
              <w:jc w:val="center"/>
              <w:rPr>
                <w:highlight w:val="none"/>
              </w:rPr>
            </w:pPr>
            <w:r>
              <w:rPr>
                <w:highlight w:val="none"/>
              </w:rPr>
              <w:t>21</w:t>
            </w:r>
          </w:p>
        </w:tc>
        <w:tc>
          <w:tcPr>
            <w:tcW w:w="1586" w:type="dxa"/>
            <w:vAlign w:val="center"/>
          </w:tcPr>
          <w:p w14:paraId="755AF4AC">
            <w:pPr>
              <w:pStyle w:val="22"/>
              <w:bidi w:val="0"/>
              <w:jc w:val="center"/>
              <w:rPr>
                <w:i/>
                <w:iCs w:val="0"/>
                <w:highlight w:val="none"/>
              </w:rPr>
            </w:pPr>
            <w:r>
              <w:rPr>
                <w:highlight w:val="none"/>
              </w:rPr>
              <w:t xml:space="preserve">矛纹草鹛 </w:t>
            </w:r>
            <w:r>
              <w:rPr>
                <w:i/>
                <w:iCs w:val="0"/>
                <w:highlight w:val="none"/>
              </w:rPr>
              <w:t>Pterorhinus</w:t>
            </w:r>
          </w:p>
          <w:p w14:paraId="014B76C3">
            <w:pPr>
              <w:pStyle w:val="22"/>
              <w:bidi w:val="0"/>
              <w:jc w:val="center"/>
              <w:rPr>
                <w:highlight w:val="none"/>
              </w:rPr>
            </w:pPr>
            <w:r>
              <w:rPr>
                <w:i/>
                <w:iCs w:val="0"/>
                <w:highlight w:val="none"/>
              </w:rPr>
              <w:t>lanceolatus</w:t>
            </w:r>
          </w:p>
        </w:tc>
        <w:tc>
          <w:tcPr>
            <w:tcW w:w="531" w:type="dxa"/>
            <w:vAlign w:val="center"/>
          </w:tcPr>
          <w:p w14:paraId="08C79791">
            <w:pPr>
              <w:pStyle w:val="22"/>
              <w:bidi w:val="0"/>
              <w:jc w:val="center"/>
              <w:rPr>
                <w:highlight w:val="none"/>
              </w:rPr>
            </w:pPr>
            <w:r>
              <w:rPr>
                <w:highlight w:val="none"/>
              </w:rPr>
              <w:t>28</w:t>
            </w:r>
          </w:p>
        </w:tc>
        <w:tc>
          <w:tcPr>
            <w:tcW w:w="533" w:type="dxa"/>
            <w:vAlign w:val="center"/>
          </w:tcPr>
          <w:p w14:paraId="60BE6E98">
            <w:pPr>
              <w:pStyle w:val="22"/>
              <w:bidi w:val="0"/>
              <w:jc w:val="center"/>
              <w:rPr>
                <w:highlight w:val="none"/>
              </w:rPr>
            </w:pPr>
            <w:r>
              <w:rPr>
                <w:highlight w:val="none"/>
              </w:rPr>
              <w:t>12</w:t>
            </w:r>
          </w:p>
        </w:tc>
        <w:tc>
          <w:tcPr>
            <w:tcW w:w="428" w:type="dxa"/>
            <w:vAlign w:val="center"/>
          </w:tcPr>
          <w:p w14:paraId="111149BB">
            <w:pPr>
              <w:pStyle w:val="22"/>
              <w:bidi w:val="0"/>
              <w:jc w:val="center"/>
              <w:rPr>
                <w:highlight w:val="none"/>
              </w:rPr>
            </w:pPr>
            <w:r>
              <w:rPr>
                <w:highlight w:val="none"/>
              </w:rPr>
              <w:t>7</w:t>
            </w:r>
          </w:p>
        </w:tc>
        <w:tc>
          <w:tcPr>
            <w:tcW w:w="428" w:type="dxa"/>
            <w:vAlign w:val="center"/>
          </w:tcPr>
          <w:p w14:paraId="5CD78BBD">
            <w:pPr>
              <w:pStyle w:val="22"/>
              <w:bidi w:val="0"/>
              <w:jc w:val="center"/>
              <w:rPr>
                <w:highlight w:val="none"/>
              </w:rPr>
            </w:pPr>
            <w:r>
              <w:rPr>
                <w:highlight w:val="none"/>
              </w:rPr>
              <w:t>1</w:t>
            </w:r>
          </w:p>
        </w:tc>
        <w:tc>
          <w:tcPr>
            <w:tcW w:w="793" w:type="dxa"/>
            <w:vAlign w:val="center"/>
          </w:tcPr>
          <w:p w14:paraId="5C587B48">
            <w:pPr>
              <w:pStyle w:val="22"/>
              <w:bidi w:val="0"/>
              <w:jc w:val="center"/>
              <w:rPr>
                <w:highlight w:val="none"/>
              </w:rPr>
            </w:pPr>
            <w:r>
              <w:rPr>
                <w:highlight w:val="none"/>
              </w:rPr>
              <w:t>0.0972</w:t>
            </w:r>
          </w:p>
        </w:tc>
        <w:tc>
          <w:tcPr>
            <w:tcW w:w="795" w:type="dxa"/>
            <w:vAlign w:val="center"/>
          </w:tcPr>
          <w:p w14:paraId="751C4187">
            <w:pPr>
              <w:pStyle w:val="22"/>
              <w:bidi w:val="0"/>
              <w:jc w:val="center"/>
              <w:rPr>
                <w:highlight w:val="none"/>
              </w:rPr>
            </w:pPr>
            <w:r>
              <w:rPr>
                <w:highlight w:val="none"/>
              </w:rPr>
              <w:t>19.72</w:t>
            </w:r>
          </w:p>
        </w:tc>
        <w:tc>
          <w:tcPr>
            <w:tcW w:w="970" w:type="dxa"/>
            <w:vAlign w:val="center"/>
          </w:tcPr>
          <w:p w14:paraId="3D17C701">
            <w:pPr>
              <w:pStyle w:val="22"/>
              <w:bidi w:val="0"/>
              <w:jc w:val="center"/>
              <w:rPr>
                <w:highlight w:val="none"/>
              </w:rPr>
            </w:pPr>
            <w:r>
              <w:rPr>
                <w:highlight w:val="none"/>
              </w:rPr>
              <w:t>31.67%</w:t>
            </w:r>
          </w:p>
        </w:tc>
        <w:tc>
          <w:tcPr>
            <w:tcW w:w="795" w:type="dxa"/>
            <w:vAlign w:val="center"/>
          </w:tcPr>
          <w:p w14:paraId="6A16E291">
            <w:pPr>
              <w:pStyle w:val="22"/>
              <w:bidi w:val="0"/>
              <w:jc w:val="center"/>
              <w:rPr>
                <w:highlight w:val="none"/>
              </w:rPr>
            </w:pPr>
            <w:r>
              <w:rPr>
                <w:highlight w:val="none"/>
              </w:rPr>
              <w:t>0.0739</w:t>
            </w:r>
          </w:p>
        </w:tc>
        <w:tc>
          <w:tcPr>
            <w:tcW w:w="800" w:type="dxa"/>
            <w:vAlign w:val="center"/>
          </w:tcPr>
          <w:p w14:paraId="26444B15">
            <w:pPr>
              <w:pStyle w:val="22"/>
              <w:bidi w:val="0"/>
              <w:jc w:val="center"/>
              <w:rPr>
                <w:highlight w:val="none"/>
              </w:rPr>
            </w:pPr>
            <w:r>
              <w:rPr>
                <w:highlight w:val="none"/>
              </w:rPr>
              <w:t>0.0176</w:t>
            </w:r>
          </w:p>
        </w:tc>
      </w:tr>
      <w:tr w14:paraId="47FD6A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3FD3E82F">
            <w:pPr>
              <w:pStyle w:val="22"/>
              <w:bidi w:val="0"/>
              <w:jc w:val="center"/>
              <w:rPr>
                <w:highlight w:val="none"/>
              </w:rPr>
            </w:pPr>
            <w:r>
              <w:rPr>
                <w:highlight w:val="none"/>
              </w:rPr>
              <w:t>22</w:t>
            </w:r>
          </w:p>
        </w:tc>
        <w:tc>
          <w:tcPr>
            <w:tcW w:w="1586" w:type="dxa"/>
            <w:vAlign w:val="center"/>
          </w:tcPr>
          <w:p w14:paraId="69D7CEE3">
            <w:pPr>
              <w:pStyle w:val="22"/>
              <w:bidi w:val="0"/>
              <w:jc w:val="center"/>
              <w:rPr>
                <w:i/>
                <w:iCs w:val="0"/>
                <w:highlight w:val="none"/>
              </w:rPr>
            </w:pPr>
            <w:r>
              <w:rPr>
                <w:highlight w:val="none"/>
              </w:rPr>
              <w:t xml:space="preserve">黑头奇鹛  </w:t>
            </w:r>
            <w:r>
              <w:rPr>
                <w:i/>
                <w:iCs w:val="0"/>
                <w:highlight w:val="none"/>
              </w:rPr>
              <w:t>Heterophasia</w:t>
            </w:r>
          </w:p>
          <w:p w14:paraId="489D91EF">
            <w:pPr>
              <w:pStyle w:val="22"/>
              <w:bidi w:val="0"/>
              <w:jc w:val="center"/>
              <w:rPr>
                <w:highlight w:val="none"/>
              </w:rPr>
            </w:pPr>
            <w:r>
              <w:rPr>
                <w:i/>
                <w:iCs w:val="0"/>
                <w:highlight w:val="none"/>
              </w:rPr>
              <w:t>desgodinsi</w:t>
            </w:r>
          </w:p>
        </w:tc>
        <w:tc>
          <w:tcPr>
            <w:tcW w:w="531" w:type="dxa"/>
            <w:vAlign w:val="center"/>
          </w:tcPr>
          <w:p w14:paraId="0E796F9B">
            <w:pPr>
              <w:pStyle w:val="22"/>
              <w:bidi w:val="0"/>
              <w:jc w:val="center"/>
              <w:rPr>
                <w:highlight w:val="none"/>
              </w:rPr>
            </w:pPr>
            <w:r>
              <w:rPr>
                <w:highlight w:val="none"/>
              </w:rPr>
              <w:t>3</w:t>
            </w:r>
          </w:p>
        </w:tc>
        <w:tc>
          <w:tcPr>
            <w:tcW w:w="533" w:type="dxa"/>
            <w:vAlign w:val="center"/>
          </w:tcPr>
          <w:p w14:paraId="4679FF51">
            <w:pPr>
              <w:pStyle w:val="22"/>
              <w:bidi w:val="0"/>
              <w:jc w:val="center"/>
              <w:rPr>
                <w:highlight w:val="none"/>
              </w:rPr>
            </w:pPr>
            <w:r>
              <w:rPr>
                <w:highlight w:val="none"/>
              </w:rPr>
              <w:t>2</w:t>
            </w:r>
          </w:p>
        </w:tc>
        <w:tc>
          <w:tcPr>
            <w:tcW w:w="428" w:type="dxa"/>
            <w:vAlign w:val="center"/>
          </w:tcPr>
          <w:p w14:paraId="647A76BD">
            <w:pPr>
              <w:pStyle w:val="22"/>
              <w:bidi w:val="0"/>
              <w:jc w:val="center"/>
              <w:rPr>
                <w:highlight w:val="none"/>
              </w:rPr>
            </w:pPr>
            <w:r>
              <w:rPr>
                <w:highlight w:val="none"/>
              </w:rPr>
              <w:t>2</w:t>
            </w:r>
          </w:p>
        </w:tc>
        <w:tc>
          <w:tcPr>
            <w:tcW w:w="428" w:type="dxa"/>
            <w:vAlign w:val="center"/>
          </w:tcPr>
          <w:p w14:paraId="0B6450D1">
            <w:pPr>
              <w:pStyle w:val="22"/>
              <w:bidi w:val="0"/>
              <w:jc w:val="center"/>
              <w:rPr>
                <w:highlight w:val="none"/>
              </w:rPr>
            </w:pPr>
            <w:r>
              <w:rPr>
                <w:highlight w:val="none"/>
              </w:rPr>
              <w:t>1</w:t>
            </w:r>
          </w:p>
        </w:tc>
        <w:tc>
          <w:tcPr>
            <w:tcW w:w="793" w:type="dxa"/>
            <w:vAlign w:val="center"/>
          </w:tcPr>
          <w:p w14:paraId="11B57DDE">
            <w:pPr>
              <w:pStyle w:val="22"/>
              <w:bidi w:val="0"/>
              <w:jc w:val="center"/>
              <w:rPr>
                <w:highlight w:val="none"/>
              </w:rPr>
            </w:pPr>
            <w:r>
              <w:rPr>
                <w:highlight w:val="none"/>
              </w:rPr>
              <w:t>0.0104</w:t>
            </w:r>
          </w:p>
        </w:tc>
        <w:tc>
          <w:tcPr>
            <w:tcW w:w="795" w:type="dxa"/>
            <w:vAlign w:val="center"/>
          </w:tcPr>
          <w:p w14:paraId="79FBD025">
            <w:pPr>
              <w:pStyle w:val="22"/>
              <w:bidi w:val="0"/>
              <w:jc w:val="center"/>
              <w:rPr>
                <w:highlight w:val="none"/>
              </w:rPr>
            </w:pPr>
            <w:r>
              <w:rPr>
                <w:highlight w:val="none"/>
              </w:rPr>
              <w:t>4.27</w:t>
            </w:r>
          </w:p>
        </w:tc>
        <w:tc>
          <w:tcPr>
            <w:tcW w:w="970" w:type="dxa"/>
            <w:vAlign w:val="center"/>
          </w:tcPr>
          <w:p w14:paraId="1295F227">
            <w:pPr>
              <w:pStyle w:val="22"/>
              <w:bidi w:val="0"/>
              <w:jc w:val="center"/>
              <w:rPr>
                <w:highlight w:val="none"/>
              </w:rPr>
            </w:pPr>
            <w:r>
              <w:rPr>
                <w:highlight w:val="none"/>
              </w:rPr>
              <w:t>23.33%</w:t>
            </w:r>
          </w:p>
        </w:tc>
        <w:tc>
          <w:tcPr>
            <w:tcW w:w="795" w:type="dxa"/>
            <w:vAlign w:val="center"/>
          </w:tcPr>
          <w:p w14:paraId="1B9A2E7B">
            <w:pPr>
              <w:pStyle w:val="22"/>
              <w:bidi w:val="0"/>
              <w:jc w:val="center"/>
              <w:rPr>
                <w:highlight w:val="none"/>
              </w:rPr>
            </w:pPr>
            <w:r>
              <w:rPr>
                <w:highlight w:val="none"/>
              </w:rPr>
              <w:t>0.0124</w:t>
            </w:r>
          </w:p>
        </w:tc>
        <w:tc>
          <w:tcPr>
            <w:tcW w:w="800" w:type="dxa"/>
            <w:vAlign w:val="center"/>
          </w:tcPr>
          <w:p w14:paraId="60EBA9FC">
            <w:pPr>
              <w:pStyle w:val="22"/>
              <w:bidi w:val="0"/>
              <w:jc w:val="center"/>
              <w:rPr>
                <w:highlight w:val="none"/>
              </w:rPr>
            </w:pPr>
            <w:r>
              <w:rPr>
                <w:highlight w:val="none"/>
              </w:rPr>
              <w:t>0.0029</w:t>
            </w:r>
          </w:p>
        </w:tc>
      </w:tr>
      <w:tr w14:paraId="39BF59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55FACA02">
            <w:pPr>
              <w:pStyle w:val="22"/>
              <w:bidi w:val="0"/>
              <w:jc w:val="center"/>
              <w:rPr>
                <w:highlight w:val="none"/>
              </w:rPr>
            </w:pPr>
            <w:r>
              <w:rPr>
                <w:highlight w:val="none"/>
              </w:rPr>
              <w:t>23</w:t>
            </w:r>
          </w:p>
        </w:tc>
        <w:tc>
          <w:tcPr>
            <w:tcW w:w="1586" w:type="dxa"/>
            <w:vAlign w:val="center"/>
          </w:tcPr>
          <w:p w14:paraId="39F6FD79">
            <w:pPr>
              <w:pStyle w:val="22"/>
              <w:bidi w:val="0"/>
              <w:jc w:val="center"/>
              <w:rPr>
                <w:highlight w:val="none"/>
              </w:rPr>
            </w:pPr>
            <w:r>
              <w:rPr>
                <w:highlight w:val="none"/>
              </w:rPr>
              <w:t>栗臀䴓</w:t>
            </w:r>
          </w:p>
          <w:p w14:paraId="5C5F57AB">
            <w:pPr>
              <w:pStyle w:val="22"/>
              <w:bidi w:val="0"/>
              <w:jc w:val="center"/>
              <w:rPr>
                <w:highlight w:val="none"/>
              </w:rPr>
            </w:pPr>
            <w:r>
              <w:rPr>
                <w:i/>
                <w:iCs w:val="0"/>
                <w:highlight w:val="none"/>
              </w:rPr>
              <w:t>Sitta nagaensis</w:t>
            </w:r>
          </w:p>
        </w:tc>
        <w:tc>
          <w:tcPr>
            <w:tcW w:w="531" w:type="dxa"/>
            <w:vAlign w:val="center"/>
          </w:tcPr>
          <w:p w14:paraId="1979C8F0">
            <w:pPr>
              <w:pStyle w:val="22"/>
              <w:bidi w:val="0"/>
              <w:jc w:val="center"/>
              <w:rPr>
                <w:highlight w:val="none"/>
              </w:rPr>
            </w:pPr>
            <w:r>
              <w:rPr>
                <w:highlight w:val="none"/>
              </w:rPr>
              <w:t>2</w:t>
            </w:r>
          </w:p>
        </w:tc>
        <w:tc>
          <w:tcPr>
            <w:tcW w:w="533" w:type="dxa"/>
            <w:vAlign w:val="center"/>
          </w:tcPr>
          <w:p w14:paraId="5DA77675">
            <w:pPr>
              <w:pStyle w:val="22"/>
              <w:bidi w:val="0"/>
              <w:jc w:val="center"/>
              <w:rPr>
                <w:highlight w:val="none"/>
              </w:rPr>
            </w:pPr>
            <w:r>
              <w:rPr>
                <w:highlight w:val="none"/>
              </w:rPr>
              <w:t>2</w:t>
            </w:r>
          </w:p>
        </w:tc>
        <w:tc>
          <w:tcPr>
            <w:tcW w:w="428" w:type="dxa"/>
            <w:vAlign w:val="center"/>
          </w:tcPr>
          <w:p w14:paraId="48302CE3">
            <w:pPr>
              <w:pStyle w:val="22"/>
              <w:bidi w:val="0"/>
              <w:jc w:val="center"/>
              <w:rPr>
                <w:highlight w:val="none"/>
              </w:rPr>
            </w:pPr>
            <w:r>
              <w:rPr>
                <w:highlight w:val="none"/>
              </w:rPr>
              <w:t>1</w:t>
            </w:r>
          </w:p>
        </w:tc>
        <w:tc>
          <w:tcPr>
            <w:tcW w:w="428" w:type="dxa"/>
            <w:vAlign w:val="center"/>
          </w:tcPr>
          <w:p w14:paraId="54A82465">
            <w:pPr>
              <w:pStyle w:val="22"/>
              <w:bidi w:val="0"/>
              <w:jc w:val="center"/>
              <w:rPr>
                <w:highlight w:val="none"/>
              </w:rPr>
            </w:pPr>
            <w:r>
              <w:rPr>
                <w:highlight w:val="none"/>
              </w:rPr>
              <w:t>1</w:t>
            </w:r>
          </w:p>
        </w:tc>
        <w:tc>
          <w:tcPr>
            <w:tcW w:w="793" w:type="dxa"/>
            <w:vAlign w:val="center"/>
          </w:tcPr>
          <w:p w14:paraId="521378EE">
            <w:pPr>
              <w:pStyle w:val="22"/>
              <w:bidi w:val="0"/>
              <w:jc w:val="center"/>
              <w:rPr>
                <w:highlight w:val="none"/>
              </w:rPr>
            </w:pPr>
            <w:r>
              <w:rPr>
                <w:highlight w:val="none"/>
              </w:rPr>
              <w:t>0.0069</w:t>
            </w:r>
          </w:p>
        </w:tc>
        <w:tc>
          <w:tcPr>
            <w:tcW w:w="795" w:type="dxa"/>
            <w:vAlign w:val="center"/>
          </w:tcPr>
          <w:p w14:paraId="4444BF4A">
            <w:pPr>
              <w:pStyle w:val="22"/>
              <w:bidi w:val="0"/>
              <w:jc w:val="center"/>
              <w:rPr>
                <w:highlight w:val="none"/>
              </w:rPr>
            </w:pPr>
            <w:r>
              <w:rPr>
                <w:highlight w:val="none"/>
              </w:rPr>
              <w:t>2.37</w:t>
            </w:r>
          </w:p>
        </w:tc>
        <w:tc>
          <w:tcPr>
            <w:tcW w:w="970" w:type="dxa"/>
            <w:vAlign w:val="center"/>
          </w:tcPr>
          <w:p w14:paraId="6FEA0254">
            <w:pPr>
              <w:pStyle w:val="22"/>
              <w:bidi w:val="0"/>
              <w:jc w:val="center"/>
              <w:rPr>
                <w:highlight w:val="none"/>
              </w:rPr>
            </w:pPr>
            <w:r>
              <w:rPr>
                <w:highlight w:val="none"/>
              </w:rPr>
              <w:t>21.67%</w:t>
            </w:r>
          </w:p>
        </w:tc>
        <w:tc>
          <w:tcPr>
            <w:tcW w:w="795" w:type="dxa"/>
            <w:vAlign w:val="center"/>
          </w:tcPr>
          <w:p w14:paraId="3C30774D">
            <w:pPr>
              <w:pStyle w:val="22"/>
              <w:bidi w:val="0"/>
              <w:jc w:val="center"/>
              <w:rPr>
                <w:highlight w:val="none"/>
              </w:rPr>
            </w:pPr>
            <w:r>
              <w:rPr>
                <w:highlight w:val="none"/>
              </w:rPr>
              <w:t>0.0088</w:t>
            </w:r>
          </w:p>
        </w:tc>
        <w:tc>
          <w:tcPr>
            <w:tcW w:w="800" w:type="dxa"/>
            <w:vAlign w:val="center"/>
          </w:tcPr>
          <w:p w14:paraId="5E573099">
            <w:pPr>
              <w:pStyle w:val="22"/>
              <w:bidi w:val="0"/>
              <w:jc w:val="center"/>
              <w:rPr>
                <w:highlight w:val="none"/>
              </w:rPr>
            </w:pPr>
            <w:r>
              <w:rPr>
                <w:highlight w:val="none"/>
              </w:rPr>
              <w:t>0.0021</w:t>
            </w:r>
          </w:p>
        </w:tc>
      </w:tr>
      <w:tr w14:paraId="3D8C41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588725D6">
            <w:pPr>
              <w:pStyle w:val="22"/>
              <w:bidi w:val="0"/>
              <w:jc w:val="center"/>
              <w:rPr>
                <w:highlight w:val="none"/>
              </w:rPr>
            </w:pPr>
            <w:r>
              <w:rPr>
                <w:highlight w:val="none"/>
              </w:rPr>
              <w:t>24</w:t>
            </w:r>
          </w:p>
        </w:tc>
        <w:tc>
          <w:tcPr>
            <w:tcW w:w="1586" w:type="dxa"/>
            <w:vAlign w:val="center"/>
          </w:tcPr>
          <w:p w14:paraId="018BFE3D">
            <w:pPr>
              <w:pStyle w:val="22"/>
              <w:bidi w:val="0"/>
              <w:jc w:val="center"/>
              <w:rPr>
                <w:highlight w:val="none"/>
              </w:rPr>
            </w:pPr>
            <w:r>
              <w:rPr>
                <w:highlight w:val="none"/>
              </w:rPr>
              <w:t>灰头鸫</w:t>
            </w:r>
          </w:p>
          <w:p w14:paraId="389BA97C">
            <w:pPr>
              <w:pStyle w:val="22"/>
              <w:bidi w:val="0"/>
              <w:jc w:val="center"/>
              <w:rPr>
                <w:highlight w:val="none"/>
              </w:rPr>
            </w:pPr>
            <w:r>
              <w:rPr>
                <w:i/>
                <w:iCs w:val="0"/>
                <w:highlight w:val="none"/>
              </w:rPr>
              <w:t>Turdus rubrocanus</w:t>
            </w:r>
          </w:p>
        </w:tc>
        <w:tc>
          <w:tcPr>
            <w:tcW w:w="531" w:type="dxa"/>
            <w:vAlign w:val="center"/>
          </w:tcPr>
          <w:p w14:paraId="45D3A088">
            <w:pPr>
              <w:pStyle w:val="22"/>
              <w:bidi w:val="0"/>
              <w:jc w:val="center"/>
              <w:rPr>
                <w:highlight w:val="none"/>
              </w:rPr>
            </w:pPr>
            <w:r>
              <w:rPr>
                <w:highlight w:val="none"/>
              </w:rPr>
              <w:t>29</w:t>
            </w:r>
          </w:p>
        </w:tc>
        <w:tc>
          <w:tcPr>
            <w:tcW w:w="533" w:type="dxa"/>
            <w:vAlign w:val="center"/>
          </w:tcPr>
          <w:p w14:paraId="1F6BFD63">
            <w:pPr>
              <w:pStyle w:val="22"/>
              <w:bidi w:val="0"/>
              <w:jc w:val="center"/>
              <w:rPr>
                <w:highlight w:val="none"/>
              </w:rPr>
            </w:pPr>
            <w:r>
              <w:rPr>
                <w:highlight w:val="none"/>
              </w:rPr>
              <w:t>21</w:t>
            </w:r>
          </w:p>
        </w:tc>
        <w:tc>
          <w:tcPr>
            <w:tcW w:w="428" w:type="dxa"/>
            <w:vAlign w:val="center"/>
          </w:tcPr>
          <w:p w14:paraId="6DF0E531">
            <w:pPr>
              <w:pStyle w:val="22"/>
              <w:bidi w:val="0"/>
              <w:jc w:val="center"/>
              <w:rPr>
                <w:highlight w:val="none"/>
              </w:rPr>
            </w:pPr>
            <w:r>
              <w:rPr>
                <w:highlight w:val="none"/>
              </w:rPr>
              <w:t>11</w:t>
            </w:r>
          </w:p>
        </w:tc>
        <w:tc>
          <w:tcPr>
            <w:tcW w:w="428" w:type="dxa"/>
            <w:vAlign w:val="center"/>
          </w:tcPr>
          <w:p w14:paraId="1730B226">
            <w:pPr>
              <w:pStyle w:val="22"/>
              <w:bidi w:val="0"/>
              <w:jc w:val="center"/>
              <w:rPr>
                <w:highlight w:val="none"/>
              </w:rPr>
            </w:pPr>
            <w:r>
              <w:rPr>
                <w:highlight w:val="none"/>
              </w:rPr>
              <w:t>3</w:t>
            </w:r>
          </w:p>
        </w:tc>
        <w:tc>
          <w:tcPr>
            <w:tcW w:w="793" w:type="dxa"/>
            <w:vAlign w:val="center"/>
          </w:tcPr>
          <w:p w14:paraId="3C46EE33">
            <w:pPr>
              <w:pStyle w:val="22"/>
              <w:bidi w:val="0"/>
              <w:jc w:val="center"/>
              <w:rPr>
                <w:highlight w:val="none"/>
              </w:rPr>
            </w:pPr>
            <w:r>
              <w:rPr>
                <w:highlight w:val="none"/>
              </w:rPr>
              <w:t>0.1007</w:t>
            </w:r>
          </w:p>
        </w:tc>
        <w:tc>
          <w:tcPr>
            <w:tcW w:w="795" w:type="dxa"/>
            <w:vAlign w:val="center"/>
          </w:tcPr>
          <w:p w14:paraId="429359CB">
            <w:pPr>
              <w:pStyle w:val="22"/>
              <w:bidi w:val="0"/>
              <w:jc w:val="center"/>
              <w:rPr>
                <w:highlight w:val="none"/>
              </w:rPr>
            </w:pPr>
            <w:r>
              <w:rPr>
                <w:highlight w:val="none"/>
              </w:rPr>
              <w:t>27.61</w:t>
            </w:r>
          </w:p>
        </w:tc>
        <w:tc>
          <w:tcPr>
            <w:tcW w:w="970" w:type="dxa"/>
            <w:vAlign w:val="center"/>
          </w:tcPr>
          <w:p w14:paraId="4307F593">
            <w:pPr>
              <w:pStyle w:val="22"/>
              <w:bidi w:val="0"/>
              <w:jc w:val="center"/>
              <w:rPr>
                <w:highlight w:val="none"/>
              </w:rPr>
            </w:pPr>
            <w:r>
              <w:rPr>
                <w:highlight w:val="none"/>
              </w:rPr>
              <w:t>78.33%</w:t>
            </w:r>
          </w:p>
        </w:tc>
        <w:tc>
          <w:tcPr>
            <w:tcW w:w="795" w:type="dxa"/>
            <w:vAlign w:val="center"/>
          </w:tcPr>
          <w:p w14:paraId="77A4165C">
            <w:pPr>
              <w:pStyle w:val="22"/>
              <w:bidi w:val="0"/>
              <w:jc w:val="center"/>
              <w:rPr>
                <w:highlight w:val="none"/>
              </w:rPr>
            </w:pPr>
            <w:r>
              <w:rPr>
                <w:highlight w:val="none"/>
              </w:rPr>
              <w:t>0.0759</w:t>
            </w:r>
          </w:p>
        </w:tc>
        <w:tc>
          <w:tcPr>
            <w:tcW w:w="800" w:type="dxa"/>
            <w:vAlign w:val="center"/>
          </w:tcPr>
          <w:p w14:paraId="6E5C5FBF">
            <w:pPr>
              <w:pStyle w:val="22"/>
              <w:bidi w:val="0"/>
              <w:jc w:val="center"/>
              <w:rPr>
                <w:highlight w:val="none"/>
              </w:rPr>
            </w:pPr>
            <w:r>
              <w:rPr>
                <w:highlight w:val="none"/>
              </w:rPr>
              <w:t>0.0181</w:t>
            </w:r>
          </w:p>
        </w:tc>
      </w:tr>
      <w:tr w14:paraId="69F94B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3079078B">
            <w:pPr>
              <w:pStyle w:val="22"/>
              <w:bidi w:val="0"/>
              <w:jc w:val="center"/>
              <w:rPr>
                <w:highlight w:val="none"/>
              </w:rPr>
            </w:pPr>
            <w:r>
              <w:rPr>
                <w:highlight w:val="none"/>
              </w:rPr>
              <w:t>25</w:t>
            </w:r>
          </w:p>
        </w:tc>
        <w:tc>
          <w:tcPr>
            <w:tcW w:w="1586" w:type="dxa"/>
            <w:vAlign w:val="center"/>
          </w:tcPr>
          <w:p w14:paraId="7B5D7C0E">
            <w:pPr>
              <w:pStyle w:val="22"/>
              <w:bidi w:val="0"/>
              <w:jc w:val="center"/>
              <w:rPr>
                <w:highlight w:val="none"/>
              </w:rPr>
            </w:pPr>
            <w:r>
              <w:rPr>
                <w:highlight w:val="none"/>
              </w:rPr>
              <w:t xml:space="preserve">棕背黑头鸫  </w:t>
            </w:r>
            <w:r>
              <w:rPr>
                <w:i/>
                <w:iCs w:val="0"/>
                <w:highlight w:val="none"/>
              </w:rPr>
              <w:t>Turdus kessleri</w:t>
            </w:r>
          </w:p>
        </w:tc>
        <w:tc>
          <w:tcPr>
            <w:tcW w:w="531" w:type="dxa"/>
            <w:vAlign w:val="center"/>
          </w:tcPr>
          <w:p w14:paraId="49DD1288">
            <w:pPr>
              <w:pStyle w:val="22"/>
              <w:bidi w:val="0"/>
              <w:jc w:val="center"/>
              <w:rPr>
                <w:highlight w:val="none"/>
              </w:rPr>
            </w:pPr>
            <w:r>
              <w:rPr>
                <w:highlight w:val="none"/>
              </w:rPr>
              <w:t>1</w:t>
            </w:r>
          </w:p>
        </w:tc>
        <w:tc>
          <w:tcPr>
            <w:tcW w:w="533" w:type="dxa"/>
            <w:vAlign w:val="center"/>
          </w:tcPr>
          <w:p w14:paraId="752FF147">
            <w:pPr>
              <w:pStyle w:val="22"/>
              <w:bidi w:val="0"/>
              <w:jc w:val="center"/>
              <w:rPr>
                <w:highlight w:val="none"/>
              </w:rPr>
            </w:pPr>
            <w:r>
              <w:rPr>
                <w:highlight w:val="none"/>
              </w:rPr>
              <w:t>1</w:t>
            </w:r>
          </w:p>
        </w:tc>
        <w:tc>
          <w:tcPr>
            <w:tcW w:w="428" w:type="dxa"/>
            <w:vAlign w:val="center"/>
          </w:tcPr>
          <w:p w14:paraId="28DD8CE9">
            <w:pPr>
              <w:pStyle w:val="22"/>
              <w:bidi w:val="0"/>
              <w:jc w:val="center"/>
              <w:rPr>
                <w:highlight w:val="none"/>
              </w:rPr>
            </w:pPr>
            <w:r>
              <w:rPr>
                <w:highlight w:val="none"/>
              </w:rPr>
              <w:t>1</w:t>
            </w:r>
          </w:p>
        </w:tc>
        <w:tc>
          <w:tcPr>
            <w:tcW w:w="428" w:type="dxa"/>
            <w:vAlign w:val="center"/>
          </w:tcPr>
          <w:p w14:paraId="6F959777">
            <w:pPr>
              <w:pStyle w:val="22"/>
              <w:bidi w:val="0"/>
              <w:jc w:val="center"/>
              <w:rPr>
                <w:highlight w:val="none"/>
              </w:rPr>
            </w:pPr>
            <w:r>
              <w:rPr>
                <w:highlight w:val="none"/>
              </w:rPr>
              <w:t>1</w:t>
            </w:r>
          </w:p>
        </w:tc>
        <w:tc>
          <w:tcPr>
            <w:tcW w:w="793" w:type="dxa"/>
            <w:vAlign w:val="center"/>
          </w:tcPr>
          <w:p w14:paraId="40A89C4F">
            <w:pPr>
              <w:pStyle w:val="22"/>
              <w:bidi w:val="0"/>
              <w:jc w:val="center"/>
              <w:rPr>
                <w:highlight w:val="none"/>
              </w:rPr>
            </w:pPr>
            <w:r>
              <w:rPr>
                <w:highlight w:val="none"/>
              </w:rPr>
              <w:t>0.0035</w:t>
            </w:r>
          </w:p>
        </w:tc>
        <w:tc>
          <w:tcPr>
            <w:tcW w:w="795" w:type="dxa"/>
            <w:vAlign w:val="center"/>
          </w:tcPr>
          <w:p w14:paraId="3413EDEF">
            <w:pPr>
              <w:pStyle w:val="22"/>
              <w:bidi w:val="0"/>
              <w:jc w:val="center"/>
              <w:rPr>
                <w:highlight w:val="none"/>
              </w:rPr>
            </w:pPr>
            <w:r>
              <w:rPr>
                <w:highlight w:val="none"/>
              </w:rPr>
              <w:t>2.02</w:t>
            </w:r>
          </w:p>
        </w:tc>
        <w:tc>
          <w:tcPr>
            <w:tcW w:w="970" w:type="dxa"/>
            <w:vAlign w:val="center"/>
          </w:tcPr>
          <w:p w14:paraId="379044A1">
            <w:pPr>
              <w:pStyle w:val="22"/>
              <w:bidi w:val="0"/>
              <w:jc w:val="center"/>
              <w:rPr>
                <w:highlight w:val="none"/>
              </w:rPr>
            </w:pPr>
            <w:r>
              <w:rPr>
                <w:highlight w:val="none"/>
              </w:rPr>
              <w:t>21.67%</w:t>
            </w:r>
          </w:p>
        </w:tc>
        <w:tc>
          <w:tcPr>
            <w:tcW w:w="795" w:type="dxa"/>
            <w:vAlign w:val="center"/>
          </w:tcPr>
          <w:p w14:paraId="5F49D869">
            <w:pPr>
              <w:pStyle w:val="22"/>
              <w:bidi w:val="0"/>
              <w:jc w:val="center"/>
              <w:rPr>
                <w:highlight w:val="none"/>
              </w:rPr>
            </w:pPr>
            <w:r>
              <w:rPr>
                <w:highlight w:val="none"/>
              </w:rPr>
              <w:t>0.0048</w:t>
            </w:r>
          </w:p>
        </w:tc>
        <w:tc>
          <w:tcPr>
            <w:tcW w:w="800" w:type="dxa"/>
            <w:vAlign w:val="center"/>
          </w:tcPr>
          <w:p w14:paraId="65609FC6">
            <w:pPr>
              <w:pStyle w:val="22"/>
              <w:bidi w:val="0"/>
              <w:jc w:val="center"/>
              <w:rPr>
                <w:highlight w:val="none"/>
              </w:rPr>
            </w:pPr>
            <w:r>
              <w:rPr>
                <w:highlight w:val="none"/>
              </w:rPr>
              <w:t>0.0012</w:t>
            </w:r>
          </w:p>
        </w:tc>
      </w:tr>
      <w:tr w14:paraId="1F3CD2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5591B095">
            <w:pPr>
              <w:pStyle w:val="22"/>
              <w:bidi w:val="0"/>
              <w:jc w:val="center"/>
              <w:rPr>
                <w:highlight w:val="none"/>
              </w:rPr>
            </w:pPr>
            <w:r>
              <w:rPr>
                <w:highlight w:val="none"/>
              </w:rPr>
              <w:t>26</w:t>
            </w:r>
          </w:p>
        </w:tc>
        <w:tc>
          <w:tcPr>
            <w:tcW w:w="1586" w:type="dxa"/>
            <w:vAlign w:val="center"/>
          </w:tcPr>
          <w:p w14:paraId="714A392F">
            <w:pPr>
              <w:pStyle w:val="22"/>
              <w:bidi w:val="0"/>
              <w:jc w:val="center"/>
              <w:rPr>
                <w:i/>
                <w:iCs w:val="0"/>
                <w:highlight w:val="none"/>
              </w:rPr>
            </w:pPr>
            <w:r>
              <w:rPr>
                <w:highlight w:val="none"/>
              </w:rPr>
              <w:t xml:space="preserve">紫啸鸫  </w:t>
            </w:r>
            <w:r>
              <w:rPr>
                <w:i/>
                <w:iCs w:val="0"/>
                <w:highlight w:val="none"/>
              </w:rPr>
              <w:t>Myophonus</w:t>
            </w:r>
          </w:p>
          <w:p w14:paraId="1261548D">
            <w:pPr>
              <w:pStyle w:val="22"/>
              <w:bidi w:val="0"/>
              <w:jc w:val="center"/>
              <w:rPr>
                <w:highlight w:val="none"/>
              </w:rPr>
            </w:pPr>
            <w:r>
              <w:rPr>
                <w:i/>
                <w:iCs w:val="0"/>
                <w:highlight w:val="none"/>
              </w:rPr>
              <w:t>caeruleus</w:t>
            </w:r>
          </w:p>
        </w:tc>
        <w:tc>
          <w:tcPr>
            <w:tcW w:w="531" w:type="dxa"/>
            <w:vAlign w:val="center"/>
          </w:tcPr>
          <w:p w14:paraId="377204C2">
            <w:pPr>
              <w:pStyle w:val="22"/>
              <w:bidi w:val="0"/>
              <w:jc w:val="center"/>
              <w:rPr>
                <w:highlight w:val="none"/>
              </w:rPr>
            </w:pPr>
            <w:r>
              <w:rPr>
                <w:highlight w:val="none"/>
              </w:rPr>
              <w:t>3</w:t>
            </w:r>
          </w:p>
        </w:tc>
        <w:tc>
          <w:tcPr>
            <w:tcW w:w="533" w:type="dxa"/>
            <w:vAlign w:val="center"/>
          </w:tcPr>
          <w:p w14:paraId="6ECD5A0E">
            <w:pPr>
              <w:pStyle w:val="22"/>
              <w:bidi w:val="0"/>
              <w:jc w:val="center"/>
              <w:rPr>
                <w:highlight w:val="none"/>
              </w:rPr>
            </w:pPr>
            <w:r>
              <w:rPr>
                <w:highlight w:val="none"/>
              </w:rPr>
              <w:t>3</w:t>
            </w:r>
          </w:p>
        </w:tc>
        <w:tc>
          <w:tcPr>
            <w:tcW w:w="428" w:type="dxa"/>
            <w:vAlign w:val="center"/>
          </w:tcPr>
          <w:p w14:paraId="344FC1B6">
            <w:pPr>
              <w:pStyle w:val="22"/>
              <w:bidi w:val="0"/>
              <w:jc w:val="center"/>
              <w:rPr>
                <w:highlight w:val="none"/>
              </w:rPr>
            </w:pPr>
            <w:r>
              <w:rPr>
                <w:highlight w:val="none"/>
              </w:rPr>
              <w:t>3</w:t>
            </w:r>
          </w:p>
        </w:tc>
        <w:tc>
          <w:tcPr>
            <w:tcW w:w="428" w:type="dxa"/>
            <w:vAlign w:val="center"/>
          </w:tcPr>
          <w:p w14:paraId="7F8B0FFC">
            <w:pPr>
              <w:pStyle w:val="22"/>
              <w:bidi w:val="0"/>
              <w:jc w:val="center"/>
              <w:rPr>
                <w:highlight w:val="none"/>
              </w:rPr>
            </w:pPr>
            <w:r>
              <w:rPr>
                <w:highlight w:val="none"/>
              </w:rPr>
              <w:t>1</w:t>
            </w:r>
          </w:p>
        </w:tc>
        <w:tc>
          <w:tcPr>
            <w:tcW w:w="793" w:type="dxa"/>
            <w:vAlign w:val="center"/>
          </w:tcPr>
          <w:p w14:paraId="6201DD78">
            <w:pPr>
              <w:pStyle w:val="22"/>
              <w:bidi w:val="0"/>
              <w:jc w:val="center"/>
              <w:rPr>
                <w:highlight w:val="none"/>
              </w:rPr>
            </w:pPr>
            <w:r>
              <w:rPr>
                <w:highlight w:val="none"/>
              </w:rPr>
              <w:t>0.0104</w:t>
            </w:r>
          </w:p>
        </w:tc>
        <w:tc>
          <w:tcPr>
            <w:tcW w:w="795" w:type="dxa"/>
            <w:vAlign w:val="center"/>
          </w:tcPr>
          <w:p w14:paraId="59E60F54">
            <w:pPr>
              <w:pStyle w:val="22"/>
              <w:bidi w:val="0"/>
              <w:jc w:val="center"/>
              <w:rPr>
                <w:highlight w:val="none"/>
              </w:rPr>
            </w:pPr>
            <w:r>
              <w:rPr>
                <w:highlight w:val="none"/>
              </w:rPr>
              <w:t>6.05</w:t>
            </w:r>
          </w:p>
        </w:tc>
        <w:tc>
          <w:tcPr>
            <w:tcW w:w="970" w:type="dxa"/>
            <w:vAlign w:val="center"/>
          </w:tcPr>
          <w:p w14:paraId="7FAE1131">
            <w:pPr>
              <w:pStyle w:val="22"/>
              <w:bidi w:val="0"/>
              <w:jc w:val="center"/>
              <w:rPr>
                <w:highlight w:val="none"/>
              </w:rPr>
            </w:pPr>
            <w:r>
              <w:rPr>
                <w:highlight w:val="none"/>
              </w:rPr>
              <w:t>25.00%</w:t>
            </w:r>
          </w:p>
        </w:tc>
        <w:tc>
          <w:tcPr>
            <w:tcW w:w="795" w:type="dxa"/>
            <w:vAlign w:val="center"/>
          </w:tcPr>
          <w:p w14:paraId="3D77E2E4">
            <w:pPr>
              <w:pStyle w:val="22"/>
              <w:bidi w:val="0"/>
              <w:jc w:val="center"/>
              <w:rPr>
                <w:highlight w:val="none"/>
              </w:rPr>
            </w:pPr>
            <w:r>
              <w:rPr>
                <w:highlight w:val="none"/>
              </w:rPr>
              <w:t>0.0124</w:t>
            </w:r>
          </w:p>
        </w:tc>
        <w:tc>
          <w:tcPr>
            <w:tcW w:w="800" w:type="dxa"/>
            <w:vAlign w:val="center"/>
          </w:tcPr>
          <w:p w14:paraId="2256D8F7">
            <w:pPr>
              <w:pStyle w:val="22"/>
              <w:bidi w:val="0"/>
              <w:jc w:val="center"/>
              <w:rPr>
                <w:highlight w:val="none"/>
              </w:rPr>
            </w:pPr>
            <w:r>
              <w:rPr>
                <w:highlight w:val="none"/>
              </w:rPr>
              <w:t>0.0029</w:t>
            </w:r>
          </w:p>
        </w:tc>
      </w:tr>
      <w:tr w14:paraId="3E8004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12A469DA">
            <w:pPr>
              <w:pStyle w:val="22"/>
              <w:bidi w:val="0"/>
              <w:jc w:val="center"/>
              <w:rPr>
                <w:highlight w:val="none"/>
              </w:rPr>
            </w:pPr>
            <w:r>
              <w:rPr>
                <w:highlight w:val="none"/>
              </w:rPr>
              <w:t>27</w:t>
            </w:r>
          </w:p>
        </w:tc>
        <w:tc>
          <w:tcPr>
            <w:tcW w:w="1586" w:type="dxa"/>
            <w:vAlign w:val="center"/>
          </w:tcPr>
          <w:p w14:paraId="5FB658AD">
            <w:pPr>
              <w:pStyle w:val="22"/>
              <w:bidi w:val="0"/>
              <w:jc w:val="center"/>
              <w:rPr>
                <w:i/>
                <w:iCs w:val="0"/>
                <w:highlight w:val="none"/>
              </w:rPr>
            </w:pPr>
            <w:r>
              <w:rPr>
                <w:highlight w:val="none"/>
              </w:rPr>
              <w:t xml:space="preserve">赭红尾鸲  </w:t>
            </w:r>
            <w:r>
              <w:rPr>
                <w:i/>
                <w:iCs w:val="0"/>
                <w:highlight w:val="none"/>
              </w:rPr>
              <w:t>Phoenicurus</w:t>
            </w:r>
          </w:p>
          <w:p w14:paraId="6A7866B5">
            <w:pPr>
              <w:pStyle w:val="22"/>
              <w:bidi w:val="0"/>
              <w:jc w:val="center"/>
              <w:rPr>
                <w:highlight w:val="none"/>
              </w:rPr>
            </w:pPr>
            <w:r>
              <w:rPr>
                <w:i/>
                <w:iCs w:val="0"/>
                <w:highlight w:val="none"/>
              </w:rPr>
              <w:t>ochruros</w:t>
            </w:r>
          </w:p>
        </w:tc>
        <w:tc>
          <w:tcPr>
            <w:tcW w:w="531" w:type="dxa"/>
            <w:vAlign w:val="center"/>
          </w:tcPr>
          <w:p w14:paraId="6D8CE8CC">
            <w:pPr>
              <w:pStyle w:val="22"/>
              <w:bidi w:val="0"/>
              <w:jc w:val="center"/>
              <w:rPr>
                <w:highlight w:val="none"/>
              </w:rPr>
            </w:pPr>
            <w:r>
              <w:rPr>
                <w:highlight w:val="none"/>
              </w:rPr>
              <w:t>2</w:t>
            </w:r>
          </w:p>
        </w:tc>
        <w:tc>
          <w:tcPr>
            <w:tcW w:w="533" w:type="dxa"/>
            <w:vAlign w:val="center"/>
          </w:tcPr>
          <w:p w14:paraId="426952B2">
            <w:pPr>
              <w:pStyle w:val="22"/>
              <w:bidi w:val="0"/>
              <w:jc w:val="center"/>
              <w:rPr>
                <w:highlight w:val="none"/>
              </w:rPr>
            </w:pPr>
            <w:r>
              <w:rPr>
                <w:highlight w:val="none"/>
              </w:rPr>
              <w:t>2</w:t>
            </w:r>
          </w:p>
        </w:tc>
        <w:tc>
          <w:tcPr>
            <w:tcW w:w="428" w:type="dxa"/>
            <w:vAlign w:val="center"/>
          </w:tcPr>
          <w:p w14:paraId="535A665E">
            <w:pPr>
              <w:pStyle w:val="22"/>
              <w:bidi w:val="0"/>
              <w:jc w:val="center"/>
              <w:rPr>
                <w:highlight w:val="none"/>
              </w:rPr>
            </w:pPr>
            <w:r>
              <w:rPr>
                <w:highlight w:val="none"/>
              </w:rPr>
              <w:t>2</w:t>
            </w:r>
          </w:p>
        </w:tc>
        <w:tc>
          <w:tcPr>
            <w:tcW w:w="428" w:type="dxa"/>
            <w:vAlign w:val="center"/>
          </w:tcPr>
          <w:p w14:paraId="7C979B37">
            <w:pPr>
              <w:pStyle w:val="22"/>
              <w:bidi w:val="0"/>
              <w:jc w:val="center"/>
              <w:rPr>
                <w:highlight w:val="none"/>
              </w:rPr>
            </w:pPr>
            <w:r>
              <w:rPr>
                <w:highlight w:val="none"/>
              </w:rPr>
              <w:t>1</w:t>
            </w:r>
          </w:p>
        </w:tc>
        <w:tc>
          <w:tcPr>
            <w:tcW w:w="793" w:type="dxa"/>
            <w:vAlign w:val="center"/>
          </w:tcPr>
          <w:p w14:paraId="76E93214">
            <w:pPr>
              <w:pStyle w:val="22"/>
              <w:bidi w:val="0"/>
              <w:jc w:val="center"/>
              <w:rPr>
                <w:highlight w:val="none"/>
              </w:rPr>
            </w:pPr>
            <w:r>
              <w:rPr>
                <w:highlight w:val="none"/>
              </w:rPr>
              <w:t>0.0069</w:t>
            </w:r>
          </w:p>
        </w:tc>
        <w:tc>
          <w:tcPr>
            <w:tcW w:w="795" w:type="dxa"/>
            <w:vAlign w:val="center"/>
          </w:tcPr>
          <w:p w14:paraId="5E996E54">
            <w:pPr>
              <w:pStyle w:val="22"/>
              <w:bidi w:val="0"/>
              <w:jc w:val="center"/>
              <w:rPr>
                <w:highlight w:val="none"/>
              </w:rPr>
            </w:pPr>
            <w:r>
              <w:rPr>
                <w:highlight w:val="none"/>
              </w:rPr>
              <w:t>4.03</w:t>
            </w:r>
          </w:p>
        </w:tc>
        <w:tc>
          <w:tcPr>
            <w:tcW w:w="970" w:type="dxa"/>
            <w:vAlign w:val="center"/>
          </w:tcPr>
          <w:p w14:paraId="66D9EEB9">
            <w:pPr>
              <w:pStyle w:val="22"/>
              <w:bidi w:val="0"/>
              <w:jc w:val="center"/>
              <w:rPr>
                <w:highlight w:val="none"/>
              </w:rPr>
            </w:pPr>
            <w:r>
              <w:rPr>
                <w:highlight w:val="none"/>
              </w:rPr>
              <w:t>23.33%</w:t>
            </w:r>
          </w:p>
        </w:tc>
        <w:tc>
          <w:tcPr>
            <w:tcW w:w="795" w:type="dxa"/>
            <w:vAlign w:val="center"/>
          </w:tcPr>
          <w:p w14:paraId="0C3F0E80">
            <w:pPr>
              <w:pStyle w:val="22"/>
              <w:bidi w:val="0"/>
              <w:jc w:val="center"/>
              <w:rPr>
                <w:highlight w:val="none"/>
              </w:rPr>
            </w:pPr>
            <w:r>
              <w:rPr>
                <w:highlight w:val="none"/>
              </w:rPr>
              <w:t>0.0088</w:t>
            </w:r>
          </w:p>
        </w:tc>
        <w:tc>
          <w:tcPr>
            <w:tcW w:w="800" w:type="dxa"/>
            <w:vAlign w:val="center"/>
          </w:tcPr>
          <w:p w14:paraId="66186A89">
            <w:pPr>
              <w:pStyle w:val="22"/>
              <w:bidi w:val="0"/>
              <w:jc w:val="center"/>
              <w:rPr>
                <w:highlight w:val="none"/>
              </w:rPr>
            </w:pPr>
            <w:r>
              <w:rPr>
                <w:highlight w:val="none"/>
              </w:rPr>
              <w:t>0.0021</w:t>
            </w:r>
          </w:p>
        </w:tc>
      </w:tr>
      <w:tr w14:paraId="4E3EB9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22F71027">
            <w:pPr>
              <w:pStyle w:val="22"/>
              <w:bidi w:val="0"/>
              <w:jc w:val="center"/>
              <w:rPr>
                <w:highlight w:val="none"/>
              </w:rPr>
            </w:pPr>
            <w:r>
              <w:rPr>
                <w:highlight w:val="none"/>
              </w:rPr>
              <w:t>28</w:t>
            </w:r>
          </w:p>
        </w:tc>
        <w:tc>
          <w:tcPr>
            <w:tcW w:w="1586" w:type="dxa"/>
            <w:vAlign w:val="center"/>
          </w:tcPr>
          <w:p w14:paraId="4FA1F8EE">
            <w:pPr>
              <w:pStyle w:val="22"/>
              <w:bidi w:val="0"/>
              <w:jc w:val="center"/>
              <w:rPr>
                <w:i/>
                <w:iCs w:val="0"/>
                <w:highlight w:val="none"/>
              </w:rPr>
            </w:pPr>
            <w:r>
              <w:rPr>
                <w:highlight w:val="none"/>
              </w:rPr>
              <w:t xml:space="preserve">黑喉红尾鸲 </w:t>
            </w:r>
            <w:r>
              <w:rPr>
                <w:i/>
                <w:iCs w:val="0"/>
                <w:highlight w:val="none"/>
              </w:rPr>
              <w:t>Phoenicurus</w:t>
            </w:r>
          </w:p>
          <w:p w14:paraId="5C1FC806">
            <w:pPr>
              <w:pStyle w:val="22"/>
              <w:bidi w:val="0"/>
              <w:jc w:val="center"/>
              <w:rPr>
                <w:highlight w:val="none"/>
              </w:rPr>
            </w:pPr>
            <w:r>
              <w:rPr>
                <w:i/>
                <w:iCs w:val="0"/>
                <w:highlight w:val="none"/>
              </w:rPr>
              <w:t>hodgsoni</w:t>
            </w:r>
          </w:p>
        </w:tc>
        <w:tc>
          <w:tcPr>
            <w:tcW w:w="531" w:type="dxa"/>
            <w:vAlign w:val="center"/>
          </w:tcPr>
          <w:p w14:paraId="44A50652">
            <w:pPr>
              <w:pStyle w:val="22"/>
              <w:bidi w:val="0"/>
              <w:jc w:val="center"/>
              <w:rPr>
                <w:highlight w:val="none"/>
              </w:rPr>
            </w:pPr>
            <w:r>
              <w:rPr>
                <w:highlight w:val="none"/>
              </w:rPr>
              <w:t>29</w:t>
            </w:r>
          </w:p>
        </w:tc>
        <w:tc>
          <w:tcPr>
            <w:tcW w:w="533" w:type="dxa"/>
            <w:vAlign w:val="center"/>
          </w:tcPr>
          <w:p w14:paraId="230481DC">
            <w:pPr>
              <w:pStyle w:val="22"/>
              <w:bidi w:val="0"/>
              <w:jc w:val="center"/>
              <w:rPr>
                <w:highlight w:val="none"/>
              </w:rPr>
            </w:pPr>
            <w:r>
              <w:rPr>
                <w:highlight w:val="none"/>
              </w:rPr>
              <w:t>26</w:t>
            </w:r>
          </w:p>
        </w:tc>
        <w:tc>
          <w:tcPr>
            <w:tcW w:w="428" w:type="dxa"/>
            <w:vAlign w:val="center"/>
          </w:tcPr>
          <w:p w14:paraId="7A5434D1">
            <w:pPr>
              <w:pStyle w:val="22"/>
              <w:bidi w:val="0"/>
              <w:jc w:val="center"/>
              <w:rPr>
                <w:highlight w:val="none"/>
              </w:rPr>
            </w:pPr>
            <w:r>
              <w:rPr>
                <w:highlight w:val="none"/>
              </w:rPr>
              <w:t>20</w:t>
            </w:r>
          </w:p>
        </w:tc>
        <w:tc>
          <w:tcPr>
            <w:tcW w:w="428" w:type="dxa"/>
            <w:vAlign w:val="center"/>
          </w:tcPr>
          <w:p w14:paraId="25F53AE5">
            <w:pPr>
              <w:pStyle w:val="22"/>
              <w:bidi w:val="0"/>
              <w:jc w:val="center"/>
              <w:rPr>
                <w:highlight w:val="none"/>
              </w:rPr>
            </w:pPr>
            <w:r>
              <w:rPr>
                <w:highlight w:val="none"/>
              </w:rPr>
              <w:t>2</w:t>
            </w:r>
          </w:p>
        </w:tc>
        <w:tc>
          <w:tcPr>
            <w:tcW w:w="793" w:type="dxa"/>
            <w:vAlign w:val="center"/>
          </w:tcPr>
          <w:p w14:paraId="2136C344">
            <w:pPr>
              <w:pStyle w:val="22"/>
              <w:bidi w:val="0"/>
              <w:jc w:val="center"/>
              <w:rPr>
                <w:highlight w:val="none"/>
              </w:rPr>
            </w:pPr>
            <w:r>
              <w:rPr>
                <w:highlight w:val="none"/>
              </w:rPr>
              <w:t>0.1007</w:t>
            </w:r>
          </w:p>
        </w:tc>
        <w:tc>
          <w:tcPr>
            <w:tcW w:w="795" w:type="dxa"/>
            <w:vAlign w:val="center"/>
          </w:tcPr>
          <w:p w14:paraId="4224FE08">
            <w:pPr>
              <w:pStyle w:val="22"/>
              <w:bidi w:val="0"/>
              <w:jc w:val="center"/>
              <w:rPr>
                <w:highlight w:val="none"/>
              </w:rPr>
            </w:pPr>
            <w:r>
              <w:rPr>
                <w:highlight w:val="none"/>
              </w:rPr>
              <w:t>43.16</w:t>
            </w:r>
          </w:p>
        </w:tc>
        <w:tc>
          <w:tcPr>
            <w:tcW w:w="970" w:type="dxa"/>
            <w:vAlign w:val="center"/>
          </w:tcPr>
          <w:p w14:paraId="674E1A38">
            <w:pPr>
              <w:pStyle w:val="22"/>
              <w:bidi w:val="0"/>
              <w:jc w:val="center"/>
              <w:rPr>
                <w:highlight w:val="none"/>
              </w:rPr>
            </w:pPr>
            <w:r>
              <w:rPr>
                <w:highlight w:val="none"/>
              </w:rPr>
              <w:t>73.33%</w:t>
            </w:r>
          </w:p>
        </w:tc>
        <w:tc>
          <w:tcPr>
            <w:tcW w:w="795" w:type="dxa"/>
            <w:vAlign w:val="center"/>
          </w:tcPr>
          <w:p w14:paraId="233B7E2E">
            <w:pPr>
              <w:pStyle w:val="22"/>
              <w:bidi w:val="0"/>
              <w:jc w:val="center"/>
              <w:rPr>
                <w:highlight w:val="none"/>
              </w:rPr>
            </w:pPr>
            <w:r>
              <w:rPr>
                <w:highlight w:val="none"/>
              </w:rPr>
              <w:t>0.0759</w:t>
            </w:r>
          </w:p>
        </w:tc>
        <w:tc>
          <w:tcPr>
            <w:tcW w:w="800" w:type="dxa"/>
            <w:vAlign w:val="center"/>
          </w:tcPr>
          <w:p w14:paraId="2EE77ECA">
            <w:pPr>
              <w:pStyle w:val="22"/>
              <w:bidi w:val="0"/>
              <w:jc w:val="center"/>
              <w:rPr>
                <w:highlight w:val="none"/>
              </w:rPr>
            </w:pPr>
            <w:r>
              <w:rPr>
                <w:highlight w:val="none"/>
              </w:rPr>
              <w:t>0.0181</w:t>
            </w:r>
          </w:p>
        </w:tc>
      </w:tr>
      <w:tr w14:paraId="587C12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5769BCDE">
            <w:pPr>
              <w:pStyle w:val="22"/>
              <w:bidi w:val="0"/>
              <w:jc w:val="center"/>
              <w:rPr>
                <w:highlight w:val="none"/>
              </w:rPr>
            </w:pPr>
            <w:r>
              <w:rPr>
                <w:highlight w:val="none"/>
              </w:rPr>
              <w:t>29</w:t>
            </w:r>
          </w:p>
        </w:tc>
        <w:tc>
          <w:tcPr>
            <w:tcW w:w="1586" w:type="dxa"/>
            <w:vAlign w:val="center"/>
          </w:tcPr>
          <w:p w14:paraId="1BB0522C">
            <w:pPr>
              <w:pStyle w:val="22"/>
              <w:bidi w:val="0"/>
              <w:jc w:val="center"/>
              <w:rPr>
                <w:i/>
                <w:iCs w:val="0"/>
                <w:highlight w:val="none"/>
              </w:rPr>
            </w:pPr>
            <w:r>
              <w:rPr>
                <w:highlight w:val="none"/>
              </w:rPr>
              <w:t xml:space="preserve">北红尾鸲  </w:t>
            </w:r>
            <w:r>
              <w:rPr>
                <w:i/>
                <w:iCs w:val="0"/>
                <w:highlight w:val="none"/>
              </w:rPr>
              <w:t>Phoenicurus</w:t>
            </w:r>
          </w:p>
          <w:p w14:paraId="60DB23BF">
            <w:pPr>
              <w:pStyle w:val="22"/>
              <w:bidi w:val="0"/>
              <w:jc w:val="center"/>
              <w:rPr>
                <w:highlight w:val="none"/>
              </w:rPr>
            </w:pPr>
            <w:r>
              <w:rPr>
                <w:i/>
                <w:iCs w:val="0"/>
                <w:highlight w:val="none"/>
              </w:rPr>
              <w:t>auroreus</w:t>
            </w:r>
          </w:p>
        </w:tc>
        <w:tc>
          <w:tcPr>
            <w:tcW w:w="531" w:type="dxa"/>
            <w:vAlign w:val="center"/>
          </w:tcPr>
          <w:p w14:paraId="39BA9D5C">
            <w:pPr>
              <w:pStyle w:val="22"/>
              <w:bidi w:val="0"/>
              <w:jc w:val="center"/>
              <w:rPr>
                <w:highlight w:val="none"/>
              </w:rPr>
            </w:pPr>
            <w:r>
              <w:rPr>
                <w:highlight w:val="none"/>
              </w:rPr>
              <w:t>14</w:t>
            </w:r>
          </w:p>
        </w:tc>
        <w:tc>
          <w:tcPr>
            <w:tcW w:w="533" w:type="dxa"/>
            <w:vAlign w:val="center"/>
          </w:tcPr>
          <w:p w14:paraId="4C96A0A4">
            <w:pPr>
              <w:pStyle w:val="22"/>
              <w:bidi w:val="0"/>
              <w:jc w:val="center"/>
              <w:rPr>
                <w:highlight w:val="none"/>
              </w:rPr>
            </w:pPr>
            <w:r>
              <w:rPr>
                <w:highlight w:val="none"/>
              </w:rPr>
              <w:t>13</w:t>
            </w:r>
          </w:p>
        </w:tc>
        <w:tc>
          <w:tcPr>
            <w:tcW w:w="428" w:type="dxa"/>
            <w:vAlign w:val="center"/>
          </w:tcPr>
          <w:p w14:paraId="3792E716">
            <w:pPr>
              <w:pStyle w:val="22"/>
              <w:bidi w:val="0"/>
              <w:jc w:val="center"/>
              <w:rPr>
                <w:highlight w:val="none"/>
              </w:rPr>
            </w:pPr>
            <w:r>
              <w:rPr>
                <w:highlight w:val="none"/>
              </w:rPr>
              <w:t>10</w:t>
            </w:r>
          </w:p>
        </w:tc>
        <w:tc>
          <w:tcPr>
            <w:tcW w:w="428" w:type="dxa"/>
            <w:vAlign w:val="center"/>
          </w:tcPr>
          <w:p w14:paraId="73324CE8">
            <w:pPr>
              <w:pStyle w:val="22"/>
              <w:bidi w:val="0"/>
              <w:jc w:val="center"/>
              <w:rPr>
                <w:highlight w:val="none"/>
              </w:rPr>
            </w:pPr>
            <w:r>
              <w:rPr>
                <w:highlight w:val="none"/>
              </w:rPr>
              <w:t>2</w:t>
            </w:r>
          </w:p>
        </w:tc>
        <w:tc>
          <w:tcPr>
            <w:tcW w:w="793" w:type="dxa"/>
            <w:vAlign w:val="center"/>
          </w:tcPr>
          <w:p w14:paraId="4D3852F0">
            <w:pPr>
              <w:pStyle w:val="22"/>
              <w:bidi w:val="0"/>
              <w:jc w:val="center"/>
              <w:rPr>
                <w:highlight w:val="none"/>
              </w:rPr>
            </w:pPr>
            <w:r>
              <w:rPr>
                <w:highlight w:val="none"/>
              </w:rPr>
              <w:t>0.0486</w:t>
            </w:r>
          </w:p>
        </w:tc>
        <w:tc>
          <w:tcPr>
            <w:tcW w:w="795" w:type="dxa"/>
            <w:vAlign w:val="center"/>
          </w:tcPr>
          <w:p w14:paraId="1899B829">
            <w:pPr>
              <w:pStyle w:val="22"/>
              <w:bidi w:val="0"/>
              <w:jc w:val="center"/>
              <w:rPr>
                <w:highlight w:val="none"/>
              </w:rPr>
            </w:pPr>
            <w:r>
              <w:rPr>
                <w:highlight w:val="none"/>
              </w:rPr>
              <w:t>21.46</w:t>
            </w:r>
          </w:p>
        </w:tc>
        <w:tc>
          <w:tcPr>
            <w:tcW w:w="970" w:type="dxa"/>
            <w:vAlign w:val="center"/>
          </w:tcPr>
          <w:p w14:paraId="03630321">
            <w:pPr>
              <w:pStyle w:val="22"/>
              <w:bidi w:val="0"/>
              <w:jc w:val="center"/>
              <w:rPr>
                <w:highlight w:val="none"/>
              </w:rPr>
            </w:pPr>
            <w:r>
              <w:rPr>
                <w:highlight w:val="none"/>
              </w:rPr>
              <w:t>56.67%</w:t>
            </w:r>
          </w:p>
        </w:tc>
        <w:tc>
          <w:tcPr>
            <w:tcW w:w="795" w:type="dxa"/>
            <w:vAlign w:val="center"/>
          </w:tcPr>
          <w:p w14:paraId="12B0C522">
            <w:pPr>
              <w:pStyle w:val="22"/>
              <w:bidi w:val="0"/>
              <w:jc w:val="center"/>
              <w:rPr>
                <w:highlight w:val="none"/>
              </w:rPr>
            </w:pPr>
            <w:r>
              <w:rPr>
                <w:highlight w:val="none"/>
              </w:rPr>
              <w:t>0.0434</w:t>
            </w:r>
          </w:p>
        </w:tc>
        <w:tc>
          <w:tcPr>
            <w:tcW w:w="800" w:type="dxa"/>
            <w:vAlign w:val="center"/>
          </w:tcPr>
          <w:p w14:paraId="489C0232">
            <w:pPr>
              <w:pStyle w:val="22"/>
              <w:bidi w:val="0"/>
              <w:jc w:val="center"/>
              <w:rPr>
                <w:highlight w:val="none"/>
              </w:rPr>
            </w:pPr>
            <w:r>
              <w:rPr>
                <w:highlight w:val="none"/>
              </w:rPr>
              <w:t>0.0104</w:t>
            </w:r>
          </w:p>
        </w:tc>
      </w:tr>
      <w:tr w14:paraId="19C0C9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2CA3414F">
            <w:pPr>
              <w:pStyle w:val="22"/>
              <w:bidi w:val="0"/>
              <w:jc w:val="center"/>
              <w:rPr>
                <w:highlight w:val="none"/>
              </w:rPr>
            </w:pPr>
            <w:r>
              <w:rPr>
                <w:highlight w:val="none"/>
              </w:rPr>
              <w:t>30</w:t>
            </w:r>
          </w:p>
        </w:tc>
        <w:tc>
          <w:tcPr>
            <w:tcW w:w="1586" w:type="dxa"/>
            <w:vAlign w:val="center"/>
          </w:tcPr>
          <w:p w14:paraId="4D1EE92C">
            <w:pPr>
              <w:pStyle w:val="22"/>
              <w:bidi w:val="0"/>
              <w:jc w:val="center"/>
              <w:rPr>
                <w:highlight w:val="none"/>
              </w:rPr>
            </w:pPr>
            <w:r>
              <w:rPr>
                <w:highlight w:val="none"/>
              </w:rPr>
              <w:t>红尾水鸲</w:t>
            </w:r>
          </w:p>
          <w:p w14:paraId="510B694F">
            <w:pPr>
              <w:pStyle w:val="22"/>
              <w:bidi w:val="0"/>
              <w:jc w:val="center"/>
              <w:rPr>
                <w:i/>
                <w:iCs w:val="0"/>
                <w:highlight w:val="none"/>
              </w:rPr>
            </w:pPr>
            <w:r>
              <w:rPr>
                <w:i/>
                <w:iCs w:val="0"/>
                <w:highlight w:val="none"/>
              </w:rPr>
              <w:t>Phoenicurus</w:t>
            </w:r>
          </w:p>
          <w:p w14:paraId="687D6AA6">
            <w:pPr>
              <w:pStyle w:val="22"/>
              <w:bidi w:val="0"/>
              <w:jc w:val="center"/>
              <w:rPr>
                <w:highlight w:val="none"/>
              </w:rPr>
            </w:pPr>
            <w:r>
              <w:rPr>
                <w:i/>
                <w:iCs w:val="0"/>
                <w:highlight w:val="none"/>
              </w:rPr>
              <w:t>fuliginosa</w:t>
            </w:r>
          </w:p>
        </w:tc>
        <w:tc>
          <w:tcPr>
            <w:tcW w:w="531" w:type="dxa"/>
            <w:vAlign w:val="center"/>
          </w:tcPr>
          <w:p w14:paraId="66670F97">
            <w:pPr>
              <w:pStyle w:val="22"/>
              <w:bidi w:val="0"/>
              <w:jc w:val="center"/>
              <w:rPr>
                <w:highlight w:val="none"/>
              </w:rPr>
            </w:pPr>
            <w:r>
              <w:rPr>
                <w:highlight w:val="none"/>
              </w:rPr>
              <w:t>8</w:t>
            </w:r>
          </w:p>
        </w:tc>
        <w:tc>
          <w:tcPr>
            <w:tcW w:w="533" w:type="dxa"/>
            <w:vAlign w:val="center"/>
          </w:tcPr>
          <w:p w14:paraId="66790442">
            <w:pPr>
              <w:pStyle w:val="22"/>
              <w:bidi w:val="0"/>
              <w:jc w:val="center"/>
              <w:rPr>
                <w:highlight w:val="none"/>
              </w:rPr>
            </w:pPr>
            <w:r>
              <w:rPr>
                <w:highlight w:val="none"/>
              </w:rPr>
              <w:t>7</w:t>
            </w:r>
          </w:p>
        </w:tc>
        <w:tc>
          <w:tcPr>
            <w:tcW w:w="428" w:type="dxa"/>
            <w:vAlign w:val="center"/>
          </w:tcPr>
          <w:p w14:paraId="30A098C9">
            <w:pPr>
              <w:pStyle w:val="22"/>
              <w:bidi w:val="0"/>
              <w:jc w:val="center"/>
              <w:rPr>
                <w:highlight w:val="none"/>
              </w:rPr>
            </w:pPr>
            <w:r>
              <w:rPr>
                <w:highlight w:val="none"/>
              </w:rPr>
              <w:t>7</w:t>
            </w:r>
          </w:p>
        </w:tc>
        <w:tc>
          <w:tcPr>
            <w:tcW w:w="428" w:type="dxa"/>
            <w:vAlign w:val="center"/>
          </w:tcPr>
          <w:p w14:paraId="5CE95932">
            <w:pPr>
              <w:pStyle w:val="22"/>
              <w:bidi w:val="0"/>
              <w:jc w:val="center"/>
              <w:rPr>
                <w:highlight w:val="none"/>
              </w:rPr>
            </w:pPr>
            <w:r>
              <w:rPr>
                <w:highlight w:val="none"/>
              </w:rPr>
              <w:t>1</w:t>
            </w:r>
          </w:p>
        </w:tc>
        <w:tc>
          <w:tcPr>
            <w:tcW w:w="793" w:type="dxa"/>
            <w:vAlign w:val="center"/>
          </w:tcPr>
          <w:p w14:paraId="5852AEDE">
            <w:pPr>
              <w:pStyle w:val="22"/>
              <w:bidi w:val="0"/>
              <w:jc w:val="center"/>
              <w:rPr>
                <w:highlight w:val="none"/>
              </w:rPr>
            </w:pPr>
            <w:r>
              <w:rPr>
                <w:highlight w:val="none"/>
              </w:rPr>
              <w:t>0.0278</w:t>
            </w:r>
          </w:p>
        </w:tc>
        <w:tc>
          <w:tcPr>
            <w:tcW w:w="795" w:type="dxa"/>
            <w:vAlign w:val="center"/>
          </w:tcPr>
          <w:p w14:paraId="4E80A9B9">
            <w:pPr>
              <w:pStyle w:val="22"/>
              <w:bidi w:val="0"/>
              <w:jc w:val="center"/>
              <w:rPr>
                <w:highlight w:val="none"/>
              </w:rPr>
            </w:pPr>
            <w:r>
              <w:rPr>
                <w:highlight w:val="none"/>
              </w:rPr>
              <w:t>14.36</w:t>
            </w:r>
          </w:p>
        </w:tc>
        <w:tc>
          <w:tcPr>
            <w:tcW w:w="970" w:type="dxa"/>
            <w:vAlign w:val="center"/>
          </w:tcPr>
          <w:p w14:paraId="0F11B0A5">
            <w:pPr>
              <w:pStyle w:val="22"/>
              <w:bidi w:val="0"/>
              <w:jc w:val="center"/>
              <w:rPr>
                <w:highlight w:val="none"/>
              </w:rPr>
            </w:pPr>
            <w:r>
              <w:rPr>
                <w:highlight w:val="none"/>
              </w:rPr>
              <w:t>31.67%</w:t>
            </w:r>
          </w:p>
        </w:tc>
        <w:tc>
          <w:tcPr>
            <w:tcW w:w="795" w:type="dxa"/>
            <w:vAlign w:val="center"/>
          </w:tcPr>
          <w:p w14:paraId="6BF63609">
            <w:pPr>
              <w:pStyle w:val="22"/>
              <w:bidi w:val="0"/>
              <w:jc w:val="center"/>
              <w:rPr>
                <w:highlight w:val="none"/>
              </w:rPr>
            </w:pPr>
            <w:r>
              <w:rPr>
                <w:highlight w:val="none"/>
              </w:rPr>
              <w:t>0.0277</w:t>
            </w:r>
          </w:p>
        </w:tc>
        <w:tc>
          <w:tcPr>
            <w:tcW w:w="800" w:type="dxa"/>
            <w:vAlign w:val="center"/>
          </w:tcPr>
          <w:p w14:paraId="3A413545">
            <w:pPr>
              <w:pStyle w:val="22"/>
              <w:bidi w:val="0"/>
              <w:jc w:val="center"/>
              <w:rPr>
                <w:highlight w:val="none"/>
              </w:rPr>
            </w:pPr>
            <w:r>
              <w:rPr>
                <w:highlight w:val="none"/>
              </w:rPr>
              <w:t>0.0066</w:t>
            </w:r>
          </w:p>
        </w:tc>
      </w:tr>
      <w:tr w14:paraId="35A41A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4CD400F7">
            <w:pPr>
              <w:pStyle w:val="22"/>
              <w:bidi w:val="0"/>
              <w:jc w:val="center"/>
              <w:rPr>
                <w:highlight w:val="none"/>
                <w:lang w:val="en-US" w:eastAsia="zh-CN"/>
              </w:rPr>
            </w:pPr>
            <w:r>
              <w:rPr>
                <w:highlight w:val="none"/>
              </w:rPr>
              <w:t>31</w:t>
            </w:r>
          </w:p>
        </w:tc>
        <w:tc>
          <w:tcPr>
            <w:tcW w:w="1586" w:type="dxa"/>
            <w:shd w:val="clear" w:color="auto" w:fill="auto"/>
            <w:vAlign w:val="center"/>
          </w:tcPr>
          <w:p w14:paraId="626E08A5">
            <w:pPr>
              <w:pStyle w:val="22"/>
              <w:bidi w:val="0"/>
              <w:jc w:val="center"/>
              <w:rPr>
                <w:highlight w:val="none"/>
              </w:rPr>
            </w:pPr>
            <w:r>
              <w:rPr>
                <w:highlight w:val="none"/>
              </w:rPr>
              <w:t>白顶溪鸲</w:t>
            </w:r>
          </w:p>
          <w:p w14:paraId="0DDA822A">
            <w:pPr>
              <w:pStyle w:val="22"/>
              <w:bidi w:val="0"/>
              <w:jc w:val="center"/>
              <w:rPr>
                <w:i/>
                <w:iCs w:val="0"/>
                <w:highlight w:val="none"/>
              </w:rPr>
            </w:pPr>
            <w:r>
              <w:rPr>
                <w:i/>
                <w:iCs w:val="0"/>
                <w:highlight w:val="none"/>
              </w:rPr>
              <w:t>Phoenicurus</w:t>
            </w:r>
          </w:p>
          <w:p w14:paraId="3653AFB7">
            <w:pPr>
              <w:pStyle w:val="22"/>
              <w:bidi w:val="0"/>
              <w:jc w:val="center"/>
              <w:rPr>
                <w:highlight w:val="none"/>
                <w:lang w:val="en-US" w:eastAsia="zh-CN"/>
              </w:rPr>
            </w:pPr>
            <w:r>
              <w:rPr>
                <w:i/>
                <w:iCs w:val="0"/>
                <w:highlight w:val="none"/>
              </w:rPr>
              <w:t>leucocephalus</w:t>
            </w:r>
          </w:p>
        </w:tc>
        <w:tc>
          <w:tcPr>
            <w:tcW w:w="531" w:type="dxa"/>
            <w:shd w:val="clear" w:color="auto" w:fill="auto"/>
            <w:vAlign w:val="center"/>
          </w:tcPr>
          <w:p w14:paraId="2D3FCD8B">
            <w:pPr>
              <w:pStyle w:val="22"/>
              <w:bidi w:val="0"/>
              <w:jc w:val="center"/>
              <w:rPr>
                <w:highlight w:val="none"/>
                <w:lang w:val="en-US" w:eastAsia="zh-CN"/>
              </w:rPr>
            </w:pPr>
            <w:r>
              <w:rPr>
                <w:highlight w:val="none"/>
              </w:rPr>
              <w:t>14</w:t>
            </w:r>
          </w:p>
        </w:tc>
        <w:tc>
          <w:tcPr>
            <w:tcW w:w="533" w:type="dxa"/>
            <w:shd w:val="clear" w:color="auto" w:fill="auto"/>
            <w:vAlign w:val="center"/>
          </w:tcPr>
          <w:p w14:paraId="57C5DCF2">
            <w:pPr>
              <w:pStyle w:val="22"/>
              <w:bidi w:val="0"/>
              <w:jc w:val="center"/>
              <w:rPr>
                <w:highlight w:val="none"/>
                <w:lang w:val="en-US" w:eastAsia="zh-CN"/>
              </w:rPr>
            </w:pPr>
            <w:r>
              <w:rPr>
                <w:highlight w:val="none"/>
              </w:rPr>
              <w:t>12</w:t>
            </w:r>
          </w:p>
        </w:tc>
        <w:tc>
          <w:tcPr>
            <w:tcW w:w="428" w:type="dxa"/>
            <w:shd w:val="clear" w:color="auto" w:fill="auto"/>
            <w:vAlign w:val="center"/>
          </w:tcPr>
          <w:p w14:paraId="3E6CCA94">
            <w:pPr>
              <w:pStyle w:val="22"/>
              <w:bidi w:val="0"/>
              <w:jc w:val="center"/>
              <w:rPr>
                <w:highlight w:val="none"/>
                <w:lang w:val="en-US" w:eastAsia="zh-CN"/>
              </w:rPr>
            </w:pPr>
            <w:r>
              <w:rPr>
                <w:highlight w:val="none"/>
              </w:rPr>
              <w:t>7</w:t>
            </w:r>
          </w:p>
        </w:tc>
        <w:tc>
          <w:tcPr>
            <w:tcW w:w="428" w:type="dxa"/>
            <w:shd w:val="clear" w:color="auto" w:fill="auto"/>
            <w:vAlign w:val="center"/>
          </w:tcPr>
          <w:p w14:paraId="10CC485D">
            <w:pPr>
              <w:pStyle w:val="22"/>
              <w:bidi w:val="0"/>
              <w:jc w:val="center"/>
              <w:rPr>
                <w:highlight w:val="none"/>
                <w:lang w:val="en-US" w:eastAsia="zh-CN"/>
              </w:rPr>
            </w:pPr>
            <w:r>
              <w:rPr>
                <w:highlight w:val="none"/>
              </w:rPr>
              <w:t>1</w:t>
            </w:r>
          </w:p>
        </w:tc>
        <w:tc>
          <w:tcPr>
            <w:tcW w:w="793" w:type="dxa"/>
            <w:shd w:val="clear" w:color="auto" w:fill="auto"/>
            <w:vAlign w:val="center"/>
          </w:tcPr>
          <w:p w14:paraId="1034E99F">
            <w:pPr>
              <w:pStyle w:val="22"/>
              <w:bidi w:val="0"/>
              <w:jc w:val="center"/>
              <w:rPr>
                <w:highlight w:val="none"/>
                <w:lang w:val="en-US" w:eastAsia="zh-CN"/>
              </w:rPr>
            </w:pPr>
            <w:r>
              <w:rPr>
                <w:highlight w:val="none"/>
              </w:rPr>
              <w:t>0.0486</w:t>
            </w:r>
          </w:p>
        </w:tc>
        <w:tc>
          <w:tcPr>
            <w:tcW w:w="795" w:type="dxa"/>
            <w:shd w:val="clear" w:color="auto" w:fill="auto"/>
            <w:vAlign w:val="center"/>
          </w:tcPr>
          <w:p w14:paraId="032EF8CE">
            <w:pPr>
              <w:pStyle w:val="22"/>
              <w:bidi w:val="0"/>
              <w:jc w:val="center"/>
              <w:rPr>
                <w:highlight w:val="none"/>
                <w:lang w:val="en-US" w:eastAsia="zh-CN"/>
              </w:rPr>
            </w:pPr>
            <w:r>
              <w:rPr>
                <w:highlight w:val="none"/>
              </w:rPr>
              <w:t>16.35</w:t>
            </w:r>
          </w:p>
        </w:tc>
        <w:tc>
          <w:tcPr>
            <w:tcW w:w="970" w:type="dxa"/>
            <w:shd w:val="clear" w:color="auto" w:fill="auto"/>
            <w:vAlign w:val="center"/>
          </w:tcPr>
          <w:p w14:paraId="0D9AA53E">
            <w:pPr>
              <w:pStyle w:val="22"/>
              <w:bidi w:val="0"/>
              <w:jc w:val="center"/>
              <w:rPr>
                <w:highlight w:val="none"/>
                <w:lang w:val="en-US" w:eastAsia="zh-CN"/>
              </w:rPr>
            </w:pPr>
            <w:r>
              <w:rPr>
                <w:highlight w:val="none"/>
              </w:rPr>
              <w:t>31.67%</w:t>
            </w:r>
          </w:p>
        </w:tc>
        <w:tc>
          <w:tcPr>
            <w:tcW w:w="795" w:type="dxa"/>
            <w:shd w:val="clear" w:color="auto" w:fill="auto"/>
            <w:vAlign w:val="center"/>
          </w:tcPr>
          <w:p w14:paraId="5BC7FD3A">
            <w:pPr>
              <w:pStyle w:val="22"/>
              <w:bidi w:val="0"/>
              <w:jc w:val="center"/>
              <w:rPr>
                <w:highlight w:val="none"/>
                <w:lang w:val="en-US" w:eastAsia="zh-CN"/>
              </w:rPr>
            </w:pPr>
            <w:r>
              <w:rPr>
                <w:highlight w:val="none"/>
              </w:rPr>
              <w:t>0.0434</w:t>
            </w:r>
          </w:p>
        </w:tc>
        <w:tc>
          <w:tcPr>
            <w:tcW w:w="800" w:type="dxa"/>
            <w:shd w:val="clear" w:color="auto" w:fill="auto"/>
            <w:vAlign w:val="center"/>
          </w:tcPr>
          <w:p w14:paraId="6A53AA20">
            <w:pPr>
              <w:pStyle w:val="22"/>
              <w:bidi w:val="0"/>
              <w:jc w:val="center"/>
              <w:rPr>
                <w:highlight w:val="none"/>
                <w:lang w:val="en-US" w:eastAsia="zh-CN"/>
              </w:rPr>
            </w:pPr>
            <w:r>
              <w:rPr>
                <w:highlight w:val="none"/>
              </w:rPr>
              <w:t>0.0104</w:t>
            </w:r>
          </w:p>
        </w:tc>
      </w:tr>
      <w:tr w14:paraId="22AD03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4B64C090">
            <w:pPr>
              <w:pStyle w:val="22"/>
              <w:bidi w:val="0"/>
              <w:jc w:val="center"/>
              <w:rPr>
                <w:highlight w:val="none"/>
                <w:lang w:val="en-US" w:eastAsia="zh-CN"/>
              </w:rPr>
            </w:pPr>
            <w:r>
              <w:rPr>
                <w:highlight w:val="none"/>
              </w:rPr>
              <w:t>32</w:t>
            </w:r>
          </w:p>
        </w:tc>
        <w:tc>
          <w:tcPr>
            <w:tcW w:w="1586" w:type="dxa"/>
            <w:shd w:val="clear" w:color="auto" w:fill="auto"/>
            <w:vAlign w:val="center"/>
          </w:tcPr>
          <w:p w14:paraId="0ABD6392">
            <w:pPr>
              <w:pStyle w:val="22"/>
              <w:bidi w:val="0"/>
              <w:jc w:val="center"/>
              <w:rPr>
                <w:i/>
                <w:iCs w:val="0"/>
                <w:highlight w:val="none"/>
              </w:rPr>
            </w:pPr>
            <w:r>
              <w:rPr>
                <w:highlight w:val="none"/>
              </w:rPr>
              <w:t xml:space="preserve">蓝矶鸫  </w:t>
            </w:r>
            <w:r>
              <w:rPr>
                <w:i/>
                <w:iCs w:val="0"/>
                <w:highlight w:val="none"/>
              </w:rPr>
              <w:t>Monticola</w:t>
            </w:r>
          </w:p>
          <w:p w14:paraId="4D35C97A">
            <w:pPr>
              <w:pStyle w:val="22"/>
              <w:bidi w:val="0"/>
              <w:jc w:val="center"/>
              <w:rPr>
                <w:highlight w:val="none"/>
                <w:lang w:val="en-US" w:eastAsia="zh-CN"/>
              </w:rPr>
            </w:pPr>
            <w:r>
              <w:rPr>
                <w:i/>
                <w:iCs w:val="0"/>
                <w:highlight w:val="none"/>
              </w:rPr>
              <w:t>solitarius</w:t>
            </w:r>
          </w:p>
        </w:tc>
        <w:tc>
          <w:tcPr>
            <w:tcW w:w="531" w:type="dxa"/>
            <w:shd w:val="clear" w:color="auto" w:fill="auto"/>
            <w:vAlign w:val="center"/>
          </w:tcPr>
          <w:p w14:paraId="08349BA6">
            <w:pPr>
              <w:pStyle w:val="22"/>
              <w:bidi w:val="0"/>
              <w:jc w:val="center"/>
              <w:rPr>
                <w:highlight w:val="none"/>
                <w:lang w:val="en-US" w:eastAsia="zh-CN"/>
              </w:rPr>
            </w:pPr>
            <w:r>
              <w:rPr>
                <w:highlight w:val="none"/>
              </w:rPr>
              <w:t>5</w:t>
            </w:r>
          </w:p>
        </w:tc>
        <w:tc>
          <w:tcPr>
            <w:tcW w:w="533" w:type="dxa"/>
            <w:shd w:val="clear" w:color="auto" w:fill="auto"/>
            <w:vAlign w:val="center"/>
          </w:tcPr>
          <w:p w14:paraId="4495713B">
            <w:pPr>
              <w:pStyle w:val="22"/>
              <w:bidi w:val="0"/>
              <w:jc w:val="center"/>
              <w:rPr>
                <w:highlight w:val="none"/>
                <w:lang w:val="en-US" w:eastAsia="zh-CN"/>
              </w:rPr>
            </w:pPr>
            <w:r>
              <w:rPr>
                <w:highlight w:val="none"/>
              </w:rPr>
              <w:t>5</w:t>
            </w:r>
          </w:p>
        </w:tc>
        <w:tc>
          <w:tcPr>
            <w:tcW w:w="428" w:type="dxa"/>
            <w:shd w:val="clear" w:color="auto" w:fill="auto"/>
            <w:vAlign w:val="center"/>
          </w:tcPr>
          <w:p w14:paraId="75BEA2EB">
            <w:pPr>
              <w:pStyle w:val="22"/>
              <w:bidi w:val="0"/>
              <w:jc w:val="center"/>
              <w:rPr>
                <w:highlight w:val="none"/>
                <w:lang w:val="en-US" w:eastAsia="zh-CN"/>
              </w:rPr>
            </w:pPr>
            <w:r>
              <w:rPr>
                <w:highlight w:val="none"/>
              </w:rPr>
              <w:t>5</w:t>
            </w:r>
          </w:p>
        </w:tc>
        <w:tc>
          <w:tcPr>
            <w:tcW w:w="428" w:type="dxa"/>
            <w:shd w:val="clear" w:color="auto" w:fill="auto"/>
            <w:vAlign w:val="center"/>
          </w:tcPr>
          <w:p w14:paraId="22BFCBF8">
            <w:pPr>
              <w:pStyle w:val="22"/>
              <w:bidi w:val="0"/>
              <w:jc w:val="center"/>
              <w:rPr>
                <w:highlight w:val="none"/>
                <w:lang w:val="en-US" w:eastAsia="zh-CN"/>
              </w:rPr>
            </w:pPr>
            <w:r>
              <w:rPr>
                <w:highlight w:val="none"/>
              </w:rPr>
              <w:t>2</w:t>
            </w:r>
          </w:p>
        </w:tc>
        <w:tc>
          <w:tcPr>
            <w:tcW w:w="793" w:type="dxa"/>
            <w:shd w:val="clear" w:color="auto" w:fill="auto"/>
            <w:vAlign w:val="center"/>
          </w:tcPr>
          <w:p w14:paraId="352BA7D4">
            <w:pPr>
              <w:pStyle w:val="22"/>
              <w:bidi w:val="0"/>
              <w:jc w:val="center"/>
              <w:rPr>
                <w:highlight w:val="none"/>
                <w:lang w:val="en-US" w:eastAsia="zh-CN"/>
              </w:rPr>
            </w:pPr>
            <w:r>
              <w:rPr>
                <w:highlight w:val="none"/>
              </w:rPr>
              <w:t>0.0174</w:t>
            </w:r>
          </w:p>
        </w:tc>
        <w:tc>
          <w:tcPr>
            <w:tcW w:w="795" w:type="dxa"/>
            <w:shd w:val="clear" w:color="auto" w:fill="auto"/>
            <w:vAlign w:val="center"/>
          </w:tcPr>
          <w:p w14:paraId="4CE3E06C">
            <w:pPr>
              <w:pStyle w:val="22"/>
              <w:bidi w:val="0"/>
              <w:jc w:val="center"/>
              <w:rPr>
                <w:highlight w:val="none"/>
                <w:lang w:val="en-US" w:eastAsia="zh-CN"/>
              </w:rPr>
            </w:pPr>
            <w:r>
              <w:rPr>
                <w:highlight w:val="none"/>
              </w:rPr>
              <w:t>10.08</w:t>
            </w:r>
          </w:p>
        </w:tc>
        <w:tc>
          <w:tcPr>
            <w:tcW w:w="970" w:type="dxa"/>
            <w:shd w:val="clear" w:color="auto" w:fill="auto"/>
            <w:vAlign w:val="center"/>
          </w:tcPr>
          <w:p w14:paraId="5FFF1430">
            <w:pPr>
              <w:pStyle w:val="22"/>
              <w:bidi w:val="0"/>
              <w:jc w:val="center"/>
              <w:rPr>
                <w:highlight w:val="none"/>
                <w:lang w:val="en-US" w:eastAsia="zh-CN"/>
              </w:rPr>
            </w:pPr>
            <w:r>
              <w:rPr>
                <w:highlight w:val="none"/>
              </w:rPr>
              <w:t>48.33%</w:t>
            </w:r>
          </w:p>
        </w:tc>
        <w:tc>
          <w:tcPr>
            <w:tcW w:w="795" w:type="dxa"/>
            <w:shd w:val="clear" w:color="auto" w:fill="auto"/>
            <w:vAlign w:val="center"/>
          </w:tcPr>
          <w:p w14:paraId="6424A44B">
            <w:pPr>
              <w:pStyle w:val="22"/>
              <w:bidi w:val="0"/>
              <w:jc w:val="center"/>
              <w:rPr>
                <w:highlight w:val="none"/>
                <w:lang w:val="en-US" w:eastAsia="zh-CN"/>
              </w:rPr>
            </w:pPr>
            <w:r>
              <w:rPr>
                <w:highlight w:val="none"/>
              </w:rPr>
              <w:t>0.0189</w:t>
            </w:r>
          </w:p>
        </w:tc>
        <w:tc>
          <w:tcPr>
            <w:tcW w:w="800" w:type="dxa"/>
            <w:shd w:val="clear" w:color="auto" w:fill="auto"/>
            <w:vAlign w:val="center"/>
          </w:tcPr>
          <w:p w14:paraId="28BA7855">
            <w:pPr>
              <w:pStyle w:val="22"/>
              <w:bidi w:val="0"/>
              <w:jc w:val="center"/>
              <w:rPr>
                <w:highlight w:val="none"/>
                <w:lang w:val="en-US" w:eastAsia="zh-CN"/>
              </w:rPr>
            </w:pPr>
            <w:r>
              <w:rPr>
                <w:highlight w:val="none"/>
              </w:rPr>
              <w:t>0.0045</w:t>
            </w:r>
          </w:p>
        </w:tc>
      </w:tr>
      <w:tr w14:paraId="003B9B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564F4217">
            <w:pPr>
              <w:pStyle w:val="22"/>
              <w:bidi w:val="0"/>
              <w:jc w:val="center"/>
              <w:rPr>
                <w:highlight w:val="none"/>
                <w:lang w:val="en-US" w:eastAsia="zh-CN"/>
              </w:rPr>
            </w:pPr>
            <w:r>
              <w:rPr>
                <w:highlight w:val="none"/>
              </w:rPr>
              <w:t>33</w:t>
            </w:r>
          </w:p>
        </w:tc>
        <w:tc>
          <w:tcPr>
            <w:tcW w:w="1586" w:type="dxa"/>
            <w:shd w:val="clear" w:color="auto" w:fill="auto"/>
            <w:vAlign w:val="center"/>
          </w:tcPr>
          <w:p w14:paraId="6EB10DE3">
            <w:pPr>
              <w:pStyle w:val="22"/>
              <w:bidi w:val="0"/>
              <w:jc w:val="center"/>
              <w:rPr>
                <w:highlight w:val="none"/>
              </w:rPr>
            </w:pPr>
            <w:r>
              <w:rPr>
                <w:highlight w:val="none"/>
              </w:rPr>
              <w:t>黄腹啄花鸟</w:t>
            </w:r>
          </w:p>
          <w:p w14:paraId="6463019D">
            <w:pPr>
              <w:pStyle w:val="22"/>
              <w:bidi w:val="0"/>
              <w:jc w:val="center"/>
              <w:rPr>
                <w:i/>
                <w:iCs w:val="0"/>
                <w:highlight w:val="none"/>
              </w:rPr>
            </w:pPr>
            <w:r>
              <w:rPr>
                <w:i/>
                <w:iCs w:val="0"/>
                <w:highlight w:val="none"/>
              </w:rPr>
              <w:t>Dicaeum</w:t>
            </w:r>
          </w:p>
          <w:p w14:paraId="0864CD27">
            <w:pPr>
              <w:pStyle w:val="22"/>
              <w:bidi w:val="0"/>
              <w:jc w:val="center"/>
              <w:rPr>
                <w:highlight w:val="none"/>
                <w:lang w:val="en-US" w:eastAsia="zh-CN"/>
              </w:rPr>
            </w:pPr>
            <w:r>
              <w:rPr>
                <w:i/>
                <w:iCs w:val="0"/>
                <w:highlight w:val="none"/>
              </w:rPr>
              <w:t>melanozanthum</w:t>
            </w:r>
          </w:p>
        </w:tc>
        <w:tc>
          <w:tcPr>
            <w:tcW w:w="531" w:type="dxa"/>
            <w:shd w:val="clear" w:color="auto" w:fill="auto"/>
            <w:vAlign w:val="center"/>
          </w:tcPr>
          <w:p w14:paraId="1E0E4D4B">
            <w:pPr>
              <w:pStyle w:val="22"/>
              <w:bidi w:val="0"/>
              <w:jc w:val="center"/>
              <w:rPr>
                <w:highlight w:val="none"/>
                <w:lang w:val="en-US" w:eastAsia="zh-CN"/>
              </w:rPr>
            </w:pPr>
            <w:r>
              <w:rPr>
                <w:highlight w:val="none"/>
              </w:rPr>
              <w:t>1</w:t>
            </w:r>
          </w:p>
        </w:tc>
        <w:tc>
          <w:tcPr>
            <w:tcW w:w="533" w:type="dxa"/>
            <w:shd w:val="clear" w:color="auto" w:fill="auto"/>
            <w:vAlign w:val="center"/>
          </w:tcPr>
          <w:p w14:paraId="2A52154A">
            <w:pPr>
              <w:pStyle w:val="22"/>
              <w:bidi w:val="0"/>
              <w:jc w:val="center"/>
              <w:rPr>
                <w:highlight w:val="none"/>
                <w:lang w:val="en-US" w:eastAsia="zh-CN"/>
              </w:rPr>
            </w:pPr>
            <w:r>
              <w:rPr>
                <w:highlight w:val="none"/>
              </w:rPr>
              <w:t>1</w:t>
            </w:r>
          </w:p>
        </w:tc>
        <w:tc>
          <w:tcPr>
            <w:tcW w:w="428" w:type="dxa"/>
            <w:shd w:val="clear" w:color="auto" w:fill="auto"/>
            <w:vAlign w:val="center"/>
          </w:tcPr>
          <w:p w14:paraId="4AD2D080">
            <w:pPr>
              <w:pStyle w:val="22"/>
              <w:bidi w:val="0"/>
              <w:jc w:val="center"/>
              <w:rPr>
                <w:highlight w:val="none"/>
                <w:lang w:val="en-US" w:eastAsia="zh-CN"/>
              </w:rPr>
            </w:pPr>
            <w:r>
              <w:rPr>
                <w:highlight w:val="none"/>
              </w:rPr>
              <w:t>1</w:t>
            </w:r>
          </w:p>
        </w:tc>
        <w:tc>
          <w:tcPr>
            <w:tcW w:w="428" w:type="dxa"/>
            <w:shd w:val="clear" w:color="auto" w:fill="auto"/>
            <w:vAlign w:val="center"/>
          </w:tcPr>
          <w:p w14:paraId="42EDA044">
            <w:pPr>
              <w:pStyle w:val="22"/>
              <w:bidi w:val="0"/>
              <w:jc w:val="center"/>
              <w:rPr>
                <w:highlight w:val="none"/>
                <w:lang w:val="en-US" w:eastAsia="zh-CN"/>
              </w:rPr>
            </w:pPr>
            <w:r>
              <w:rPr>
                <w:highlight w:val="none"/>
              </w:rPr>
              <w:t>1</w:t>
            </w:r>
          </w:p>
        </w:tc>
        <w:tc>
          <w:tcPr>
            <w:tcW w:w="793" w:type="dxa"/>
            <w:shd w:val="clear" w:color="auto" w:fill="auto"/>
            <w:vAlign w:val="center"/>
          </w:tcPr>
          <w:p w14:paraId="6748D8BA">
            <w:pPr>
              <w:pStyle w:val="22"/>
              <w:bidi w:val="0"/>
              <w:jc w:val="center"/>
              <w:rPr>
                <w:highlight w:val="none"/>
                <w:lang w:val="en-US" w:eastAsia="zh-CN"/>
              </w:rPr>
            </w:pPr>
            <w:r>
              <w:rPr>
                <w:highlight w:val="none"/>
              </w:rPr>
              <w:t>0.0035</w:t>
            </w:r>
          </w:p>
        </w:tc>
        <w:tc>
          <w:tcPr>
            <w:tcW w:w="795" w:type="dxa"/>
            <w:shd w:val="clear" w:color="auto" w:fill="auto"/>
            <w:vAlign w:val="center"/>
          </w:tcPr>
          <w:p w14:paraId="41D804F3">
            <w:pPr>
              <w:pStyle w:val="22"/>
              <w:bidi w:val="0"/>
              <w:jc w:val="center"/>
              <w:rPr>
                <w:highlight w:val="none"/>
                <w:lang w:val="en-US" w:eastAsia="zh-CN"/>
              </w:rPr>
            </w:pPr>
            <w:r>
              <w:rPr>
                <w:highlight w:val="none"/>
              </w:rPr>
              <w:t>2.02</w:t>
            </w:r>
          </w:p>
        </w:tc>
        <w:tc>
          <w:tcPr>
            <w:tcW w:w="970" w:type="dxa"/>
            <w:shd w:val="clear" w:color="auto" w:fill="auto"/>
            <w:vAlign w:val="center"/>
          </w:tcPr>
          <w:p w14:paraId="23EFD7BF">
            <w:pPr>
              <w:pStyle w:val="22"/>
              <w:bidi w:val="0"/>
              <w:jc w:val="center"/>
              <w:rPr>
                <w:highlight w:val="none"/>
                <w:lang w:val="en-US" w:eastAsia="zh-CN"/>
              </w:rPr>
            </w:pPr>
            <w:r>
              <w:rPr>
                <w:highlight w:val="none"/>
              </w:rPr>
              <w:t>21.67%</w:t>
            </w:r>
          </w:p>
        </w:tc>
        <w:tc>
          <w:tcPr>
            <w:tcW w:w="795" w:type="dxa"/>
            <w:shd w:val="clear" w:color="auto" w:fill="auto"/>
            <w:vAlign w:val="center"/>
          </w:tcPr>
          <w:p w14:paraId="2BBAA89E">
            <w:pPr>
              <w:pStyle w:val="22"/>
              <w:bidi w:val="0"/>
              <w:jc w:val="center"/>
              <w:rPr>
                <w:highlight w:val="none"/>
                <w:lang w:val="en-US" w:eastAsia="zh-CN"/>
              </w:rPr>
            </w:pPr>
            <w:r>
              <w:rPr>
                <w:highlight w:val="none"/>
              </w:rPr>
              <w:t>0.0048</w:t>
            </w:r>
          </w:p>
        </w:tc>
        <w:tc>
          <w:tcPr>
            <w:tcW w:w="800" w:type="dxa"/>
            <w:shd w:val="clear" w:color="auto" w:fill="auto"/>
            <w:vAlign w:val="center"/>
          </w:tcPr>
          <w:p w14:paraId="154A7640">
            <w:pPr>
              <w:pStyle w:val="22"/>
              <w:bidi w:val="0"/>
              <w:jc w:val="center"/>
              <w:rPr>
                <w:highlight w:val="none"/>
                <w:lang w:val="en-US" w:eastAsia="zh-CN"/>
              </w:rPr>
            </w:pPr>
            <w:r>
              <w:rPr>
                <w:highlight w:val="none"/>
              </w:rPr>
              <w:t>0.0012</w:t>
            </w:r>
          </w:p>
        </w:tc>
      </w:tr>
      <w:tr w14:paraId="49D27A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45414383">
            <w:pPr>
              <w:pStyle w:val="22"/>
              <w:bidi w:val="0"/>
              <w:jc w:val="center"/>
              <w:rPr>
                <w:highlight w:val="none"/>
                <w:lang w:val="en-US" w:eastAsia="zh-CN"/>
              </w:rPr>
            </w:pPr>
            <w:r>
              <w:rPr>
                <w:highlight w:val="none"/>
              </w:rPr>
              <w:t>34</w:t>
            </w:r>
          </w:p>
        </w:tc>
        <w:tc>
          <w:tcPr>
            <w:tcW w:w="1586" w:type="dxa"/>
            <w:shd w:val="clear" w:color="auto" w:fill="auto"/>
            <w:vAlign w:val="center"/>
          </w:tcPr>
          <w:p w14:paraId="193DF464">
            <w:pPr>
              <w:pStyle w:val="22"/>
              <w:bidi w:val="0"/>
              <w:jc w:val="center"/>
              <w:rPr>
                <w:highlight w:val="none"/>
              </w:rPr>
            </w:pPr>
            <w:r>
              <w:rPr>
                <w:highlight w:val="none"/>
              </w:rPr>
              <w:t>山麻雀</w:t>
            </w:r>
          </w:p>
          <w:p w14:paraId="49F6D4EC">
            <w:pPr>
              <w:pStyle w:val="22"/>
              <w:bidi w:val="0"/>
              <w:jc w:val="center"/>
              <w:rPr>
                <w:i/>
                <w:iCs w:val="0"/>
                <w:highlight w:val="none"/>
              </w:rPr>
            </w:pPr>
            <w:r>
              <w:rPr>
                <w:i/>
                <w:iCs w:val="0"/>
                <w:highlight w:val="none"/>
              </w:rPr>
              <w:t>Passer</w:t>
            </w:r>
          </w:p>
          <w:p w14:paraId="012D3619">
            <w:pPr>
              <w:pStyle w:val="22"/>
              <w:bidi w:val="0"/>
              <w:jc w:val="center"/>
              <w:rPr>
                <w:highlight w:val="none"/>
                <w:lang w:val="en-US" w:eastAsia="zh-CN"/>
              </w:rPr>
            </w:pPr>
            <w:r>
              <w:rPr>
                <w:i/>
                <w:iCs w:val="0"/>
                <w:highlight w:val="none"/>
              </w:rPr>
              <w:t>cinnamomeus</w:t>
            </w:r>
          </w:p>
        </w:tc>
        <w:tc>
          <w:tcPr>
            <w:tcW w:w="531" w:type="dxa"/>
            <w:shd w:val="clear" w:color="auto" w:fill="auto"/>
            <w:vAlign w:val="center"/>
          </w:tcPr>
          <w:p w14:paraId="24E0680C">
            <w:pPr>
              <w:pStyle w:val="22"/>
              <w:bidi w:val="0"/>
              <w:jc w:val="center"/>
              <w:rPr>
                <w:highlight w:val="none"/>
                <w:lang w:val="en-US" w:eastAsia="zh-CN"/>
              </w:rPr>
            </w:pPr>
            <w:r>
              <w:rPr>
                <w:highlight w:val="none"/>
              </w:rPr>
              <w:t>416</w:t>
            </w:r>
          </w:p>
        </w:tc>
        <w:tc>
          <w:tcPr>
            <w:tcW w:w="533" w:type="dxa"/>
            <w:shd w:val="clear" w:color="auto" w:fill="auto"/>
            <w:vAlign w:val="center"/>
          </w:tcPr>
          <w:p w14:paraId="4ABF749E">
            <w:pPr>
              <w:pStyle w:val="22"/>
              <w:bidi w:val="0"/>
              <w:jc w:val="center"/>
              <w:rPr>
                <w:highlight w:val="none"/>
                <w:lang w:val="en-US" w:eastAsia="zh-CN"/>
              </w:rPr>
            </w:pPr>
            <w:r>
              <w:rPr>
                <w:highlight w:val="none"/>
              </w:rPr>
              <w:t>224</w:t>
            </w:r>
          </w:p>
        </w:tc>
        <w:tc>
          <w:tcPr>
            <w:tcW w:w="428" w:type="dxa"/>
            <w:shd w:val="clear" w:color="auto" w:fill="auto"/>
            <w:vAlign w:val="center"/>
          </w:tcPr>
          <w:p w14:paraId="632A4422">
            <w:pPr>
              <w:pStyle w:val="22"/>
              <w:bidi w:val="0"/>
              <w:jc w:val="center"/>
              <w:rPr>
                <w:highlight w:val="none"/>
                <w:lang w:val="en-US" w:eastAsia="zh-CN"/>
              </w:rPr>
            </w:pPr>
            <w:r>
              <w:rPr>
                <w:highlight w:val="none"/>
              </w:rPr>
              <w:t>51</w:t>
            </w:r>
          </w:p>
        </w:tc>
        <w:tc>
          <w:tcPr>
            <w:tcW w:w="428" w:type="dxa"/>
            <w:shd w:val="clear" w:color="auto" w:fill="auto"/>
            <w:vAlign w:val="center"/>
          </w:tcPr>
          <w:p w14:paraId="6FF6D4CB">
            <w:pPr>
              <w:pStyle w:val="22"/>
              <w:bidi w:val="0"/>
              <w:jc w:val="center"/>
              <w:rPr>
                <w:highlight w:val="none"/>
                <w:lang w:val="en-US" w:eastAsia="zh-CN"/>
              </w:rPr>
            </w:pPr>
            <w:r>
              <w:rPr>
                <w:highlight w:val="none"/>
              </w:rPr>
              <w:t>5</w:t>
            </w:r>
          </w:p>
        </w:tc>
        <w:tc>
          <w:tcPr>
            <w:tcW w:w="793" w:type="dxa"/>
            <w:shd w:val="clear" w:color="auto" w:fill="auto"/>
            <w:vAlign w:val="center"/>
          </w:tcPr>
          <w:p w14:paraId="4E948D76">
            <w:pPr>
              <w:pStyle w:val="22"/>
              <w:bidi w:val="0"/>
              <w:jc w:val="center"/>
              <w:rPr>
                <w:highlight w:val="none"/>
                <w:lang w:val="en-US" w:eastAsia="zh-CN"/>
              </w:rPr>
            </w:pPr>
            <w:r>
              <w:rPr>
                <w:highlight w:val="none"/>
              </w:rPr>
              <w:t>1.4444</w:t>
            </w:r>
          </w:p>
        </w:tc>
        <w:tc>
          <w:tcPr>
            <w:tcW w:w="795" w:type="dxa"/>
            <w:shd w:val="clear" w:color="auto" w:fill="auto"/>
            <w:vAlign w:val="center"/>
          </w:tcPr>
          <w:p w14:paraId="624A8CCE">
            <w:pPr>
              <w:pStyle w:val="22"/>
              <w:bidi w:val="0"/>
              <w:jc w:val="center"/>
              <w:rPr>
                <w:highlight w:val="none"/>
                <w:lang w:val="en-US" w:eastAsia="zh-CN"/>
              </w:rPr>
            </w:pPr>
            <w:r>
              <w:rPr>
                <w:highlight w:val="none"/>
              </w:rPr>
              <w:t>209.62</w:t>
            </w:r>
          </w:p>
        </w:tc>
        <w:tc>
          <w:tcPr>
            <w:tcW w:w="970" w:type="dxa"/>
            <w:shd w:val="clear" w:color="auto" w:fill="auto"/>
            <w:vAlign w:val="center"/>
          </w:tcPr>
          <w:p w14:paraId="2FB40086">
            <w:pPr>
              <w:pStyle w:val="22"/>
              <w:bidi w:val="0"/>
              <w:jc w:val="center"/>
              <w:rPr>
                <w:highlight w:val="none"/>
                <w:lang w:val="en-US" w:eastAsia="zh-CN"/>
              </w:rPr>
            </w:pPr>
            <w:r>
              <w:rPr>
                <w:highlight w:val="none"/>
              </w:rPr>
              <w:t>185.00%</w:t>
            </w:r>
          </w:p>
        </w:tc>
        <w:tc>
          <w:tcPr>
            <w:tcW w:w="795" w:type="dxa"/>
            <w:shd w:val="clear" w:color="auto" w:fill="auto"/>
            <w:vAlign w:val="center"/>
          </w:tcPr>
          <w:p w14:paraId="7777AED9">
            <w:pPr>
              <w:pStyle w:val="22"/>
              <w:bidi w:val="0"/>
              <w:jc w:val="center"/>
              <w:rPr>
                <w:highlight w:val="none"/>
                <w:lang w:val="en-US" w:eastAsia="zh-CN"/>
              </w:rPr>
            </w:pPr>
            <w:r>
              <w:rPr>
                <w:highlight w:val="none"/>
              </w:rPr>
              <w:t>0.3551</w:t>
            </w:r>
          </w:p>
        </w:tc>
        <w:tc>
          <w:tcPr>
            <w:tcW w:w="800" w:type="dxa"/>
            <w:shd w:val="clear" w:color="auto" w:fill="auto"/>
            <w:vAlign w:val="center"/>
          </w:tcPr>
          <w:p w14:paraId="49DB7C4D">
            <w:pPr>
              <w:pStyle w:val="22"/>
              <w:bidi w:val="0"/>
              <w:jc w:val="center"/>
              <w:rPr>
                <w:highlight w:val="none"/>
                <w:lang w:val="en-US" w:eastAsia="zh-CN"/>
              </w:rPr>
            </w:pPr>
            <w:r>
              <w:rPr>
                <w:highlight w:val="none"/>
              </w:rPr>
              <w:t>0.0848</w:t>
            </w:r>
          </w:p>
        </w:tc>
      </w:tr>
      <w:tr w14:paraId="090BB5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5EEA0674">
            <w:pPr>
              <w:pStyle w:val="22"/>
              <w:bidi w:val="0"/>
              <w:jc w:val="center"/>
              <w:rPr>
                <w:highlight w:val="none"/>
                <w:lang w:val="en-US" w:eastAsia="zh-CN"/>
              </w:rPr>
            </w:pPr>
            <w:r>
              <w:rPr>
                <w:highlight w:val="none"/>
              </w:rPr>
              <w:t>35</w:t>
            </w:r>
          </w:p>
        </w:tc>
        <w:tc>
          <w:tcPr>
            <w:tcW w:w="1586" w:type="dxa"/>
            <w:shd w:val="clear" w:color="auto" w:fill="auto"/>
            <w:vAlign w:val="center"/>
          </w:tcPr>
          <w:p w14:paraId="657E81D2">
            <w:pPr>
              <w:pStyle w:val="22"/>
              <w:bidi w:val="0"/>
              <w:jc w:val="center"/>
              <w:rPr>
                <w:highlight w:val="none"/>
              </w:rPr>
            </w:pPr>
            <w:r>
              <w:rPr>
                <w:highlight w:val="none"/>
              </w:rPr>
              <w:t>麻雀</w:t>
            </w:r>
          </w:p>
          <w:p w14:paraId="799E9652">
            <w:pPr>
              <w:pStyle w:val="22"/>
              <w:bidi w:val="0"/>
              <w:jc w:val="center"/>
              <w:rPr>
                <w:highlight w:val="none"/>
                <w:lang w:val="en-US" w:eastAsia="zh-CN"/>
              </w:rPr>
            </w:pPr>
            <w:r>
              <w:rPr>
                <w:i/>
                <w:iCs w:val="0"/>
                <w:highlight w:val="none"/>
              </w:rPr>
              <w:t>Passer montanus</w:t>
            </w:r>
          </w:p>
        </w:tc>
        <w:tc>
          <w:tcPr>
            <w:tcW w:w="531" w:type="dxa"/>
            <w:shd w:val="clear" w:color="auto" w:fill="auto"/>
            <w:vAlign w:val="center"/>
          </w:tcPr>
          <w:p w14:paraId="6BCDC6FB">
            <w:pPr>
              <w:pStyle w:val="22"/>
              <w:bidi w:val="0"/>
              <w:jc w:val="center"/>
              <w:rPr>
                <w:highlight w:val="none"/>
                <w:lang w:val="en-US" w:eastAsia="zh-CN"/>
              </w:rPr>
            </w:pPr>
            <w:r>
              <w:rPr>
                <w:highlight w:val="none"/>
              </w:rPr>
              <w:t>41</w:t>
            </w:r>
          </w:p>
        </w:tc>
        <w:tc>
          <w:tcPr>
            <w:tcW w:w="533" w:type="dxa"/>
            <w:shd w:val="clear" w:color="auto" w:fill="auto"/>
            <w:vAlign w:val="center"/>
          </w:tcPr>
          <w:p w14:paraId="0AB627A6">
            <w:pPr>
              <w:pStyle w:val="22"/>
              <w:bidi w:val="0"/>
              <w:jc w:val="center"/>
              <w:rPr>
                <w:highlight w:val="none"/>
                <w:lang w:val="en-US" w:eastAsia="zh-CN"/>
              </w:rPr>
            </w:pPr>
            <w:r>
              <w:rPr>
                <w:highlight w:val="none"/>
              </w:rPr>
              <w:t>21</w:t>
            </w:r>
          </w:p>
        </w:tc>
        <w:tc>
          <w:tcPr>
            <w:tcW w:w="428" w:type="dxa"/>
            <w:shd w:val="clear" w:color="auto" w:fill="auto"/>
            <w:vAlign w:val="center"/>
          </w:tcPr>
          <w:p w14:paraId="47A13AE3">
            <w:pPr>
              <w:pStyle w:val="22"/>
              <w:bidi w:val="0"/>
              <w:jc w:val="center"/>
              <w:rPr>
                <w:highlight w:val="none"/>
                <w:lang w:val="en-US" w:eastAsia="zh-CN"/>
              </w:rPr>
            </w:pPr>
            <w:r>
              <w:rPr>
                <w:highlight w:val="none"/>
              </w:rPr>
              <w:t>9</w:t>
            </w:r>
          </w:p>
        </w:tc>
        <w:tc>
          <w:tcPr>
            <w:tcW w:w="428" w:type="dxa"/>
            <w:shd w:val="clear" w:color="auto" w:fill="auto"/>
            <w:vAlign w:val="center"/>
          </w:tcPr>
          <w:p w14:paraId="296002A2">
            <w:pPr>
              <w:pStyle w:val="22"/>
              <w:bidi w:val="0"/>
              <w:jc w:val="center"/>
              <w:rPr>
                <w:highlight w:val="none"/>
                <w:lang w:val="en-US" w:eastAsia="zh-CN"/>
              </w:rPr>
            </w:pPr>
            <w:r>
              <w:rPr>
                <w:highlight w:val="none"/>
              </w:rPr>
              <w:t>3</w:t>
            </w:r>
          </w:p>
        </w:tc>
        <w:tc>
          <w:tcPr>
            <w:tcW w:w="793" w:type="dxa"/>
            <w:shd w:val="clear" w:color="auto" w:fill="auto"/>
            <w:vAlign w:val="center"/>
          </w:tcPr>
          <w:p w14:paraId="7FBA2E4C">
            <w:pPr>
              <w:pStyle w:val="22"/>
              <w:bidi w:val="0"/>
              <w:jc w:val="center"/>
              <w:rPr>
                <w:highlight w:val="none"/>
                <w:lang w:val="en-US" w:eastAsia="zh-CN"/>
              </w:rPr>
            </w:pPr>
            <w:r>
              <w:rPr>
                <w:highlight w:val="none"/>
              </w:rPr>
              <w:t>0.1424</w:t>
            </w:r>
          </w:p>
        </w:tc>
        <w:tc>
          <w:tcPr>
            <w:tcW w:w="795" w:type="dxa"/>
            <w:shd w:val="clear" w:color="auto" w:fill="auto"/>
            <w:vAlign w:val="center"/>
          </w:tcPr>
          <w:p w14:paraId="06CA9D11">
            <w:pPr>
              <w:pStyle w:val="22"/>
              <w:bidi w:val="0"/>
              <w:jc w:val="center"/>
              <w:rPr>
                <w:highlight w:val="none"/>
                <w:lang w:val="en-US" w:eastAsia="zh-CN"/>
              </w:rPr>
            </w:pPr>
            <w:r>
              <w:rPr>
                <w:highlight w:val="none"/>
              </w:rPr>
              <w:t>27.16</w:t>
            </w:r>
          </w:p>
        </w:tc>
        <w:tc>
          <w:tcPr>
            <w:tcW w:w="970" w:type="dxa"/>
            <w:shd w:val="clear" w:color="auto" w:fill="auto"/>
            <w:vAlign w:val="center"/>
          </w:tcPr>
          <w:p w14:paraId="6DD546AF">
            <w:pPr>
              <w:pStyle w:val="22"/>
              <w:bidi w:val="0"/>
              <w:jc w:val="center"/>
              <w:rPr>
                <w:highlight w:val="none"/>
                <w:lang w:val="en-US" w:eastAsia="zh-CN"/>
              </w:rPr>
            </w:pPr>
            <w:r>
              <w:rPr>
                <w:highlight w:val="none"/>
              </w:rPr>
              <w:t>75.00%</w:t>
            </w:r>
          </w:p>
        </w:tc>
        <w:tc>
          <w:tcPr>
            <w:tcW w:w="795" w:type="dxa"/>
            <w:shd w:val="clear" w:color="auto" w:fill="auto"/>
            <w:vAlign w:val="center"/>
          </w:tcPr>
          <w:p w14:paraId="66CF3D2A">
            <w:pPr>
              <w:pStyle w:val="22"/>
              <w:bidi w:val="0"/>
              <w:jc w:val="center"/>
              <w:rPr>
                <w:highlight w:val="none"/>
                <w:lang w:val="en-US" w:eastAsia="zh-CN"/>
              </w:rPr>
            </w:pPr>
            <w:r>
              <w:rPr>
                <w:highlight w:val="none"/>
              </w:rPr>
              <w:t>0.0979</w:t>
            </w:r>
          </w:p>
        </w:tc>
        <w:tc>
          <w:tcPr>
            <w:tcW w:w="800" w:type="dxa"/>
            <w:shd w:val="clear" w:color="auto" w:fill="auto"/>
            <w:vAlign w:val="center"/>
          </w:tcPr>
          <w:p w14:paraId="406346B4">
            <w:pPr>
              <w:pStyle w:val="22"/>
              <w:bidi w:val="0"/>
              <w:jc w:val="center"/>
              <w:rPr>
                <w:highlight w:val="none"/>
                <w:lang w:val="en-US" w:eastAsia="zh-CN"/>
              </w:rPr>
            </w:pPr>
            <w:r>
              <w:rPr>
                <w:highlight w:val="none"/>
              </w:rPr>
              <w:t>0.0234</w:t>
            </w:r>
          </w:p>
        </w:tc>
      </w:tr>
      <w:tr w14:paraId="39DABB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3975E77F">
            <w:pPr>
              <w:pStyle w:val="22"/>
              <w:bidi w:val="0"/>
              <w:jc w:val="center"/>
              <w:rPr>
                <w:highlight w:val="none"/>
                <w:lang w:val="en-US" w:eastAsia="zh-CN"/>
              </w:rPr>
            </w:pPr>
            <w:r>
              <w:rPr>
                <w:highlight w:val="none"/>
              </w:rPr>
              <w:t>36</w:t>
            </w:r>
          </w:p>
        </w:tc>
        <w:tc>
          <w:tcPr>
            <w:tcW w:w="1586" w:type="dxa"/>
            <w:shd w:val="clear" w:color="auto" w:fill="auto"/>
            <w:vAlign w:val="center"/>
          </w:tcPr>
          <w:p w14:paraId="795C5AF6">
            <w:pPr>
              <w:pStyle w:val="22"/>
              <w:bidi w:val="0"/>
              <w:jc w:val="center"/>
              <w:rPr>
                <w:highlight w:val="none"/>
              </w:rPr>
            </w:pPr>
            <w:r>
              <w:rPr>
                <w:highlight w:val="none"/>
              </w:rPr>
              <w:t>白鹡鸰</w:t>
            </w:r>
          </w:p>
          <w:p w14:paraId="603E0DAA">
            <w:pPr>
              <w:pStyle w:val="22"/>
              <w:bidi w:val="0"/>
              <w:jc w:val="center"/>
              <w:rPr>
                <w:highlight w:val="none"/>
                <w:lang w:val="en-US" w:eastAsia="zh-CN"/>
              </w:rPr>
            </w:pPr>
            <w:r>
              <w:rPr>
                <w:i/>
                <w:iCs w:val="0"/>
                <w:highlight w:val="none"/>
              </w:rPr>
              <w:t>Motacilla alba</w:t>
            </w:r>
          </w:p>
        </w:tc>
        <w:tc>
          <w:tcPr>
            <w:tcW w:w="531" w:type="dxa"/>
            <w:shd w:val="clear" w:color="auto" w:fill="auto"/>
            <w:vAlign w:val="center"/>
          </w:tcPr>
          <w:p w14:paraId="1BCC6AC1">
            <w:pPr>
              <w:pStyle w:val="22"/>
              <w:bidi w:val="0"/>
              <w:jc w:val="center"/>
              <w:rPr>
                <w:highlight w:val="none"/>
                <w:lang w:val="en-US" w:eastAsia="zh-CN"/>
              </w:rPr>
            </w:pPr>
            <w:r>
              <w:rPr>
                <w:highlight w:val="none"/>
              </w:rPr>
              <w:t>38</w:t>
            </w:r>
          </w:p>
        </w:tc>
        <w:tc>
          <w:tcPr>
            <w:tcW w:w="533" w:type="dxa"/>
            <w:shd w:val="clear" w:color="auto" w:fill="auto"/>
            <w:vAlign w:val="center"/>
          </w:tcPr>
          <w:p w14:paraId="4D43099B">
            <w:pPr>
              <w:pStyle w:val="22"/>
              <w:bidi w:val="0"/>
              <w:jc w:val="center"/>
              <w:rPr>
                <w:highlight w:val="none"/>
                <w:lang w:val="en-US" w:eastAsia="zh-CN"/>
              </w:rPr>
            </w:pPr>
            <w:r>
              <w:rPr>
                <w:highlight w:val="none"/>
              </w:rPr>
              <w:t>34</w:t>
            </w:r>
          </w:p>
        </w:tc>
        <w:tc>
          <w:tcPr>
            <w:tcW w:w="428" w:type="dxa"/>
            <w:shd w:val="clear" w:color="auto" w:fill="auto"/>
            <w:vAlign w:val="center"/>
          </w:tcPr>
          <w:p w14:paraId="4768D80E">
            <w:pPr>
              <w:pStyle w:val="22"/>
              <w:bidi w:val="0"/>
              <w:jc w:val="center"/>
              <w:rPr>
                <w:highlight w:val="none"/>
                <w:lang w:val="en-US" w:eastAsia="zh-CN"/>
              </w:rPr>
            </w:pPr>
            <w:r>
              <w:rPr>
                <w:highlight w:val="none"/>
              </w:rPr>
              <w:t>23</w:t>
            </w:r>
          </w:p>
        </w:tc>
        <w:tc>
          <w:tcPr>
            <w:tcW w:w="428" w:type="dxa"/>
            <w:shd w:val="clear" w:color="auto" w:fill="auto"/>
            <w:vAlign w:val="center"/>
          </w:tcPr>
          <w:p w14:paraId="4AE771E1">
            <w:pPr>
              <w:pStyle w:val="22"/>
              <w:bidi w:val="0"/>
              <w:jc w:val="center"/>
              <w:rPr>
                <w:highlight w:val="none"/>
                <w:lang w:val="en-US" w:eastAsia="zh-CN"/>
              </w:rPr>
            </w:pPr>
            <w:r>
              <w:rPr>
                <w:highlight w:val="none"/>
              </w:rPr>
              <w:t>3</w:t>
            </w:r>
          </w:p>
        </w:tc>
        <w:tc>
          <w:tcPr>
            <w:tcW w:w="793" w:type="dxa"/>
            <w:shd w:val="clear" w:color="auto" w:fill="auto"/>
            <w:vAlign w:val="center"/>
          </w:tcPr>
          <w:p w14:paraId="50B304C8">
            <w:pPr>
              <w:pStyle w:val="22"/>
              <w:bidi w:val="0"/>
              <w:jc w:val="center"/>
              <w:rPr>
                <w:highlight w:val="none"/>
                <w:lang w:val="en-US" w:eastAsia="zh-CN"/>
              </w:rPr>
            </w:pPr>
            <w:r>
              <w:rPr>
                <w:highlight w:val="none"/>
              </w:rPr>
              <w:t>0.1319</w:t>
            </w:r>
          </w:p>
        </w:tc>
        <w:tc>
          <w:tcPr>
            <w:tcW w:w="795" w:type="dxa"/>
            <w:shd w:val="clear" w:color="auto" w:fill="auto"/>
            <w:vAlign w:val="center"/>
          </w:tcPr>
          <w:p w14:paraId="02213294">
            <w:pPr>
              <w:pStyle w:val="22"/>
              <w:bidi w:val="0"/>
              <w:jc w:val="center"/>
              <w:rPr>
                <w:highlight w:val="none"/>
                <w:lang w:val="en-US" w:eastAsia="zh-CN"/>
              </w:rPr>
            </w:pPr>
            <w:r>
              <w:rPr>
                <w:highlight w:val="none"/>
              </w:rPr>
              <w:t>51.20</w:t>
            </w:r>
          </w:p>
        </w:tc>
        <w:tc>
          <w:tcPr>
            <w:tcW w:w="970" w:type="dxa"/>
            <w:shd w:val="clear" w:color="auto" w:fill="auto"/>
            <w:vAlign w:val="center"/>
          </w:tcPr>
          <w:p w14:paraId="18554EB0">
            <w:pPr>
              <w:pStyle w:val="22"/>
              <w:bidi w:val="0"/>
              <w:jc w:val="center"/>
              <w:rPr>
                <w:highlight w:val="none"/>
                <w:lang w:val="en-US" w:eastAsia="zh-CN"/>
              </w:rPr>
            </w:pPr>
            <w:r>
              <w:rPr>
                <w:highlight w:val="none"/>
              </w:rPr>
              <w:t>98.33%</w:t>
            </w:r>
          </w:p>
        </w:tc>
        <w:tc>
          <w:tcPr>
            <w:tcW w:w="795" w:type="dxa"/>
            <w:shd w:val="clear" w:color="auto" w:fill="auto"/>
            <w:vAlign w:val="center"/>
          </w:tcPr>
          <w:p w14:paraId="06B3B777">
            <w:pPr>
              <w:pStyle w:val="22"/>
              <w:bidi w:val="0"/>
              <w:jc w:val="center"/>
              <w:rPr>
                <w:highlight w:val="none"/>
                <w:lang w:val="en-US" w:eastAsia="zh-CN"/>
              </w:rPr>
            </w:pPr>
            <w:r>
              <w:rPr>
                <w:highlight w:val="none"/>
              </w:rPr>
              <w:t>0.0926</w:t>
            </w:r>
          </w:p>
        </w:tc>
        <w:tc>
          <w:tcPr>
            <w:tcW w:w="800" w:type="dxa"/>
            <w:shd w:val="clear" w:color="auto" w:fill="auto"/>
            <w:vAlign w:val="center"/>
          </w:tcPr>
          <w:p w14:paraId="5BA14C4E">
            <w:pPr>
              <w:pStyle w:val="22"/>
              <w:bidi w:val="0"/>
              <w:jc w:val="center"/>
              <w:rPr>
                <w:highlight w:val="none"/>
                <w:lang w:val="en-US" w:eastAsia="zh-CN"/>
              </w:rPr>
            </w:pPr>
            <w:r>
              <w:rPr>
                <w:highlight w:val="none"/>
              </w:rPr>
              <w:t>0.0221</w:t>
            </w:r>
          </w:p>
        </w:tc>
      </w:tr>
      <w:tr w14:paraId="15A08C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3FA3BFC9">
            <w:pPr>
              <w:pStyle w:val="22"/>
              <w:bidi w:val="0"/>
              <w:jc w:val="center"/>
              <w:rPr>
                <w:highlight w:val="none"/>
                <w:lang w:val="en-US" w:eastAsia="zh-CN"/>
              </w:rPr>
            </w:pPr>
            <w:r>
              <w:rPr>
                <w:highlight w:val="none"/>
              </w:rPr>
              <w:t>37</w:t>
            </w:r>
          </w:p>
        </w:tc>
        <w:tc>
          <w:tcPr>
            <w:tcW w:w="1586" w:type="dxa"/>
            <w:shd w:val="clear" w:color="auto" w:fill="auto"/>
            <w:vAlign w:val="center"/>
          </w:tcPr>
          <w:p w14:paraId="0D0B1007">
            <w:pPr>
              <w:pStyle w:val="22"/>
              <w:bidi w:val="0"/>
              <w:jc w:val="center"/>
              <w:rPr>
                <w:highlight w:val="none"/>
              </w:rPr>
            </w:pPr>
            <w:r>
              <w:rPr>
                <w:highlight w:val="none"/>
              </w:rPr>
              <w:t>白斑翅拟蜡嘴雀</w:t>
            </w:r>
          </w:p>
          <w:p w14:paraId="3ED3EF27">
            <w:pPr>
              <w:pStyle w:val="22"/>
              <w:bidi w:val="0"/>
              <w:jc w:val="center"/>
              <w:rPr>
                <w:i/>
                <w:iCs w:val="0"/>
                <w:highlight w:val="none"/>
              </w:rPr>
            </w:pPr>
            <w:r>
              <w:rPr>
                <w:i/>
                <w:iCs w:val="0"/>
                <w:highlight w:val="none"/>
              </w:rPr>
              <w:t>Mycerobas</w:t>
            </w:r>
          </w:p>
          <w:p w14:paraId="1A9E2F24">
            <w:pPr>
              <w:pStyle w:val="22"/>
              <w:bidi w:val="0"/>
              <w:jc w:val="center"/>
              <w:rPr>
                <w:highlight w:val="none"/>
                <w:lang w:val="en-US" w:eastAsia="zh-CN"/>
              </w:rPr>
            </w:pPr>
            <w:r>
              <w:rPr>
                <w:i/>
                <w:iCs w:val="0"/>
                <w:highlight w:val="none"/>
              </w:rPr>
              <w:t>carnipes</w:t>
            </w:r>
          </w:p>
        </w:tc>
        <w:tc>
          <w:tcPr>
            <w:tcW w:w="531" w:type="dxa"/>
            <w:shd w:val="clear" w:color="auto" w:fill="auto"/>
            <w:vAlign w:val="center"/>
          </w:tcPr>
          <w:p w14:paraId="2D35049D">
            <w:pPr>
              <w:pStyle w:val="22"/>
              <w:bidi w:val="0"/>
              <w:jc w:val="center"/>
              <w:rPr>
                <w:highlight w:val="none"/>
                <w:lang w:val="en-US" w:eastAsia="zh-CN"/>
              </w:rPr>
            </w:pPr>
            <w:r>
              <w:rPr>
                <w:highlight w:val="none"/>
              </w:rPr>
              <w:t>2</w:t>
            </w:r>
          </w:p>
        </w:tc>
        <w:tc>
          <w:tcPr>
            <w:tcW w:w="533" w:type="dxa"/>
            <w:shd w:val="clear" w:color="auto" w:fill="auto"/>
            <w:vAlign w:val="center"/>
          </w:tcPr>
          <w:p w14:paraId="25D1829D">
            <w:pPr>
              <w:pStyle w:val="22"/>
              <w:bidi w:val="0"/>
              <w:jc w:val="center"/>
              <w:rPr>
                <w:highlight w:val="none"/>
                <w:lang w:val="en-US" w:eastAsia="zh-CN"/>
              </w:rPr>
            </w:pPr>
            <w:r>
              <w:rPr>
                <w:highlight w:val="none"/>
              </w:rPr>
              <w:t>1</w:t>
            </w:r>
          </w:p>
        </w:tc>
        <w:tc>
          <w:tcPr>
            <w:tcW w:w="428" w:type="dxa"/>
            <w:shd w:val="clear" w:color="auto" w:fill="auto"/>
            <w:vAlign w:val="center"/>
          </w:tcPr>
          <w:p w14:paraId="6ED846F3">
            <w:pPr>
              <w:pStyle w:val="22"/>
              <w:bidi w:val="0"/>
              <w:jc w:val="center"/>
              <w:rPr>
                <w:highlight w:val="none"/>
                <w:lang w:val="en-US" w:eastAsia="zh-CN"/>
              </w:rPr>
            </w:pPr>
            <w:r>
              <w:rPr>
                <w:highlight w:val="none"/>
              </w:rPr>
              <w:t>1</w:t>
            </w:r>
          </w:p>
        </w:tc>
        <w:tc>
          <w:tcPr>
            <w:tcW w:w="428" w:type="dxa"/>
            <w:shd w:val="clear" w:color="auto" w:fill="auto"/>
            <w:vAlign w:val="center"/>
          </w:tcPr>
          <w:p w14:paraId="440D30FC">
            <w:pPr>
              <w:pStyle w:val="22"/>
              <w:bidi w:val="0"/>
              <w:jc w:val="center"/>
              <w:rPr>
                <w:highlight w:val="none"/>
                <w:lang w:val="en-US" w:eastAsia="zh-CN"/>
              </w:rPr>
            </w:pPr>
            <w:r>
              <w:rPr>
                <w:highlight w:val="none"/>
              </w:rPr>
              <w:t>1</w:t>
            </w:r>
          </w:p>
        </w:tc>
        <w:tc>
          <w:tcPr>
            <w:tcW w:w="793" w:type="dxa"/>
            <w:shd w:val="clear" w:color="auto" w:fill="auto"/>
            <w:vAlign w:val="center"/>
          </w:tcPr>
          <w:p w14:paraId="4FED1B10">
            <w:pPr>
              <w:pStyle w:val="22"/>
              <w:bidi w:val="0"/>
              <w:jc w:val="center"/>
              <w:rPr>
                <w:highlight w:val="none"/>
                <w:lang w:val="en-US" w:eastAsia="zh-CN"/>
              </w:rPr>
            </w:pPr>
            <w:r>
              <w:rPr>
                <w:highlight w:val="none"/>
              </w:rPr>
              <w:t>0.0069</w:t>
            </w:r>
          </w:p>
        </w:tc>
        <w:tc>
          <w:tcPr>
            <w:tcW w:w="795" w:type="dxa"/>
            <w:shd w:val="clear" w:color="auto" w:fill="auto"/>
            <w:vAlign w:val="center"/>
          </w:tcPr>
          <w:p w14:paraId="1E1CABEF">
            <w:pPr>
              <w:pStyle w:val="22"/>
              <w:bidi w:val="0"/>
              <w:jc w:val="center"/>
              <w:rPr>
                <w:highlight w:val="none"/>
                <w:lang w:val="en-US" w:eastAsia="zh-CN"/>
              </w:rPr>
            </w:pPr>
            <w:r>
              <w:rPr>
                <w:highlight w:val="none"/>
              </w:rPr>
              <w:t>2.26</w:t>
            </w:r>
          </w:p>
        </w:tc>
        <w:tc>
          <w:tcPr>
            <w:tcW w:w="970" w:type="dxa"/>
            <w:shd w:val="clear" w:color="auto" w:fill="auto"/>
            <w:vAlign w:val="center"/>
          </w:tcPr>
          <w:p w14:paraId="010B19DD">
            <w:pPr>
              <w:pStyle w:val="22"/>
              <w:bidi w:val="0"/>
              <w:jc w:val="center"/>
              <w:rPr>
                <w:highlight w:val="none"/>
                <w:lang w:val="en-US" w:eastAsia="zh-CN"/>
              </w:rPr>
            </w:pPr>
            <w:r>
              <w:rPr>
                <w:highlight w:val="none"/>
              </w:rPr>
              <w:t>21.67%</w:t>
            </w:r>
          </w:p>
        </w:tc>
        <w:tc>
          <w:tcPr>
            <w:tcW w:w="795" w:type="dxa"/>
            <w:shd w:val="clear" w:color="auto" w:fill="auto"/>
            <w:vAlign w:val="center"/>
          </w:tcPr>
          <w:p w14:paraId="1DE54E8E">
            <w:pPr>
              <w:pStyle w:val="22"/>
              <w:bidi w:val="0"/>
              <w:jc w:val="center"/>
              <w:rPr>
                <w:highlight w:val="none"/>
                <w:lang w:val="en-US" w:eastAsia="zh-CN"/>
              </w:rPr>
            </w:pPr>
            <w:r>
              <w:rPr>
                <w:highlight w:val="none"/>
              </w:rPr>
              <w:t>0.0088</w:t>
            </w:r>
          </w:p>
        </w:tc>
        <w:tc>
          <w:tcPr>
            <w:tcW w:w="800" w:type="dxa"/>
            <w:shd w:val="clear" w:color="auto" w:fill="auto"/>
            <w:vAlign w:val="center"/>
          </w:tcPr>
          <w:p w14:paraId="7A0862E5">
            <w:pPr>
              <w:pStyle w:val="22"/>
              <w:bidi w:val="0"/>
              <w:jc w:val="center"/>
              <w:rPr>
                <w:highlight w:val="none"/>
                <w:lang w:val="en-US" w:eastAsia="zh-CN"/>
              </w:rPr>
            </w:pPr>
            <w:r>
              <w:rPr>
                <w:highlight w:val="none"/>
              </w:rPr>
              <w:t>0.0021</w:t>
            </w:r>
          </w:p>
        </w:tc>
      </w:tr>
      <w:tr w14:paraId="0D9D77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1E42B191">
            <w:pPr>
              <w:pStyle w:val="22"/>
              <w:bidi w:val="0"/>
              <w:jc w:val="center"/>
              <w:rPr>
                <w:highlight w:val="none"/>
                <w:lang w:val="en-US" w:eastAsia="zh-CN"/>
              </w:rPr>
            </w:pPr>
            <w:r>
              <w:rPr>
                <w:highlight w:val="none"/>
              </w:rPr>
              <w:t>38</w:t>
            </w:r>
          </w:p>
        </w:tc>
        <w:tc>
          <w:tcPr>
            <w:tcW w:w="1586" w:type="dxa"/>
            <w:shd w:val="clear" w:color="auto" w:fill="auto"/>
            <w:vAlign w:val="center"/>
          </w:tcPr>
          <w:p w14:paraId="7252F615">
            <w:pPr>
              <w:pStyle w:val="22"/>
              <w:bidi w:val="0"/>
              <w:jc w:val="center"/>
              <w:rPr>
                <w:highlight w:val="none"/>
              </w:rPr>
            </w:pPr>
            <w:r>
              <w:rPr>
                <w:highlight w:val="none"/>
              </w:rPr>
              <w:t>红眉朱雀</w:t>
            </w:r>
          </w:p>
          <w:p w14:paraId="69BD13B5">
            <w:pPr>
              <w:pStyle w:val="22"/>
              <w:bidi w:val="0"/>
              <w:jc w:val="center"/>
              <w:rPr>
                <w:i/>
                <w:iCs w:val="0"/>
                <w:highlight w:val="none"/>
              </w:rPr>
            </w:pPr>
            <w:r>
              <w:rPr>
                <w:i/>
                <w:iCs w:val="0"/>
                <w:highlight w:val="none"/>
              </w:rPr>
              <w:t>Carpodacus</w:t>
            </w:r>
          </w:p>
          <w:p w14:paraId="68CD81E9">
            <w:pPr>
              <w:pStyle w:val="22"/>
              <w:bidi w:val="0"/>
              <w:jc w:val="center"/>
              <w:rPr>
                <w:highlight w:val="none"/>
                <w:lang w:val="en-US" w:eastAsia="zh-CN"/>
              </w:rPr>
            </w:pPr>
            <w:r>
              <w:rPr>
                <w:i/>
                <w:iCs w:val="0"/>
                <w:highlight w:val="none"/>
              </w:rPr>
              <w:t>pulcherrimus</w:t>
            </w:r>
          </w:p>
        </w:tc>
        <w:tc>
          <w:tcPr>
            <w:tcW w:w="531" w:type="dxa"/>
            <w:shd w:val="clear" w:color="auto" w:fill="auto"/>
            <w:vAlign w:val="center"/>
          </w:tcPr>
          <w:p w14:paraId="48FB78F9">
            <w:pPr>
              <w:pStyle w:val="22"/>
              <w:bidi w:val="0"/>
              <w:jc w:val="center"/>
              <w:rPr>
                <w:highlight w:val="none"/>
                <w:lang w:val="en-US" w:eastAsia="zh-CN"/>
              </w:rPr>
            </w:pPr>
            <w:r>
              <w:rPr>
                <w:highlight w:val="none"/>
              </w:rPr>
              <w:t>61</w:t>
            </w:r>
          </w:p>
        </w:tc>
        <w:tc>
          <w:tcPr>
            <w:tcW w:w="533" w:type="dxa"/>
            <w:shd w:val="clear" w:color="auto" w:fill="auto"/>
            <w:vAlign w:val="center"/>
          </w:tcPr>
          <w:p w14:paraId="3707E707">
            <w:pPr>
              <w:pStyle w:val="22"/>
              <w:bidi w:val="0"/>
              <w:jc w:val="center"/>
              <w:rPr>
                <w:highlight w:val="none"/>
                <w:lang w:val="en-US" w:eastAsia="zh-CN"/>
              </w:rPr>
            </w:pPr>
            <w:r>
              <w:rPr>
                <w:highlight w:val="none"/>
              </w:rPr>
              <w:t>23</w:t>
            </w:r>
          </w:p>
        </w:tc>
        <w:tc>
          <w:tcPr>
            <w:tcW w:w="428" w:type="dxa"/>
            <w:shd w:val="clear" w:color="auto" w:fill="auto"/>
            <w:vAlign w:val="center"/>
          </w:tcPr>
          <w:p w14:paraId="1F10B1A2">
            <w:pPr>
              <w:pStyle w:val="22"/>
              <w:bidi w:val="0"/>
              <w:jc w:val="center"/>
              <w:rPr>
                <w:highlight w:val="none"/>
                <w:lang w:val="en-US" w:eastAsia="zh-CN"/>
              </w:rPr>
            </w:pPr>
            <w:r>
              <w:rPr>
                <w:highlight w:val="none"/>
              </w:rPr>
              <w:t>15</w:t>
            </w:r>
          </w:p>
        </w:tc>
        <w:tc>
          <w:tcPr>
            <w:tcW w:w="428" w:type="dxa"/>
            <w:shd w:val="clear" w:color="auto" w:fill="auto"/>
            <w:vAlign w:val="center"/>
          </w:tcPr>
          <w:p w14:paraId="75E0C3D0">
            <w:pPr>
              <w:pStyle w:val="22"/>
              <w:bidi w:val="0"/>
              <w:jc w:val="center"/>
              <w:rPr>
                <w:highlight w:val="none"/>
                <w:lang w:val="en-US" w:eastAsia="zh-CN"/>
              </w:rPr>
            </w:pPr>
            <w:r>
              <w:rPr>
                <w:highlight w:val="none"/>
              </w:rPr>
              <w:t>2</w:t>
            </w:r>
          </w:p>
        </w:tc>
        <w:tc>
          <w:tcPr>
            <w:tcW w:w="793" w:type="dxa"/>
            <w:shd w:val="clear" w:color="auto" w:fill="auto"/>
            <w:vAlign w:val="center"/>
          </w:tcPr>
          <w:p w14:paraId="76BE3573">
            <w:pPr>
              <w:pStyle w:val="22"/>
              <w:bidi w:val="0"/>
              <w:jc w:val="center"/>
              <w:rPr>
                <w:highlight w:val="none"/>
                <w:lang w:val="en-US" w:eastAsia="zh-CN"/>
              </w:rPr>
            </w:pPr>
            <w:r>
              <w:rPr>
                <w:highlight w:val="none"/>
              </w:rPr>
              <w:t>0.2118</w:t>
            </w:r>
          </w:p>
        </w:tc>
        <w:tc>
          <w:tcPr>
            <w:tcW w:w="795" w:type="dxa"/>
            <w:shd w:val="clear" w:color="auto" w:fill="auto"/>
            <w:vAlign w:val="center"/>
          </w:tcPr>
          <w:p w14:paraId="12B3DB64">
            <w:pPr>
              <w:pStyle w:val="22"/>
              <w:bidi w:val="0"/>
              <w:jc w:val="center"/>
              <w:rPr>
                <w:highlight w:val="none"/>
                <w:lang w:val="en-US" w:eastAsia="zh-CN"/>
              </w:rPr>
            </w:pPr>
            <w:r>
              <w:rPr>
                <w:highlight w:val="none"/>
              </w:rPr>
              <w:t>42.19</w:t>
            </w:r>
          </w:p>
        </w:tc>
        <w:tc>
          <w:tcPr>
            <w:tcW w:w="970" w:type="dxa"/>
            <w:shd w:val="clear" w:color="auto" w:fill="auto"/>
            <w:vAlign w:val="center"/>
          </w:tcPr>
          <w:p w14:paraId="6F5371F0">
            <w:pPr>
              <w:pStyle w:val="22"/>
              <w:bidi w:val="0"/>
              <w:jc w:val="center"/>
              <w:rPr>
                <w:highlight w:val="none"/>
                <w:lang w:val="en-US" w:eastAsia="zh-CN"/>
              </w:rPr>
            </w:pPr>
            <w:r>
              <w:rPr>
                <w:highlight w:val="none"/>
              </w:rPr>
              <w:t>65.00%</w:t>
            </w:r>
          </w:p>
        </w:tc>
        <w:tc>
          <w:tcPr>
            <w:tcW w:w="795" w:type="dxa"/>
            <w:shd w:val="clear" w:color="auto" w:fill="auto"/>
            <w:vAlign w:val="center"/>
          </w:tcPr>
          <w:p w14:paraId="1D495A9B">
            <w:pPr>
              <w:pStyle w:val="22"/>
              <w:bidi w:val="0"/>
              <w:jc w:val="center"/>
              <w:rPr>
                <w:highlight w:val="none"/>
                <w:lang w:val="en-US" w:eastAsia="zh-CN"/>
              </w:rPr>
            </w:pPr>
            <w:r>
              <w:rPr>
                <w:highlight w:val="none"/>
              </w:rPr>
              <w:t>0.1296</w:t>
            </w:r>
          </w:p>
        </w:tc>
        <w:tc>
          <w:tcPr>
            <w:tcW w:w="800" w:type="dxa"/>
            <w:shd w:val="clear" w:color="auto" w:fill="auto"/>
            <w:vAlign w:val="center"/>
          </w:tcPr>
          <w:p w14:paraId="43D8B0DF">
            <w:pPr>
              <w:pStyle w:val="22"/>
              <w:bidi w:val="0"/>
              <w:jc w:val="center"/>
              <w:rPr>
                <w:highlight w:val="none"/>
                <w:lang w:val="en-US" w:eastAsia="zh-CN"/>
              </w:rPr>
            </w:pPr>
            <w:r>
              <w:rPr>
                <w:highlight w:val="none"/>
              </w:rPr>
              <w:t>0.0309</w:t>
            </w:r>
          </w:p>
        </w:tc>
      </w:tr>
      <w:tr w14:paraId="3DA19D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15F47CD4">
            <w:pPr>
              <w:pStyle w:val="22"/>
              <w:bidi w:val="0"/>
              <w:jc w:val="center"/>
              <w:rPr>
                <w:highlight w:val="none"/>
                <w:lang w:val="en-US" w:eastAsia="zh-CN"/>
              </w:rPr>
            </w:pPr>
            <w:r>
              <w:rPr>
                <w:highlight w:val="none"/>
              </w:rPr>
              <w:t>39</w:t>
            </w:r>
          </w:p>
        </w:tc>
        <w:tc>
          <w:tcPr>
            <w:tcW w:w="1586" w:type="dxa"/>
            <w:shd w:val="clear" w:color="auto" w:fill="auto"/>
            <w:vAlign w:val="center"/>
          </w:tcPr>
          <w:p w14:paraId="6631D531">
            <w:pPr>
              <w:pStyle w:val="22"/>
              <w:bidi w:val="0"/>
              <w:jc w:val="center"/>
              <w:rPr>
                <w:i/>
                <w:iCs w:val="0"/>
                <w:highlight w:val="none"/>
              </w:rPr>
            </w:pPr>
            <w:r>
              <w:rPr>
                <w:highlight w:val="none"/>
              </w:rPr>
              <w:t xml:space="preserve">斑翅朱雀  </w:t>
            </w:r>
            <w:r>
              <w:rPr>
                <w:i/>
                <w:iCs w:val="0"/>
                <w:highlight w:val="none"/>
              </w:rPr>
              <w:t>Carpodacus</w:t>
            </w:r>
          </w:p>
          <w:p w14:paraId="7D3749FF">
            <w:pPr>
              <w:pStyle w:val="22"/>
              <w:bidi w:val="0"/>
              <w:jc w:val="center"/>
              <w:rPr>
                <w:highlight w:val="none"/>
                <w:lang w:val="en-US" w:eastAsia="zh-CN"/>
              </w:rPr>
            </w:pPr>
            <w:r>
              <w:rPr>
                <w:i/>
                <w:iCs w:val="0"/>
                <w:highlight w:val="none"/>
              </w:rPr>
              <w:t>trifasciatus</w:t>
            </w:r>
          </w:p>
        </w:tc>
        <w:tc>
          <w:tcPr>
            <w:tcW w:w="531" w:type="dxa"/>
            <w:shd w:val="clear" w:color="auto" w:fill="auto"/>
            <w:vAlign w:val="center"/>
          </w:tcPr>
          <w:p w14:paraId="1E96C05B">
            <w:pPr>
              <w:pStyle w:val="22"/>
              <w:bidi w:val="0"/>
              <w:jc w:val="center"/>
              <w:rPr>
                <w:highlight w:val="none"/>
                <w:lang w:val="en-US" w:eastAsia="zh-CN"/>
              </w:rPr>
            </w:pPr>
            <w:r>
              <w:rPr>
                <w:highlight w:val="none"/>
              </w:rPr>
              <w:t>4</w:t>
            </w:r>
          </w:p>
        </w:tc>
        <w:tc>
          <w:tcPr>
            <w:tcW w:w="533" w:type="dxa"/>
            <w:shd w:val="clear" w:color="auto" w:fill="auto"/>
            <w:vAlign w:val="center"/>
          </w:tcPr>
          <w:p w14:paraId="0072898E">
            <w:pPr>
              <w:pStyle w:val="22"/>
              <w:bidi w:val="0"/>
              <w:jc w:val="center"/>
              <w:rPr>
                <w:highlight w:val="none"/>
                <w:lang w:val="en-US" w:eastAsia="zh-CN"/>
              </w:rPr>
            </w:pPr>
            <w:r>
              <w:rPr>
                <w:highlight w:val="none"/>
              </w:rPr>
              <w:t>2</w:t>
            </w:r>
          </w:p>
        </w:tc>
        <w:tc>
          <w:tcPr>
            <w:tcW w:w="428" w:type="dxa"/>
            <w:shd w:val="clear" w:color="auto" w:fill="auto"/>
            <w:vAlign w:val="center"/>
          </w:tcPr>
          <w:p w14:paraId="2BA3F3B3">
            <w:pPr>
              <w:pStyle w:val="22"/>
              <w:bidi w:val="0"/>
              <w:jc w:val="center"/>
              <w:rPr>
                <w:highlight w:val="none"/>
                <w:lang w:val="en-US" w:eastAsia="zh-CN"/>
              </w:rPr>
            </w:pPr>
            <w:r>
              <w:rPr>
                <w:highlight w:val="none"/>
              </w:rPr>
              <w:t>2</w:t>
            </w:r>
          </w:p>
        </w:tc>
        <w:tc>
          <w:tcPr>
            <w:tcW w:w="428" w:type="dxa"/>
            <w:shd w:val="clear" w:color="auto" w:fill="auto"/>
            <w:vAlign w:val="center"/>
          </w:tcPr>
          <w:p w14:paraId="4272AB38">
            <w:pPr>
              <w:pStyle w:val="22"/>
              <w:bidi w:val="0"/>
              <w:jc w:val="center"/>
              <w:rPr>
                <w:highlight w:val="none"/>
                <w:lang w:val="en-US" w:eastAsia="zh-CN"/>
              </w:rPr>
            </w:pPr>
            <w:r>
              <w:rPr>
                <w:highlight w:val="none"/>
              </w:rPr>
              <w:t>1</w:t>
            </w:r>
          </w:p>
        </w:tc>
        <w:tc>
          <w:tcPr>
            <w:tcW w:w="793" w:type="dxa"/>
            <w:shd w:val="clear" w:color="auto" w:fill="auto"/>
            <w:vAlign w:val="center"/>
          </w:tcPr>
          <w:p w14:paraId="390772A4">
            <w:pPr>
              <w:pStyle w:val="22"/>
              <w:bidi w:val="0"/>
              <w:jc w:val="center"/>
              <w:rPr>
                <w:highlight w:val="none"/>
                <w:lang w:val="en-US" w:eastAsia="zh-CN"/>
              </w:rPr>
            </w:pPr>
            <w:r>
              <w:rPr>
                <w:highlight w:val="none"/>
              </w:rPr>
              <w:t>0.0139</w:t>
            </w:r>
          </w:p>
        </w:tc>
        <w:tc>
          <w:tcPr>
            <w:tcW w:w="795" w:type="dxa"/>
            <w:shd w:val="clear" w:color="auto" w:fill="auto"/>
            <w:vAlign w:val="center"/>
          </w:tcPr>
          <w:p w14:paraId="0777ECF7">
            <w:pPr>
              <w:pStyle w:val="22"/>
              <w:bidi w:val="0"/>
              <w:jc w:val="center"/>
              <w:rPr>
                <w:highlight w:val="none"/>
                <w:lang w:val="en-US" w:eastAsia="zh-CN"/>
              </w:rPr>
            </w:pPr>
            <w:r>
              <w:rPr>
                <w:highlight w:val="none"/>
              </w:rPr>
              <w:t>4.51</w:t>
            </w:r>
          </w:p>
        </w:tc>
        <w:tc>
          <w:tcPr>
            <w:tcW w:w="970" w:type="dxa"/>
            <w:shd w:val="clear" w:color="auto" w:fill="auto"/>
            <w:vAlign w:val="center"/>
          </w:tcPr>
          <w:p w14:paraId="67355E8E">
            <w:pPr>
              <w:pStyle w:val="22"/>
              <w:bidi w:val="0"/>
              <w:jc w:val="center"/>
              <w:rPr>
                <w:highlight w:val="none"/>
                <w:lang w:val="en-US" w:eastAsia="zh-CN"/>
              </w:rPr>
            </w:pPr>
            <w:r>
              <w:rPr>
                <w:highlight w:val="none"/>
              </w:rPr>
              <w:t>23.33%</w:t>
            </w:r>
          </w:p>
        </w:tc>
        <w:tc>
          <w:tcPr>
            <w:tcW w:w="795" w:type="dxa"/>
            <w:shd w:val="clear" w:color="auto" w:fill="auto"/>
            <w:vAlign w:val="center"/>
          </w:tcPr>
          <w:p w14:paraId="78AF87DB">
            <w:pPr>
              <w:pStyle w:val="22"/>
              <w:bidi w:val="0"/>
              <w:jc w:val="center"/>
              <w:rPr>
                <w:highlight w:val="none"/>
                <w:lang w:val="en-US" w:eastAsia="zh-CN"/>
              </w:rPr>
            </w:pPr>
            <w:r>
              <w:rPr>
                <w:highlight w:val="none"/>
              </w:rPr>
              <w:t>0.0157</w:t>
            </w:r>
          </w:p>
        </w:tc>
        <w:tc>
          <w:tcPr>
            <w:tcW w:w="800" w:type="dxa"/>
            <w:shd w:val="clear" w:color="auto" w:fill="auto"/>
            <w:vAlign w:val="center"/>
          </w:tcPr>
          <w:p w14:paraId="2966F7E9">
            <w:pPr>
              <w:pStyle w:val="22"/>
              <w:bidi w:val="0"/>
              <w:jc w:val="center"/>
              <w:rPr>
                <w:highlight w:val="none"/>
                <w:lang w:val="en-US" w:eastAsia="zh-CN"/>
              </w:rPr>
            </w:pPr>
            <w:r>
              <w:rPr>
                <w:highlight w:val="none"/>
              </w:rPr>
              <w:t>0.0037</w:t>
            </w:r>
          </w:p>
        </w:tc>
      </w:tr>
      <w:tr w14:paraId="6E03A4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411536CD">
            <w:pPr>
              <w:pStyle w:val="22"/>
              <w:bidi w:val="0"/>
              <w:jc w:val="center"/>
              <w:rPr>
                <w:highlight w:val="none"/>
                <w:lang w:val="en-US" w:eastAsia="zh-CN"/>
              </w:rPr>
            </w:pPr>
            <w:r>
              <w:rPr>
                <w:highlight w:val="none"/>
              </w:rPr>
              <w:t>40</w:t>
            </w:r>
          </w:p>
        </w:tc>
        <w:tc>
          <w:tcPr>
            <w:tcW w:w="1586" w:type="dxa"/>
            <w:shd w:val="clear" w:color="auto" w:fill="auto"/>
            <w:vAlign w:val="center"/>
          </w:tcPr>
          <w:p w14:paraId="6E1F6776">
            <w:pPr>
              <w:pStyle w:val="22"/>
              <w:bidi w:val="0"/>
              <w:jc w:val="center"/>
              <w:rPr>
                <w:highlight w:val="none"/>
              </w:rPr>
            </w:pPr>
            <w:r>
              <w:rPr>
                <w:highlight w:val="none"/>
              </w:rPr>
              <w:t>灰头灰雀</w:t>
            </w:r>
          </w:p>
          <w:p w14:paraId="203EAD6F">
            <w:pPr>
              <w:pStyle w:val="22"/>
              <w:bidi w:val="0"/>
              <w:jc w:val="center"/>
              <w:rPr>
                <w:highlight w:val="none"/>
                <w:lang w:val="en-US" w:eastAsia="zh-CN"/>
              </w:rPr>
            </w:pPr>
            <w:r>
              <w:rPr>
                <w:i/>
                <w:iCs w:val="0"/>
                <w:highlight w:val="none"/>
              </w:rPr>
              <w:t>Pyrrhula erythaca</w:t>
            </w:r>
          </w:p>
        </w:tc>
        <w:tc>
          <w:tcPr>
            <w:tcW w:w="531" w:type="dxa"/>
            <w:shd w:val="clear" w:color="auto" w:fill="auto"/>
            <w:vAlign w:val="center"/>
          </w:tcPr>
          <w:p w14:paraId="577C83B6">
            <w:pPr>
              <w:pStyle w:val="22"/>
              <w:bidi w:val="0"/>
              <w:jc w:val="center"/>
              <w:rPr>
                <w:highlight w:val="none"/>
                <w:lang w:val="en-US" w:eastAsia="zh-CN"/>
              </w:rPr>
            </w:pPr>
            <w:r>
              <w:rPr>
                <w:highlight w:val="none"/>
              </w:rPr>
              <w:t>5</w:t>
            </w:r>
          </w:p>
        </w:tc>
        <w:tc>
          <w:tcPr>
            <w:tcW w:w="533" w:type="dxa"/>
            <w:shd w:val="clear" w:color="auto" w:fill="auto"/>
            <w:vAlign w:val="center"/>
          </w:tcPr>
          <w:p w14:paraId="430967C4">
            <w:pPr>
              <w:pStyle w:val="22"/>
              <w:bidi w:val="0"/>
              <w:jc w:val="center"/>
              <w:rPr>
                <w:highlight w:val="none"/>
                <w:lang w:val="en-US" w:eastAsia="zh-CN"/>
              </w:rPr>
            </w:pPr>
            <w:r>
              <w:rPr>
                <w:highlight w:val="none"/>
              </w:rPr>
              <w:t>1</w:t>
            </w:r>
          </w:p>
        </w:tc>
        <w:tc>
          <w:tcPr>
            <w:tcW w:w="428" w:type="dxa"/>
            <w:shd w:val="clear" w:color="auto" w:fill="auto"/>
            <w:vAlign w:val="center"/>
          </w:tcPr>
          <w:p w14:paraId="58F8F9F2">
            <w:pPr>
              <w:pStyle w:val="22"/>
              <w:bidi w:val="0"/>
              <w:jc w:val="center"/>
              <w:rPr>
                <w:highlight w:val="none"/>
                <w:lang w:val="en-US" w:eastAsia="zh-CN"/>
              </w:rPr>
            </w:pPr>
            <w:r>
              <w:rPr>
                <w:highlight w:val="none"/>
              </w:rPr>
              <w:t>1</w:t>
            </w:r>
          </w:p>
        </w:tc>
        <w:tc>
          <w:tcPr>
            <w:tcW w:w="428" w:type="dxa"/>
            <w:shd w:val="clear" w:color="auto" w:fill="auto"/>
            <w:vAlign w:val="center"/>
          </w:tcPr>
          <w:p w14:paraId="682BDB01">
            <w:pPr>
              <w:pStyle w:val="22"/>
              <w:bidi w:val="0"/>
              <w:jc w:val="center"/>
              <w:rPr>
                <w:highlight w:val="none"/>
                <w:lang w:val="en-US" w:eastAsia="zh-CN"/>
              </w:rPr>
            </w:pPr>
            <w:r>
              <w:rPr>
                <w:highlight w:val="none"/>
              </w:rPr>
              <w:t>1</w:t>
            </w:r>
          </w:p>
        </w:tc>
        <w:tc>
          <w:tcPr>
            <w:tcW w:w="793" w:type="dxa"/>
            <w:shd w:val="clear" w:color="auto" w:fill="auto"/>
            <w:vAlign w:val="center"/>
          </w:tcPr>
          <w:p w14:paraId="73A43A70">
            <w:pPr>
              <w:pStyle w:val="22"/>
              <w:bidi w:val="0"/>
              <w:jc w:val="center"/>
              <w:rPr>
                <w:highlight w:val="none"/>
                <w:lang w:val="en-US" w:eastAsia="zh-CN"/>
              </w:rPr>
            </w:pPr>
            <w:r>
              <w:rPr>
                <w:highlight w:val="none"/>
              </w:rPr>
              <w:t>0.0174</w:t>
            </w:r>
          </w:p>
        </w:tc>
        <w:tc>
          <w:tcPr>
            <w:tcW w:w="795" w:type="dxa"/>
            <w:shd w:val="clear" w:color="auto" w:fill="auto"/>
            <w:vAlign w:val="center"/>
          </w:tcPr>
          <w:p w14:paraId="027E22E6">
            <w:pPr>
              <w:pStyle w:val="22"/>
              <w:bidi w:val="0"/>
              <w:jc w:val="center"/>
              <w:rPr>
                <w:highlight w:val="none"/>
                <w:lang w:val="en-US" w:eastAsia="zh-CN"/>
              </w:rPr>
            </w:pPr>
            <w:r>
              <w:rPr>
                <w:highlight w:val="none"/>
              </w:rPr>
              <w:t>2.98</w:t>
            </w:r>
          </w:p>
        </w:tc>
        <w:tc>
          <w:tcPr>
            <w:tcW w:w="970" w:type="dxa"/>
            <w:shd w:val="clear" w:color="auto" w:fill="auto"/>
            <w:vAlign w:val="center"/>
          </w:tcPr>
          <w:p w14:paraId="6FED2398">
            <w:pPr>
              <w:pStyle w:val="22"/>
              <w:bidi w:val="0"/>
              <w:jc w:val="center"/>
              <w:rPr>
                <w:highlight w:val="none"/>
                <w:lang w:val="en-US" w:eastAsia="zh-CN"/>
              </w:rPr>
            </w:pPr>
            <w:r>
              <w:rPr>
                <w:highlight w:val="none"/>
              </w:rPr>
              <w:t>21.67%</w:t>
            </w:r>
          </w:p>
        </w:tc>
        <w:tc>
          <w:tcPr>
            <w:tcW w:w="795" w:type="dxa"/>
            <w:shd w:val="clear" w:color="auto" w:fill="auto"/>
            <w:vAlign w:val="center"/>
          </w:tcPr>
          <w:p w14:paraId="3CC8C6B8">
            <w:pPr>
              <w:pStyle w:val="22"/>
              <w:bidi w:val="0"/>
              <w:jc w:val="center"/>
              <w:rPr>
                <w:highlight w:val="none"/>
                <w:lang w:val="en-US" w:eastAsia="zh-CN"/>
              </w:rPr>
            </w:pPr>
            <w:r>
              <w:rPr>
                <w:highlight w:val="none"/>
              </w:rPr>
              <w:t>0.0189</w:t>
            </w:r>
          </w:p>
        </w:tc>
        <w:tc>
          <w:tcPr>
            <w:tcW w:w="800" w:type="dxa"/>
            <w:shd w:val="clear" w:color="auto" w:fill="auto"/>
            <w:vAlign w:val="center"/>
          </w:tcPr>
          <w:p w14:paraId="3FFB183B">
            <w:pPr>
              <w:pStyle w:val="22"/>
              <w:bidi w:val="0"/>
              <w:jc w:val="center"/>
              <w:rPr>
                <w:highlight w:val="none"/>
                <w:lang w:val="en-US" w:eastAsia="zh-CN"/>
              </w:rPr>
            </w:pPr>
            <w:r>
              <w:rPr>
                <w:highlight w:val="none"/>
              </w:rPr>
              <w:t>0.0045</w:t>
            </w:r>
          </w:p>
        </w:tc>
      </w:tr>
      <w:tr w14:paraId="17EDD7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04A33B77">
            <w:pPr>
              <w:pStyle w:val="22"/>
              <w:bidi w:val="0"/>
              <w:jc w:val="center"/>
              <w:rPr>
                <w:highlight w:val="none"/>
                <w:lang w:val="en-US" w:eastAsia="zh-CN"/>
              </w:rPr>
            </w:pPr>
            <w:r>
              <w:rPr>
                <w:highlight w:val="none"/>
              </w:rPr>
              <w:t>41</w:t>
            </w:r>
          </w:p>
        </w:tc>
        <w:tc>
          <w:tcPr>
            <w:tcW w:w="1586" w:type="dxa"/>
            <w:shd w:val="clear" w:color="auto" w:fill="auto"/>
            <w:vAlign w:val="center"/>
          </w:tcPr>
          <w:p w14:paraId="6F882341">
            <w:pPr>
              <w:pStyle w:val="22"/>
              <w:bidi w:val="0"/>
              <w:jc w:val="center"/>
              <w:rPr>
                <w:highlight w:val="none"/>
              </w:rPr>
            </w:pPr>
            <w:r>
              <w:rPr>
                <w:highlight w:val="none"/>
              </w:rPr>
              <w:t>黄嘴朱顶雀</w:t>
            </w:r>
          </w:p>
          <w:p w14:paraId="58F177FA">
            <w:pPr>
              <w:pStyle w:val="22"/>
              <w:bidi w:val="0"/>
              <w:jc w:val="center"/>
              <w:rPr>
                <w:highlight w:val="none"/>
                <w:lang w:val="en-US" w:eastAsia="zh-CN"/>
              </w:rPr>
            </w:pPr>
            <w:r>
              <w:rPr>
                <w:i/>
                <w:iCs w:val="0"/>
                <w:highlight w:val="none"/>
              </w:rPr>
              <w:t>Linaria flavirostris</w:t>
            </w:r>
          </w:p>
        </w:tc>
        <w:tc>
          <w:tcPr>
            <w:tcW w:w="531" w:type="dxa"/>
            <w:shd w:val="clear" w:color="auto" w:fill="auto"/>
            <w:vAlign w:val="center"/>
          </w:tcPr>
          <w:p w14:paraId="4D097EDD">
            <w:pPr>
              <w:pStyle w:val="22"/>
              <w:bidi w:val="0"/>
              <w:jc w:val="center"/>
              <w:rPr>
                <w:highlight w:val="none"/>
                <w:lang w:val="en-US" w:eastAsia="zh-CN"/>
              </w:rPr>
            </w:pPr>
            <w:r>
              <w:rPr>
                <w:highlight w:val="none"/>
              </w:rPr>
              <w:t>1</w:t>
            </w:r>
          </w:p>
        </w:tc>
        <w:tc>
          <w:tcPr>
            <w:tcW w:w="533" w:type="dxa"/>
            <w:shd w:val="clear" w:color="auto" w:fill="auto"/>
            <w:vAlign w:val="center"/>
          </w:tcPr>
          <w:p w14:paraId="30069E92">
            <w:pPr>
              <w:pStyle w:val="22"/>
              <w:bidi w:val="0"/>
              <w:jc w:val="center"/>
              <w:rPr>
                <w:highlight w:val="none"/>
                <w:lang w:val="en-US" w:eastAsia="zh-CN"/>
              </w:rPr>
            </w:pPr>
            <w:r>
              <w:rPr>
                <w:highlight w:val="none"/>
              </w:rPr>
              <w:t>1</w:t>
            </w:r>
          </w:p>
        </w:tc>
        <w:tc>
          <w:tcPr>
            <w:tcW w:w="428" w:type="dxa"/>
            <w:shd w:val="clear" w:color="auto" w:fill="auto"/>
            <w:vAlign w:val="center"/>
          </w:tcPr>
          <w:p w14:paraId="1FE670AF">
            <w:pPr>
              <w:pStyle w:val="22"/>
              <w:bidi w:val="0"/>
              <w:jc w:val="center"/>
              <w:rPr>
                <w:highlight w:val="none"/>
                <w:lang w:val="en-US" w:eastAsia="zh-CN"/>
              </w:rPr>
            </w:pPr>
            <w:r>
              <w:rPr>
                <w:highlight w:val="none"/>
              </w:rPr>
              <w:t>1</w:t>
            </w:r>
          </w:p>
        </w:tc>
        <w:tc>
          <w:tcPr>
            <w:tcW w:w="428" w:type="dxa"/>
            <w:shd w:val="clear" w:color="auto" w:fill="auto"/>
            <w:vAlign w:val="center"/>
          </w:tcPr>
          <w:p w14:paraId="1D7DAEBB">
            <w:pPr>
              <w:pStyle w:val="22"/>
              <w:bidi w:val="0"/>
              <w:jc w:val="center"/>
              <w:rPr>
                <w:highlight w:val="none"/>
                <w:lang w:val="en-US" w:eastAsia="zh-CN"/>
              </w:rPr>
            </w:pPr>
            <w:r>
              <w:rPr>
                <w:highlight w:val="none"/>
              </w:rPr>
              <w:t>1</w:t>
            </w:r>
          </w:p>
        </w:tc>
        <w:tc>
          <w:tcPr>
            <w:tcW w:w="793" w:type="dxa"/>
            <w:shd w:val="clear" w:color="auto" w:fill="auto"/>
            <w:vAlign w:val="center"/>
          </w:tcPr>
          <w:p w14:paraId="34173667">
            <w:pPr>
              <w:pStyle w:val="22"/>
              <w:bidi w:val="0"/>
              <w:jc w:val="center"/>
              <w:rPr>
                <w:highlight w:val="none"/>
                <w:lang w:val="en-US" w:eastAsia="zh-CN"/>
              </w:rPr>
            </w:pPr>
            <w:r>
              <w:rPr>
                <w:highlight w:val="none"/>
              </w:rPr>
              <w:t>0.0035</w:t>
            </w:r>
          </w:p>
        </w:tc>
        <w:tc>
          <w:tcPr>
            <w:tcW w:w="795" w:type="dxa"/>
            <w:shd w:val="clear" w:color="auto" w:fill="auto"/>
            <w:vAlign w:val="center"/>
          </w:tcPr>
          <w:p w14:paraId="2B718359">
            <w:pPr>
              <w:pStyle w:val="22"/>
              <w:bidi w:val="0"/>
              <w:jc w:val="center"/>
              <w:rPr>
                <w:highlight w:val="none"/>
                <w:lang w:val="en-US" w:eastAsia="zh-CN"/>
              </w:rPr>
            </w:pPr>
            <w:r>
              <w:rPr>
                <w:highlight w:val="none"/>
              </w:rPr>
              <w:t>2.02</w:t>
            </w:r>
          </w:p>
        </w:tc>
        <w:tc>
          <w:tcPr>
            <w:tcW w:w="970" w:type="dxa"/>
            <w:shd w:val="clear" w:color="auto" w:fill="auto"/>
            <w:vAlign w:val="center"/>
          </w:tcPr>
          <w:p w14:paraId="5FAD8E8C">
            <w:pPr>
              <w:pStyle w:val="22"/>
              <w:bidi w:val="0"/>
              <w:jc w:val="center"/>
              <w:rPr>
                <w:highlight w:val="none"/>
                <w:lang w:val="en-US" w:eastAsia="zh-CN"/>
              </w:rPr>
            </w:pPr>
            <w:r>
              <w:rPr>
                <w:highlight w:val="none"/>
              </w:rPr>
              <w:t>21.67%</w:t>
            </w:r>
          </w:p>
        </w:tc>
        <w:tc>
          <w:tcPr>
            <w:tcW w:w="795" w:type="dxa"/>
            <w:shd w:val="clear" w:color="auto" w:fill="auto"/>
            <w:vAlign w:val="center"/>
          </w:tcPr>
          <w:p w14:paraId="679778DF">
            <w:pPr>
              <w:pStyle w:val="22"/>
              <w:bidi w:val="0"/>
              <w:jc w:val="center"/>
              <w:rPr>
                <w:highlight w:val="none"/>
                <w:lang w:val="en-US" w:eastAsia="zh-CN"/>
              </w:rPr>
            </w:pPr>
            <w:r>
              <w:rPr>
                <w:highlight w:val="none"/>
              </w:rPr>
              <w:t>0.0048</w:t>
            </w:r>
          </w:p>
        </w:tc>
        <w:tc>
          <w:tcPr>
            <w:tcW w:w="800" w:type="dxa"/>
            <w:shd w:val="clear" w:color="auto" w:fill="auto"/>
            <w:vAlign w:val="center"/>
          </w:tcPr>
          <w:p w14:paraId="51313DEA">
            <w:pPr>
              <w:pStyle w:val="22"/>
              <w:bidi w:val="0"/>
              <w:jc w:val="center"/>
              <w:rPr>
                <w:highlight w:val="none"/>
                <w:lang w:val="en-US" w:eastAsia="zh-CN"/>
              </w:rPr>
            </w:pPr>
            <w:r>
              <w:rPr>
                <w:highlight w:val="none"/>
              </w:rPr>
              <w:t>0.0012</w:t>
            </w:r>
          </w:p>
        </w:tc>
      </w:tr>
      <w:tr w14:paraId="170F96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17916720">
            <w:pPr>
              <w:pStyle w:val="22"/>
              <w:bidi w:val="0"/>
              <w:jc w:val="center"/>
              <w:rPr>
                <w:highlight w:val="none"/>
                <w:lang w:val="en-US" w:eastAsia="zh-CN"/>
              </w:rPr>
            </w:pPr>
            <w:r>
              <w:rPr>
                <w:highlight w:val="none"/>
              </w:rPr>
              <w:t>42</w:t>
            </w:r>
          </w:p>
        </w:tc>
        <w:tc>
          <w:tcPr>
            <w:tcW w:w="1586" w:type="dxa"/>
            <w:shd w:val="clear" w:color="auto" w:fill="auto"/>
            <w:vAlign w:val="center"/>
          </w:tcPr>
          <w:p w14:paraId="7A28B5E7">
            <w:pPr>
              <w:pStyle w:val="22"/>
              <w:bidi w:val="0"/>
              <w:jc w:val="center"/>
              <w:rPr>
                <w:i/>
                <w:iCs w:val="0"/>
                <w:highlight w:val="none"/>
              </w:rPr>
            </w:pPr>
            <w:r>
              <w:rPr>
                <w:highlight w:val="none"/>
              </w:rPr>
              <w:t xml:space="preserve">灰眉岩鹀 </w:t>
            </w:r>
            <w:r>
              <w:rPr>
                <w:i/>
                <w:iCs w:val="0"/>
                <w:highlight w:val="none"/>
              </w:rPr>
              <w:t>Emberiza</w:t>
            </w:r>
          </w:p>
          <w:p w14:paraId="3E28C563">
            <w:pPr>
              <w:pStyle w:val="22"/>
              <w:bidi w:val="0"/>
              <w:jc w:val="center"/>
              <w:rPr>
                <w:highlight w:val="none"/>
                <w:lang w:val="en-US" w:eastAsia="zh-CN"/>
              </w:rPr>
            </w:pPr>
            <w:r>
              <w:rPr>
                <w:i/>
                <w:iCs w:val="0"/>
                <w:highlight w:val="none"/>
              </w:rPr>
              <w:t>godlewskii</w:t>
            </w:r>
          </w:p>
        </w:tc>
        <w:tc>
          <w:tcPr>
            <w:tcW w:w="531" w:type="dxa"/>
            <w:shd w:val="clear" w:color="auto" w:fill="auto"/>
            <w:vAlign w:val="center"/>
          </w:tcPr>
          <w:p w14:paraId="33DB8154">
            <w:pPr>
              <w:pStyle w:val="22"/>
              <w:bidi w:val="0"/>
              <w:jc w:val="center"/>
              <w:rPr>
                <w:highlight w:val="none"/>
                <w:lang w:val="en-US" w:eastAsia="zh-CN"/>
              </w:rPr>
            </w:pPr>
            <w:r>
              <w:rPr>
                <w:highlight w:val="none"/>
              </w:rPr>
              <w:t>32</w:t>
            </w:r>
          </w:p>
        </w:tc>
        <w:tc>
          <w:tcPr>
            <w:tcW w:w="533" w:type="dxa"/>
            <w:shd w:val="clear" w:color="auto" w:fill="auto"/>
            <w:vAlign w:val="center"/>
          </w:tcPr>
          <w:p w14:paraId="5C91CB70">
            <w:pPr>
              <w:pStyle w:val="22"/>
              <w:bidi w:val="0"/>
              <w:jc w:val="center"/>
              <w:rPr>
                <w:highlight w:val="none"/>
                <w:lang w:val="en-US" w:eastAsia="zh-CN"/>
              </w:rPr>
            </w:pPr>
            <w:r>
              <w:rPr>
                <w:highlight w:val="none"/>
              </w:rPr>
              <w:t>30</w:t>
            </w:r>
          </w:p>
        </w:tc>
        <w:tc>
          <w:tcPr>
            <w:tcW w:w="428" w:type="dxa"/>
            <w:shd w:val="clear" w:color="auto" w:fill="auto"/>
            <w:vAlign w:val="center"/>
          </w:tcPr>
          <w:p w14:paraId="354439EC">
            <w:pPr>
              <w:pStyle w:val="22"/>
              <w:bidi w:val="0"/>
              <w:jc w:val="center"/>
              <w:rPr>
                <w:highlight w:val="none"/>
                <w:lang w:val="en-US" w:eastAsia="zh-CN"/>
              </w:rPr>
            </w:pPr>
            <w:r>
              <w:rPr>
                <w:highlight w:val="none"/>
              </w:rPr>
              <w:t>16</w:t>
            </w:r>
          </w:p>
        </w:tc>
        <w:tc>
          <w:tcPr>
            <w:tcW w:w="428" w:type="dxa"/>
            <w:shd w:val="clear" w:color="auto" w:fill="auto"/>
            <w:vAlign w:val="center"/>
          </w:tcPr>
          <w:p w14:paraId="0D467962">
            <w:pPr>
              <w:pStyle w:val="22"/>
              <w:bidi w:val="0"/>
              <w:jc w:val="center"/>
              <w:rPr>
                <w:highlight w:val="none"/>
                <w:lang w:val="en-US" w:eastAsia="zh-CN"/>
              </w:rPr>
            </w:pPr>
            <w:r>
              <w:rPr>
                <w:highlight w:val="none"/>
              </w:rPr>
              <w:t>2</w:t>
            </w:r>
          </w:p>
        </w:tc>
        <w:tc>
          <w:tcPr>
            <w:tcW w:w="793" w:type="dxa"/>
            <w:shd w:val="clear" w:color="auto" w:fill="auto"/>
            <w:vAlign w:val="center"/>
          </w:tcPr>
          <w:p w14:paraId="691C718C">
            <w:pPr>
              <w:pStyle w:val="22"/>
              <w:bidi w:val="0"/>
              <w:jc w:val="center"/>
              <w:rPr>
                <w:highlight w:val="none"/>
                <w:lang w:val="en-US" w:eastAsia="zh-CN"/>
              </w:rPr>
            </w:pPr>
            <w:r>
              <w:rPr>
                <w:highlight w:val="none"/>
              </w:rPr>
              <w:t>0.1111</w:t>
            </w:r>
          </w:p>
        </w:tc>
        <w:tc>
          <w:tcPr>
            <w:tcW w:w="795" w:type="dxa"/>
            <w:shd w:val="clear" w:color="auto" w:fill="auto"/>
            <w:vAlign w:val="center"/>
          </w:tcPr>
          <w:p w14:paraId="1DD6B21B">
            <w:pPr>
              <w:pStyle w:val="22"/>
              <w:bidi w:val="0"/>
              <w:jc w:val="center"/>
              <w:rPr>
                <w:highlight w:val="none"/>
                <w:lang w:val="en-US" w:eastAsia="zh-CN"/>
              </w:rPr>
            </w:pPr>
            <w:r>
              <w:rPr>
                <w:highlight w:val="none"/>
              </w:rPr>
              <w:t>37.66</w:t>
            </w:r>
          </w:p>
        </w:tc>
        <w:tc>
          <w:tcPr>
            <w:tcW w:w="970" w:type="dxa"/>
            <w:shd w:val="clear" w:color="auto" w:fill="auto"/>
            <w:vAlign w:val="center"/>
          </w:tcPr>
          <w:p w14:paraId="2D8165CC">
            <w:pPr>
              <w:pStyle w:val="22"/>
              <w:bidi w:val="0"/>
              <w:jc w:val="center"/>
              <w:rPr>
                <w:highlight w:val="none"/>
                <w:lang w:val="en-US" w:eastAsia="zh-CN"/>
              </w:rPr>
            </w:pPr>
            <w:r>
              <w:rPr>
                <w:highlight w:val="none"/>
              </w:rPr>
              <w:t>66.67%</w:t>
            </w:r>
          </w:p>
        </w:tc>
        <w:tc>
          <w:tcPr>
            <w:tcW w:w="795" w:type="dxa"/>
            <w:shd w:val="clear" w:color="auto" w:fill="auto"/>
            <w:vAlign w:val="center"/>
          </w:tcPr>
          <w:p w14:paraId="56717116">
            <w:pPr>
              <w:pStyle w:val="22"/>
              <w:bidi w:val="0"/>
              <w:jc w:val="center"/>
              <w:rPr>
                <w:highlight w:val="none"/>
                <w:lang w:val="en-US" w:eastAsia="zh-CN"/>
              </w:rPr>
            </w:pPr>
            <w:r>
              <w:rPr>
                <w:highlight w:val="none"/>
              </w:rPr>
              <w:t>0.0816</w:t>
            </w:r>
          </w:p>
        </w:tc>
        <w:tc>
          <w:tcPr>
            <w:tcW w:w="800" w:type="dxa"/>
            <w:shd w:val="clear" w:color="auto" w:fill="auto"/>
            <w:vAlign w:val="center"/>
          </w:tcPr>
          <w:p w14:paraId="491FE600">
            <w:pPr>
              <w:pStyle w:val="22"/>
              <w:bidi w:val="0"/>
              <w:jc w:val="center"/>
              <w:rPr>
                <w:highlight w:val="none"/>
                <w:lang w:val="en-US" w:eastAsia="zh-CN"/>
              </w:rPr>
            </w:pPr>
            <w:r>
              <w:rPr>
                <w:highlight w:val="none"/>
              </w:rPr>
              <w:t>0.0195</w:t>
            </w:r>
          </w:p>
        </w:tc>
      </w:tr>
      <w:tr w14:paraId="6C38B6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5D58AB09">
            <w:pPr>
              <w:pStyle w:val="22"/>
              <w:bidi w:val="0"/>
              <w:jc w:val="center"/>
              <w:rPr>
                <w:highlight w:val="none"/>
                <w:lang w:val="en-US" w:eastAsia="zh-CN"/>
              </w:rPr>
            </w:pPr>
            <w:r>
              <w:rPr>
                <w:highlight w:val="none"/>
              </w:rPr>
              <w:t>43</w:t>
            </w:r>
          </w:p>
        </w:tc>
        <w:tc>
          <w:tcPr>
            <w:tcW w:w="1586" w:type="dxa"/>
            <w:shd w:val="clear" w:color="auto" w:fill="auto"/>
            <w:vAlign w:val="center"/>
          </w:tcPr>
          <w:p w14:paraId="278ED4AC">
            <w:pPr>
              <w:pStyle w:val="22"/>
              <w:bidi w:val="0"/>
              <w:jc w:val="center"/>
              <w:rPr>
                <w:highlight w:val="none"/>
              </w:rPr>
            </w:pPr>
            <w:r>
              <w:rPr>
                <w:highlight w:val="none"/>
              </w:rPr>
              <w:t>高原山鹑</w:t>
            </w:r>
          </w:p>
          <w:p w14:paraId="1D79A335">
            <w:pPr>
              <w:pStyle w:val="22"/>
              <w:bidi w:val="0"/>
              <w:jc w:val="center"/>
              <w:rPr>
                <w:highlight w:val="none"/>
                <w:lang w:val="en-US" w:eastAsia="zh-CN"/>
              </w:rPr>
            </w:pPr>
            <w:r>
              <w:rPr>
                <w:i/>
                <w:iCs w:val="0"/>
                <w:highlight w:val="none"/>
              </w:rPr>
              <w:t>Perdix hodgsoniae</w:t>
            </w:r>
          </w:p>
        </w:tc>
        <w:tc>
          <w:tcPr>
            <w:tcW w:w="531" w:type="dxa"/>
            <w:shd w:val="clear" w:color="auto" w:fill="auto"/>
            <w:vAlign w:val="center"/>
          </w:tcPr>
          <w:p w14:paraId="218AD837">
            <w:pPr>
              <w:pStyle w:val="22"/>
              <w:bidi w:val="0"/>
              <w:jc w:val="center"/>
              <w:rPr>
                <w:highlight w:val="none"/>
                <w:lang w:val="en-US" w:eastAsia="zh-CN"/>
              </w:rPr>
            </w:pPr>
            <w:r>
              <w:rPr>
                <w:highlight w:val="none"/>
              </w:rPr>
              <w:t>3</w:t>
            </w:r>
          </w:p>
        </w:tc>
        <w:tc>
          <w:tcPr>
            <w:tcW w:w="533" w:type="dxa"/>
            <w:shd w:val="clear" w:color="auto" w:fill="auto"/>
            <w:vAlign w:val="center"/>
          </w:tcPr>
          <w:p w14:paraId="71D080B5">
            <w:pPr>
              <w:pStyle w:val="22"/>
              <w:bidi w:val="0"/>
              <w:jc w:val="center"/>
              <w:rPr>
                <w:highlight w:val="none"/>
                <w:lang w:val="en-US" w:eastAsia="zh-CN"/>
              </w:rPr>
            </w:pPr>
            <w:r>
              <w:rPr>
                <w:highlight w:val="none"/>
              </w:rPr>
              <w:t>1</w:t>
            </w:r>
          </w:p>
        </w:tc>
        <w:tc>
          <w:tcPr>
            <w:tcW w:w="428" w:type="dxa"/>
            <w:shd w:val="clear" w:color="auto" w:fill="auto"/>
            <w:vAlign w:val="center"/>
          </w:tcPr>
          <w:p w14:paraId="289263DA">
            <w:pPr>
              <w:pStyle w:val="22"/>
              <w:bidi w:val="0"/>
              <w:jc w:val="center"/>
              <w:rPr>
                <w:highlight w:val="none"/>
                <w:lang w:val="en-US" w:eastAsia="zh-CN"/>
              </w:rPr>
            </w:pPr>
            <w:r>
              <w:rPr>
                <w:highlight w:val="none"/>
              </w:rPr>
              <w:t>1</w:t>
            </w:r>
          </w:p>
        </w:tc>
        <w:tc>
          <w:tcPr>
            <w:tcW w:w="428" w:type="dxa"/>
            <w:shd w:val="clear" w:color="auto" w:fill="auto"/>
            <w:vAlign w:val="center"/>
          </w:tcPr>
          <w:p w14:paraId="343012B3">
            <w:pPr>
              <w:pStyle w:val="22"/>
              <w:bidi w:val="0"/>
              <w:jc w:val="center"/>
              <w:rPr>
                <w:highlight w:val="none"/>
                <w:lang w:val="en-US" w:eastAsia="zh-CN"/>
              </w:rPr>
            </w:pPr>
            <w:r>
              <w:rPr>
                <w:highlight w:val="none"/>
              </w:rPr>
              <w:t>1</w:t>
            </w:r>
          </w:p>
        </w:tc>
        <w:tc>
          <w:tcPr>
            <w:tcW w:w="793" w:type="dxa"/>
            <w:shd w:val="clear" w:color="auto" w:fill="auto"/>
            <w:vAlign w:val="center"/>
          </w:tcPr>
          <w:p w14:paraId="651BFF0A">
            <w:pPr>
              <w:pStyle w:val="22"/>
              <w:bidi w:val="0"/>
              <w:jc w:val="center"/>
              <w:rPr>
                <w:highlight w:val="none"/>
                <w:lang w:val="en-US" w:eastAsia="zh-CN"/>
              </w:rPr>
            </w:pPr>
            <w:r>
              <w:rPr>
                <w:highlight w:val="none"/>
              </w:rPr>
              <w:t>0.0139</w:t>
            </w:r>
          </w:p>
        </w:tc>
        <w:tc>
          <w:tcPr>
            <w:tcW w:w="795" w:type="dxa"/>
            <w:shd w:val="clear" w:color="auto" w:fill="auto"/>
            <w:vAlign w:val="center"/>
          </w:tcPr>
          <w:p w14:paraId="244A5BC0">
            <w:pPr>
              <w:pStyle w:val="22"/>
              <w:bidi w:val="0"/>
              <w:jc w:val="center"/>
              <w:rPr>
                <w:highlight w:val="none"/>
                <w:lang w:val="en-US" w:eastAsia="zh-CN"/>
              </w:rPr>
            </w:pPr>
            <w:r>
              <w:rPr>
                <w:highlight w:val="none"/>
              </w:rPr>
              <w:t>2.74</w:t>
            </w:r>
          </w:p>
        </w:tc>
        <w:tc>
          <w:tcPr>
            <w:tcW w:w="970" w:type="dxa"/>
            <w:shd w:val="clear" w:color="auto" w:fill="auto"/>
            <w:vAlign w:val="center"/>
          </w:tcPr>
          <w:p w14:paraId="3260D71B">
            <w:pPr>
              <w:pStyle w:val="22"/>
              <w:bidi w:val="0"/>
              <w:jc w:val="center"/>
              <w:rPr>
                <w:highlight w:val="none"/>
                <w:lang w:val="en-US" w:eastAsia="zh-CN"/>
              </w:rPr>
            </w:pPr>
            <w:r>
              <w:rPr>
                <w:highlight w:val="none"/>
              </w:rPr>
              <w:t>21.67%</w:t>
            </w:r>
          </w:p>
        </w:tc>
        <w:tc>
          <w:tcPr>
            <w:tcW w:w="795" w:type="dxa"/>
            <w:shd w:val="clear" w:color="auto" w:fill="auto"/>
            <w:vAlign w:val="center"/>
          </w:tcPr>
          <w:p w14:paraId="072C689E">
            <w:pPr>
              <w:pStyle w:val="22"/>
              <w:bidi w:val="0"/>
              <w:jc w:val="center"/>
              <w:rPr>
                <w:highlight w:val="none"/>
                <w:lang w:val="en-US" w:eastAsia="zh-CN"/>
              </w:rPr>
            </w:pPr>
            <w:r>
              <w:rPr>
                <w:highlight w:val="none"/>
              </w:rPr>
              <w:t>0.0157</w:t>
            </w:r>
          </w:p>
        </w:tc>
        <w:tc>
          <w:tcPr>
            <w:tcW w:w="800" w:type="dxa"/>
            <w:shd w:val="clear" w:color="auto" w:fill="auto"/>
            <w:vAlign w:val="center"/>
          </w:tcPr>
          <w:p w14:paraId="04CE1177">
            <w:pPr>
              <w:pStyle w:val="22"/>
              <w:bidi w:val="0"/>
              <w:jc w:val="center"/>
              <w:rPr>
                <w:highlight w:val="none"/>
                <w:lang w:val="en-US" w:eastAsia="zh-CN"/>
              </w:rPr>
            </w:pPr>
            <w:r>
              <w:rPr>
                <w:highlight w:val="none"/>
              </w:rPr>
              <w:t>0.0037</w:t>
            </w:r>
          </w:p>
        </w:tc>
      </w:tr>
      <w:tr w14:paraId="4DC9F4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21C9F32C">
            <w:pPr>
              <w:pStyle w:val="22"/>
              <w:bidi w:val="0"/>
              <w:jc w:val="center"/>
              <w:rPr>
                <w:highlight w:val="none"/>
                <w:lang w:val="en-US" w:eastAsia="zh-CN"/>
              </w:rPr>
            </w:pPr>
            <w:r>
              <w:rPr>
                <w:highlight w:val="none"/>
              </w:rPr>
              <w:t>44</w:t>
            </w:r>
          </w:p>
        </w:tc>
        <w:tc>
          <w:tcPr>
            <w:tcW w:w="1586" w:type="dxa"/>
            <w:shd w:val="clear" w:color="auto" w:fill="auto"/>
            <w:vAlign w:val="center"/>
          </w:tcPr>
          <w:p w14:paraId="16C390EA">
            <w:pPr>
              <w:pStyle w:val="22"/>
              <w:bidi w:val="0"/>
              <w:jc w:val="center"/>
              <w:rPr>
                <w:i/>
                <w:iCs w:val="0"/>
                <w:highlight w:val="none"/>
              </w:rPr>
            </w:pPr>
            <w:r>
              <w:rPr>
                <w:highlight w:val="none"/>
              </w:rPr>
              <w:t xml:space="preserve">环颈雉  </w:t>
            </w:r>
            <w:r>
              <w:rPr>
                <w:i/>
                <w:iCs w:val="0"/>
                <w:highlight w:val="none"/>
              </w:rPr>
              <w:t>Phasianus</w:t>
            </w:r>
          </w:p>
          <w:p w14:paraId="2D47B276">
            <w:pPr>
              <w:pStyle w:val="22"/>
              <w:bidi w:val="0"/>
              <w:jc w:val="center"/>
              <w:rPr>
                <w:highlight w:val="none"/>
                <w:lang w:val="en-US" w:eastAsia="zh-CN"/>
              </w:rPr>
            </w:pPr>
            <w:r>
              <w:rPr>
                <w:i/>
                <w:iCs w:val="0"/>
                <w:highlight w:val="none"/>
              </w:rPr>
              <w:t>colchicus</w:t>
            </w:r>
          </w:p>
        </w:tc>
        <w:tc>
          <w:tcPr>
            <w:tcW w:w="531" w:type="dxa"/>
            <w:shd w:val="clear" w:color="auto" w:fill="auto"/>
            <w:vAlign w:val="center"/>
          </w:tcPr>
          <w:p w14:paraId="4CE58EBF">
            <w:pPr>
              <w:pStyle w:val="22"/>
              <w:bidi w:val="0"/>
              <w:jc w:val="center"/>
              <w:rPr>
                <w:highlight w:val="none"/>
                <w:lang w:val="en-US" w:eastAsia="zh-CN"/>
              </w:rPr>
            </w:pPr>
            <w:r>
              <w:rPr>
                <w:highlight w:val="none"/>
              </w:rPr>
              <w:t>1</w:t>
            </w:r>
          </w:p>
        </w:tc>
        <w:tc>
          <w:tcPr>
            <w:tcW w:w="533" w:type="dxa"/>
            <w:shd w:val="clear" w:color="auto" w:fill="auto"/>
            <w:vAlign w:val="center"/>
          </w:tcPr>
          <w:p w14:paraId="0CD533D0">
            <w:pPr>
              <w:pStyle w:val="22"/>
              <w:bidi w:val="0"/>
              <w:jc w:val="center"/>
              <w:rPr>
                <w:highlight w:val="none"/>
                <w:lang w:val="en-US" w:eastAsia="zh-CN"/>
              </w:rPr>
            </w:pPr>
            <w:r>
              <w:rPr>
                <w:highlight w:val="none"/>
              </w:rPr>
              <w:t>1</w:t>
            </w:r>
          </w:p>
        </w:tc>
        <w:tc>
          <w:tcPr>
            <w:tcW w:w="428" w:type="dxa"/>
            <w:shd w:val="clear" w:color="auto" w:fill="auto"/>
            <w:vAlign w:val="center"/>
          </w:tcPr>
          <w:p w14:paraId="5CA86F0A">
            <w:pPr>
              <w:pStyle w:val="22"/>
              <w:bidi w:val="0"/>
              <w:jc w:val="center"/>
              <w:rPr>
                <w:highlight w:val="none"/>
                <w:lang w:val="en-US" w:eastAsia="zh-CN"/>
              </w:rPr>
            </w:pPr>
            <w:r>
              <w:rPr>
                <w:highlight w:val="none"/>
              </w:rPr>
              <w:t>1</w:t>
            </w:r>
          </w:p>
        </w:tc>
        <w:tc>
          <w:tcPr>
            <w:tcW w:w="428" w:type="dxa"/>
            <w:shd w:val="clear" w:color="auto" w:fill="auto"/>
            <w:vAlign w:val="center"/>
          </w:tcPr>
          <w:p w14:paraId="4FAB9CB8">
            <w:pPr>
              <w:pStyle w:val="22"/>
              <w:bidi w:val="0"/>
              <w:jc w:val="center"/>
              <w:rPr>
                <w:highlight w:val="none"/>
                <w:lang w:val="en-US" w:eastAsia="zh-CN"/>
              </w:rPr>
            </w:pPr>
            <w:r>
              <w:rPr>
                <w:highlight w:val="none"/>
              </w:rPr>
              <w:t>1</w:t>
            </w:r>
          </w:p>
        </w:tc>
        <w:tc>
          <w:tcPr>
            <w:tcW w:w="793" w:type="dxa"/>
            <w:shd w:val="clear" w:color="auto" w:fill="auto"/>
            <w:vAlign w:val="center"/>
          </w:tcPr>
          <w:p w14:paraId="294B8708">
            <w:pPr>
              <w:pStyle w:val="22"/>
              <w:bidi w:val="0"/>
              <w:jc w:val="center"/>
              <w:rPr>
                <w:highlight w:val="none"/>
                <w:lang w:val="en-US" w:eastAsia="zh-CN"/>
              </w:rPr>
            </w:pPr>
            <w:r>
              <w:rPr>
                <w:highlight w:val="none"/>
              </w:rPr>
              <w:t>0.0035</w:t>
            </w:r>
          </w:p>
        </w:tc>
        <w:tc>
          <w:tcPr>
            <w:tcW w:w="795" w:type="dxa"/>
            <w:shd w:val="clear" w:color="auto" w:fill="auto"/>
            <w:vAlign w:val="center"/>
          </w:tcPr>
          <w:p w14:paraId="2823D951">
            <w:pPr>
              <w:pStyle w:val="22"/>
              <w:bidi w:val="0"/>
              <w:jc w:val="center"/>
              <w:rPr>
                <w:highlight w:val="none"/>
                <w:lang w:val="en-US" w:eastAsia="zh-CN"/>
              </w:rPr>
            </w:pPr>
            <w:r>
              <w:rPr>
                <w:highlight w:val="none"/>
              </w:rPr>
              <w:t>2.02</w:t>
            </w:r>
          </w:p>
        </w:tc>
        <w:tc>
          <w:tcPr>
            <w:tcW w:w="970" w:type="dxa"/>
            <w:shd w:val="clear" w:color="auto" w:fill="auto"/>
            <w:vAlign w:val="center"/>
          </w:tcPr>
          <w:p w14:paraId="656C2858">
            <w:pPr>
              <w:pStyle w:val="22"/>
              <w:bidi w:val="0"/>
              <w:jc w:val="center"/>
              <w:rPr>
                <w:highlight w:val="none"/>
                <w:lang w:val="en-US" w:eastAsia="zh-CN"/>
              </w:rPr>
            </w:pPr>
            <w:r>
              <w:rPr>
                <w:highlight w:val="none"/>
              </w:rPr>
              <w:t>21.67%</w:t>
            </w:r>
          </w:p>
        </w:tc>
        <w:tc>
          <w:tcPr>
            <w:tcW w:w="795" w:type="dxa"/>
            <w:shd w:val="clear" w:color="auto" w:fill="auto"/>
            <w:vAlign w:val="center"/>
          </w:tcPr>
          <w:p w14:paraId="076D5CEC">
            <w:pPr>
              <w:pStyle w:val="22"/>
              <w:bidi w:val="0"/>
              <w:jc w:val="center"/>
              <w:rPr>
                <w:highlight w:val="none"/>
                <w:lang w:val="en-US" w:eastAsia="zh-CN"/>
              </w:rPr>
            </w:pPr>
            <w:r>
              <w:rPr>
                <w:highlight w:val="none"/>
              </w:rPr>
              <w:t>0.0048</w:t>
            </w:r>
          </w:p>
        </w:tc>
        <w:tc>
          <w:tcPr>
            <w:tcW w:w="800" w:type="dxa"/>
            <w:shd w:val="clear" w:color="auto" w:fill="auto"/>
            <w:vAlign w:val="center"/>
          </w:tcPr>
          <w:p w14:paraId="79D798A5">
            <w:pPr>
              <w:pStyle w:val="22"/>
              <w:bidi w:val="0"/>
              <w:jc w:val="center"/>
              <w:rPr>
                <w:highlight w:val="none"/>
                <w:lang w:val="en-US" w:eastAsia="zh-CN"/>
              </w:rPr>
            </w:pPr>
            <w:r>
              <w:rPr>
                <w:highlight w:val="none"/>
              </w:rPr>
              <w:t>0.0012</w:t>
            </w:r>
          </w:p>
        </w:tc>
      </w:tr>
      <w:tr w14:paraId="19E61E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37C45C3D">
            <w:pPr>
              <w:pStyle w:val="22"/>
              <w:bidi w:val="0"/>
              <w:jc w:val="center"/>
              <w:rPr>
                <w:highlight w:val="none"/>
                <w:lang w:val="en-US" w:eastAsia="zh-CN"/>
              </w:rPr>
            </w:pPr>
            <w:r>
              <w:rPr>
                <w:highlight w:val="none"/>
              </w:rPr>
              <w:t>45</w:t>
            </w:r>
          </w:p>
        </w:tc>
        <w:tc>
          <w:tcPr>
            <w:tcW w:w="1586" w:type="dxa"/>
            <w:shd w:val="clear" w:color="auto" w:fill="auto"/>
            <w:vAlign w:val="center"/>
          </w:tcPr>
          <w:p w14:paraId="59ECE6DB">
            <w:pPr>
              <w:pStyle w:val="22"/>
              <w:bidi w:val="0"/>
              <w:jc w:val="center"/>
              <w:rPr>
                <w:highlight w:val="none"/>
              </w:rPr>
            </w:pPr>
            <w:r>
              <w:rPr>
                <w:highlight w:val="none"/>
              </w:rPr>
              <w:t>赤麻鸭</w:t>
            </w:r>
          </w:p>
          <w:p w14:paraId="145742C0">
            <w:pPr>
              <w:pStyle w:val="22"/>
              <w:bidi w:val="0"/>
              <w:jc w:val="center"/>
              <w:rPr>
                <w:highlight w:val="none"/>
                <w:lang w:val="en-US" w:eastAsia="zh-CN"/>
              </w:rPr>
            </w:pPr>
            <w:r>
              <w:rPr>
                <w:i/>
                <w:iCs w:val="0"/>
                <w:highlight w:val="none"/>
              </w:rPr>
              <w:t>Tadorna ferruginea</w:t>
            </w:r>
          </w:p>
        </w:tc>
        <w:tc>
          <w:tcPr>
            <w:tcW w:w="531" w:type="dxa"/>
            <w:shd w:val="clear" w:color="auto" w:fill="auto"/>
            <w:vAlign w:val="center"/>
          </w:tcPr>
          <w:p w14:paraId="2960E24F">
            <w:pPr>
              <w:pStyle w:val="22"/>
              <w:bidi w:val="0"/>
              <w:jc w:val="center"/>
              <w:rPr>
                <w:highlight w:val="none"/>
                <w:lang w:val="en-US" w:eastAsia="zh-CN"/>
              </w:rPr>
            </w:pPr>
            <w:r>
              <w:rPr>
                <w:highlight w:val="none"/>
              </w:rPr>
              <w:t>4</w:t>
            </w:r>
          </w:p>
        </w:tc>
        <w:tc>
          <w:tcPr>
            <w:tcW w:w="533" w:type="dxa"/>
            <w:shd w:val="clear" w:color="auto" w:fill="auto"/>
            <w:vAlign w:val="center"/>
          </w:tcPr>
          <w:p w14:paraId="17CDEC21">
            <w:pPr>
              <w:pStyle w:val="22"/>
              <w:bidi w:val="0"/>
              <w:jc w:val="center"/>
              <w:rPr>
                <w:highlight w:val="none"/>
                <w:lang w:val="en-US" w:eastAsia="zh-CN"/>
              </w:rPr>
            </w:pPr>
            <w:r>
              <w:rPr>
                <w:highlight w:val="none"/>
              </w:rPr>
              <w:t>1</w:t>
            </w:r>
          </w:p>
        </w:tc>
        <w:tc>
          <w:tcPr>
            <w:tcW w:w="428" w:type="dxa"/>
            <w:shd w:val="clear" w:color="auto" w:fill="auto"/>
            <w:vAlign w:val="center"/>
          </w:tcPr>
          <w:p w14:paraId="529C260E">
            <w:pPr>
              <w:pStyle w:val="22"/>
              <w:bidi w:val="0"/>
              <w:jc w:val="center"/>
              <w:rPr>
                <w:highlight w:val="none"/>
                <w:lang w:val="en-US" w:eastAsia="zh-CN"/>
              </w:rPr>
            </w:pPr>
            <w:r>
              <w:rPr>
                <w:highlight w:val="none"/>
              </w:rPr>
              <w:t>1</w:t>
            </w:r>
          </w:p>
        </w:tc>
        <w:tc>
          <w:tcPr>
            <w:tcW w:w="428" w:type="dxa"/>
            <w:shd w:val="clear" w:color="auto" w:fill="auto"/>
            <w:vAlign w:val="center"/>
          </w:tcPr>
          <w:p w14:paraId="19D71DED">
            <w:pPr>
              <w:pStyle w:val="22"/>
              <w:bidi w:val="0"/>
              <w:jc w:val="center"/>
              <w:rPr>
                <w:highlight w:val="none"/>
                <w:lang w:val="en-US" w:eastAsia="zh-CN"/>
              </w:rPr>
            </w:pPr>
            <w:r>
              <w:rPr>
                <w:highlight w:val="none"/>
              </w:rPr>
              <w:t>1</w:t>
            </w:r>
          </w:p>
        </w:tc>
        <w:tc>
          <w:tcPr>
            <w:tcW w:w="793" w:type="dxa"/>
            <w:shd w:val="clear" w:color="auto" w:fill="auto"/>
            <w:vAlign w:val="center"/>
          </w:tcPr>
          <w:p w14:paraId="2480E65C">
            <w:pPr>
              <w:pStyle w:val="22"/>
              <w:bidi w:val="0"/>
              <w:jc w:val="center"/>
              <w:rPr>
                <w:highlight w:val="none"/>
                <w:lang w:val="en-US" w:eastAsia="zh-CN"/>
              </w:rPr>
            </w:pPr>
            <w:r>
              <w:rPr>
                <w:highlight w:val="none"/>
              </w:rPr>
              <w:t>0.0139</w:t>
            </w:r>
          </w:p>
        </w:tc>
        <w:tc>
          <w:tcPr>
            <w:tcW w:w="795" w:type="dxa"/>
            <w:shd w:val="clear" w:color="auto" w:fill="auto"/>
            <w:vAlign w:val="center"/>
          </w:tcPr>
          <w:p w14:paraId="3F9A9654">
            <w:pPr>
              <w:pStyle w:val="22"/>
              <w:bidi w:val="0"/>
              <w:jc w:val="center"/>
              <w:rPr>
                <w:highlight w:val="none"/>
                <w:lang w:val="en-US" w:eastAsia="zh-CN"/>
              </w:rPr>
            </w:pPr>
            <w:r>
              <w:rPr>
                <w:highlight w:val="none"/>
              </w:rPr>
              <w:t>2.74</w:t>
            </w:r>
          </w:p>
        </w:tc>
        <w:tc>
          <w:tcPr>
            <w:tcW w:w="970" w:type="dxa"/>
            <w:shd w:val="clear" w:color="auto" w:fill="auto"/>
            <w:vAlign w:val="center"/>
          </w:tcPr>
          <w:p w14:paraId="283D76A2">
            <w:pPr>
              <w:pStyle w:val="22"/>
              <w:bidi w:val="0"/>
              <w:jc w:val="center"/>
              <w:rPr>
                <w:highlight w:val="none"/>
                <w:lang w:val="en-US" w:eastAsia="zh-CN"/>
              </w:rPr>
            </w:pPr>
            <w:r>
              <w:rPr>
                <w:highlight w:val="none"/>
              </w:rPr>
              <w:t>21.67%</w:t>
            </w:r>
          </w:p>
        </w:tc>
        <w:tc>
          <w:tcPr>
            <w:tcW w:w="795" w:type="dxa"/>
            <w:shd w:val="clear" w:color="auto" w:fill="auto"/>
            <w:vAlign w:val="center"/>
          </w:tcPr>
          <w:p w14:paraId="78F7BEDB">
            <w:pPr>
              <w:pStyle w:val="22"/>
              <w:bidi w:val="0"/>
              <w:jc w:val="center"/>
              <w:rPr>
                <w:highlight w:val="none"/>
                <w:lang w:val="en-US" w:eastAsia="zh-CN"/>
              </w:rPr>
            </w:pPr>
            <w:r>
              <w:rPr>
                <w:highlight w:val="none"/>
              </w:rPr>
              <w:t>0.0157</w:t>
            </w:r>
          </w:p>
        </w:tc>
        <w:tc>
          <w:tcPr>
            <w:tcW w:w="800" w:type="dxa"/>
            <w:shd w:val="clear" w:color="auto" w:fill="auto"/>
            <w:vAlign w:val="center"/>
          </w:tcPr>
          <w:p w14:paraId="124D961B">
            <w:pPr>
              <w:pStyle w:val="22"/>
              <w:bidi w:val="0"/>
              <w:jc w:val="center"/>
              <w:rPr>
                <w:highlight w:val="none"/>
                <w:lang w:val="en-US" w:eastAsia="zh-CN"/>
              </w:rPr>
            </w:pPr>
            <w:r>
              <w:rPr>
                <w:highlight w:val="none"/>
              </w:rPr>
              <w:t>0.0037</w:t>
            </w:r>
          </w:p>
        </w:tc>
      </w:tr>
      <w:tr w14:paraId="4C4A25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04E768BF">
            <w:pPr>
              <w:pStyle w:val="22"/>
              <w:bidi w:val="0"/>
              <w:jc w:val="center"/>
              <w:rPr>
                <w:highlight w:val="none"/>
                <w:lang w:val="en-US" w:eastAsia="zh-CN"/>
              </w:rPr>
            </w:pPr>
            <w:r>
              <w:rPr>
                <w:highlight w:val="none"/>
              </w:rPr>
              <w:t>46</w:t>
            </w:r>
          </w:p>
        </w:tc>
        <w:tc>
          <w:tcPr>
            <w:tcW w:w="1586" w:type="dxa"/>
            <w:shd w:val="clear" w:color="auto" w:fill="auto"/>
            <w:vAlign w:val="center"/>
          </w:tcPr>
          <w:p w14:paraId="3FC2BD51">
            <w:pPr>
              <w:pStyle w:val="22"/>
              <w:bidi w:val="0"/>
              <w:jc w:val="center"/>
              <w:rPr>
                <w:highlight w:val="none"/>
              </w:rPr>
            </w:pPr>
            <w:r>
              <w:rPr>
                <w:highlight w:val="none"/>
              </w:rPr>
              <w:t>岩鸽</w:t>
            </w:r>
          </w:p>
          <w:p w14:paraId="185CA3DC">
            <w:pPr>
              <w:pStyle w:val="22"/>
              <w:bidi w:val="0"/>
              <w:jc w:val="center"/>
              <w:rPr>
                <w:highlight w:val="none"/>
                <w:lang w:val="en-US" w:eastAsia="zh-CN"/>
              </w:rPr>
            </w:pPr>
            <w:r>
              <w:rPr>
                <w:i/>
                <w:iCs w:val="0"/>
                <w:highlight w:val="none"/>
              </w:rPr>
              <w:t>Columba rupestris</w:t>
            </w:r>
          </w:p>
        </w:tc>
        <w:tc>
          <w:tcPr>
            <w:tcW w:w="531" w:type="dxa"/>
            <w:shd w:val="clear" w:color="auto" w:fill="auto"/>
            <w:vAlign w:val="center"/>
          </w:tcPr>
          <w:p w14:paraId="0E38DE42">
            <w:pPr>
              <w:pStyle w:val="22"/>
              <w:bidi w:val="0"/>
              <w:jc w:val="center"/>
              <w:rPr>
                <w:highlight w:val="none"/>
                <w:lang w:val="en-US" w:eastAsia="zh-CN"/>
              </w:rPr>
            </w:pPr>
            <w:r>
              <w:rPr>
                <w:highlight w:val="none"/>
              </w:rPr>
              <w:t>21</w:t>
            </w:r>
          </w:p>
        </w:tc>
        <w:tc>
          <w:tcPr>
            <w:tcW w:w="533" w:type="dxa"/>
            <w:shd w:val="clear" w:color="auto" w:fill="auto"/>
            <w:vAlign w:val="center"/>
          </w:tcPr>
          <w:p w14:paraId="2905A572">
            <w:pPr>
              <w:pStyle w:val="22"/>
              <w:bidi w:val="0"/>
              <w:jc w:val="center"/>
              <w:rPr>
                <w:highlight w:val="none"/>
                <w:lang w:val="en-US" w:eastAsia="zh-CN"/>
              </w:rPr>
            </w:pPr>
            <w:r>
              <w:rPr>
                <w:highlight w:val="none"/>
              </w:rPr>
              <w:t>13</w:t>
            </w:r>
          </w:p>
        </w:tc>
        <w:tc>
          <w:tcPr>
            <w:tcW w:w="428" w:type="dxa"/>
            <w:shd w:val="clear" w:color="auto" w:fill="auto"/>
            <w:vAlign w:val="center"/>
          </w:tcPr>
          <w:p w14:paraId="62B722EC">
            <w:pPr>
              <w:pStyle w:val="22"/>
              <w:bidi w:val="0"/>
              <w:jc w:val="center"/>
              <w:rPr>
                <w:highlight w:val="none"/>
                <w:lang w:val="en-US" w:eastAsia="zh-CN"/>
              </w:rPr>
            </w:pPr>
            <w:r>
              <w:rPr>
                <w:highlight w:val="none"/>
              </w:rPr>
              <w:t>10</w:t>
            </w:r>
          </w:p>
        </w:tc>
        <w:tc>
          <w:tcPr>
            <w:tcW w:w="428" w:type="dxa"/>
            <w:shd w:val="clear" w:color="auto" w:fill="auto"/>
            <w:vAlign w:val="center"/>
          </w:tcPr>
          <w:p w14:paraId="55739B56">
            <w:pPr>
              <w:pStyle w:val="22"/>
              <w:bidi w:val="0"/>
              <w:jc w:val="center"/>
              <w:rPr>
                <w:highlight w:val="none"/>
                <w:lang w:val="en-US" w:eastAsia="zh-CN"/>
              </w:rPr>
            </w:pPr>
            <w:r>
              <w:rPr>
                <w:highlight w:val="none"/>
              </w:rPr>
              <w:t>3</w:t>
            </w:r>
          </w:p>
        </w:tc>
        <w:tc>
          <w:tcPr>
            <w:tcW w:w="793" w:type="dxa"/>
            <w:shd w:val="clear" w:color="auto" w:fill="auto"/>
            <w:vAlign w:val="center"/>
          </w:tcPr>
          <w:p w14:paraId="3FD5C661">
            <w:pPr>
              <w:pStyle w:val="22"/>
              <w:bidi w:val="0"/>
              <w:jc w:val="center"/>
              <w:rPr>
                <w:highlight w:val="none"/>
                <w:lang w:val="en-US" w:eastAsia="zh-CN"/>
              </w:rPr>
            </w:pPr>
            <w:r>
              <w:rPr>
                <w:highlight w:val="none"/>
              </w:rPr>
              <w:t>0.0938</w:t>
            </w:r>
          </w:p>
        </w:tc>
        <w:tc>
          <w:tcPr>
            <w:tcW w:w="795" w:type="dxa"/>
            <w:shd w:val="clear" w:color="auto" w:fill="auto"/>
            <w:vAlign w:val="center"/>
          </w:tcPr>
          <w:p w14:paraId="7514213B">
            <w:pPr>
              <w:pStyle w:val="22"/>
              <w:bidi w:val="0"/>
              <w:jc w:val="center"/>
              <w:rPr>
                <w:highlight w:val="none"/>
                <w:lang w:val="en-US" w:eastAsia="zh-CN"/>
              </w:rPr>
            </w:pPr>
            <w:r>
              <w:rPr>
                <w:highlight w:val="none"/>
              </w:rPr>
              <w:t>24.59</w:t>
            </w:r>
          </w:p>
        </w:tc>
        <w:tc>
          <w:tcPr>
            <w:tcW w:w="970" w:type="dxa"/>
            <w:shd w:val="clear" w:color="auto" w:fill="auto"/>
            <w:vAlign w:val="center"/>
          </w:tcPr>
          <w:p w14:paraId="03E01DB6">
            <w:pPr>
              <w:pStyle w:val="22"/>
              <w:bidi w:val="0"/>
              <w:jc w:val="center"/>
              <w:rPr>
                <w:highlight w:val="none"/>
                <w:lang w:val="en-US" w:eastAsia="zh-CN"/>
              </w:rPr>
            </w:pPr>
            <w:r>
              <w:rPr>
                <w:highlight w:val="none"/>
              </w:rPr>
              <w:t>76.67%</w:t>
            </w:r>
          </w:p>
        </w:tc>
        <w:tc>
          <w:tcPr>
            <w:tcW w:w="795" w:type="dxa"/>
            <w:shd w:val="clear" w:color="auto" w:fill="auto"/>
            <w:vAlign w:val="center"/>
          </w:tcPr>
          <w:p w14:paraId="38FC9721">
            <w:pPr>
              <w:pStyle w:val="22"/>
              <w:bidi w:val="0"/>
              <w:jc w:val="center"/>
              <w:rPr>
                <w:highlight w:val="none"/>
                <w:lang w:val="en-US" w:eastAsia="zh-CN"/>
              </w:rPr>
            </w:pPr>
            <w:r>
              <w:rPr>
                <w:highlight w:val="none"/>
              </w:rPr>
              <w:t>0.0719</w:t>
            </w:r>
          </w:p>
        </w:tc>
        <w:tc>
          <w:tcPr>
            <w:tcW w:w="800" w:type="dxa"/>
            <w:shd w:val="clear" w:color="auto" w:fill="auto"/>
            <w:vAlign w:val="center"/>
          </w:tcPr>
          <w:p w14:paraId="794CEBBE">
            <w:pPr>
              <w:pStyle w:val="22"/>
              <w:bidi w:val="0"/>
              <w:jc w:val="center"/>
              <w:rPr>
                <w:highlight w:val="none"/>
                <w:lang w:val="en-US" w:eastAsia="zh-CN"/>
              </w:rPr>
            </w:pPr>
            <w:r>
              <w:rPr>
                <w:highlight w:val="none"/>
              </w:rPr>
              <w:t>0.0172</w:t>
            </w:r>
          </w:p>
        </w:tc>
      </w:tr>
      <w:tr w14:paraId="5DA07A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3E4D4707">
            <w:pPr>
              <w:pStyle w:val="22"/>
              <w:bidi w:val="0"/>
              <w:jc w:val="center"/>
              <w:rPr>
                <w:highlight w:val="none"/>
                <w:lang w:val="en-US" w:eastAsia="zh-CN"/>
              </w:rPr>
            </w:pPr>
            <w:r>
              <w:rPr>
                <w:highlight w:val="none"/>
              </w:rPr>
              <w:t>47</w:t>
            </w:r>
          </w:p>
        </w:tc>
        <w:tc>
          <w:tcPr>
            <w:tcW w:w="1586" w:type="dxa"/>
            <w:shd w:val="clear" w:color="auto" w:fill="auto"/>
            <w:vAlign w:val="center"/>
          </w:tcPr>
          <w:p w14:paraId="2F8A0D3E">
            <w:pPr>
              <w:pStyle w:val="22"/>
              <w:bidi w:val="0"/>
              <w:jc w:val="center"/>
              <w:rPr>
                <w:i/>
                <w:iCs w:val="0"/>
                <w:highlight w:val="none"/>
              </w:rPr>
            </w:pPr>
            <w:r>
              <w:rPr>
                <w:highlight w:val="none"/>
              </w:rPr>
              <w:t xml:space="preserve">山斑鸠   </w:t>
            </w:r>
            <w:r>
              <w:rPr>
                <w:i/>
                <w:iCs w:val="0"/>
                <w:highlight w:val="none"/>
              </w:rPr>
              <w:t>Streptopelia</w:t>
            </w:r>
          </w:p>
          <w:p w14:paraId="261FD744">
            <w:pPr>
              <w:pStyle w:val="22"/>
              <w:bidi w:val="0"/>
              <w:jc w:val="center"/>
              <w:rPr>
                <w:highlight w:val="none"/>
                <w:lang w:val="en-US" w:eastAsia="zh-CN"/>
              </w:rPr>
            </w:pPr>
            <w:r>
              <w:rPr>
                <w:i/>
                <w:iCs w:val="0"/>
                <w:highlight w:val="none"/>
              </w:rPr>
              <w:t>orientalis</w:t>
            </w:r>
          </w:p>
        </w:tc>
        <w:tc>
          <w:tcPr>
            <w:tcW w:w="531" w:type="dxa"/>
            <w:shd w:val="clear" w:color="auto" w:fill="auto"/>
            <w:vAlign w:val="center"/>
          </w:tcPr>
          <w:p w14:paraId="609F5F61">
            <w:pPr>
              <w:pStyle w:val="22"/>
              <w:bidi w:val="0"/>
              <w:jc w:val="center"/>
              <w:rPr>
                <w:highlight w:val="none"/>
                <w:lang w:val="en-US" w:eastAsia="zh-CN"/>
              </w:rPr>
            </w:pPr>
            <w:r>
              <w:rPr>
                <w:highlight w:val="none"/>
              </w:rPr>
              <w:t>65</w:t>
            </w:r>
          </w:p>
        </w:tc>
        <w:tc>
          <w:tcPr>
            <w:tcW w:w="533" w:type="dxa"/>
            <w:shd w:val="clear" w:color="auto" w:fill="auto"/>
            <w:vAlign w:val="center"/>
          </w:tcPr>
          <w:p w14:paraId="168195A2">
            <w:pPr>
              <w:pStyle w:val="22"/>
              <w:bidi w:val="0"/>
              <w:jc w:val="center"/>
              <w:rPr>
                <w:highlight w:val="none"/>
                <w:lang w:val="en-US" w:eastAsia="zh-CN"/>
              </w:rPr>
            </w:pPr>
            <w:r>
              <w:rPr>
                <w:highlight w:val="none"/>
              </w:rPr>
              <w:t>54</w:t>
            </w:r>
          </w:p>
        </w:tc>
        <w:tc>
          <w:tcPr>
            <w:tcW w:w="428" w:type="dxa"/>
            <w:shd w:val="clear" w:color="auto" w:fill="auto"/>
            <w:vAlign w:val="center"/>
          </w:tcPr>
          <w:p w14:paraId="43468BF5">
            <w:pPr>
              <w:pStyle w:val="22"/>
              <w:bidi w:val="0"/>
              <w:jc w:val="center"/>
              <w:rPr>
                <w:highlight w:val="none"/>
                <w:lang w:val="en-US" w:eastAsia="zh-CN"/>
              </w:rPr>
            </w:pPr>
            <w:r>
              <w:rPr>
                <w:highlight w:val="none"/>
              </w:rPr>
              <w:t>22</w:t>
            </w:r>
          </w:p>
        </w:tc>
        <w:tc>
          <w:tcPr>
            <w:tcW w:w="428" w:type="dxa"/>
            <w:shd w:val="clear" w:color="auto" w:fill="auto"/>
            <w:vAlign w:val="center"/>
          </w:tcPr>
          <w:p w14:paraId="4C4036B7">
            <w:pPr>
              <w:pStyle w:val="22"/>
              <w:bidi w:val="0"/>
              <w:jc w:val="center"/>
              <w:rPr>
                <w:highlight w:val="none"/>
                <w:lang w:val="en-US" w:eastAsia="zh-CN"/>
              </w:rPr>
            </w:pPr>
            <w:r>
              <w:rPr>
                <w:highlight w:val="none"/>
              </w:rPr>
              <w:t>3</w:t>
            </w:r>
          </w:p>
        </w:tc>
        <w:tc>
          <w:tcPr>
            <w:tcW w:w="793" w:type="dxa"/>
            <w:shd w:val="clear" w:color="auto" w:fill="auto"/>
            <w:vAlign w:val="center"/>
          </w:tcPr>
          <w:p w14:paraId="6C1D889E">
            <w:pPr>
              <w:pStyle w:val="22"/>
              <w:bidi w:val="0"/>
              <w:jc w:val="center"/>
              <w:rPr>
                <w:highlight w:val="none"/>
                <w:lang w:val="en-US" w:eastAsia="zh-CN"/>
              </w:rPr>
            </w:pPr>
            <w:r>
              <w:rPr>
                <w:highlight w:val="none"/>
              </w:rPr>
              <w:t>0.2292</w:t>
            </w:r>
          </w:p>
        </w:tc>
        <w:tc>
          <w:tcPr>
            <w:tcW w:w="795" w:type="dxa"/>
            <w:shd w:val="clear" w:color="auto" w:fill="auto"/>
            <w:vAlign w:val="center"/>
          </w:tcPr>
          <w:p w14:paraId="30E88327">
            <w:pPr>
              <w:pStyle w:val="22"/>
              <w:bidi w:val="0"/>
              <w:jc w:val="center"/>
              <w:rPr>
                <w:highlight w:val="none"/>
                <w:lang w:val="en-US" w:eastAsia="zh-CN"/>
              </w:rPr>
            </w:pPr>
            <w:r>
              <w:rPr>
                <w:highlight w:val="none"/>
              </w:rPr>
              <w:t>61.80</w:t>
            </w:r>
          </w:p>
        </w:tc>
        <w:tc>
          <w:tcPr>
            <w:tcW w:w="970" w:type="dxa"/>
            <w:shd w:val="clear" w:color="auto" w:fill="auto"/>
            <w:vAlign w:val="center"/>
          </w:tcPr>
          <w:p w14:paraId="4BC258B2">
            <w:pPr>
              <w:pStyle w:val="22"/>
              <w:bidi w:val="0"/>
              <w:jc w:val="center"/>
              <w:rPr>
                <w:highlight w:val="none"/>
                <w:lang w:val="en-US" w:eastAsia="zh-CN"/>
              </w:rPr>
            </w:pPr>
            <w:r>
              <w:rPr>
                <w:highlight w:val="none"/>
              </w:rPr>
              <w:t>100.00%</w:t>
            </w:r>
          </w:p>
        </w:tc>
        <w:tc>
          <w:tcPr>
            <w:tcW w:w="795" w:type="dxa"/>
            <w:shd w:val="clear" w:color="auto" w:fill="auto"/>
            <w:vAlign w:val="center"/>
          </w:tcPr>
          <w:p w14:paraId="0DE2EF12">
            <w:pPr>
              <w:pStyle w:val="22"/>
              <w:bidi w:val="0"/>
              <w:jc w:val="center"/>
              <w:rPr>
                <w:highlight w:val="none"/>
                <w:lang w:val="en-US" w:eastAsia="zh-CN"/>
              </w:rPr>
            </w:pPr>
            <w:r>
              <w:rPr>
                <w:highlight w:val="none"/>
              </w:rPr>
              <w:t>0.1368</w:t>
            </w:r>
          </w:p>
        </w:tc>
        <w:tc>
          <w:tcPr>
            <w:tcW w:w="800" w:type="dxa"/>
            <w:shd w:val="clear" w:color="auto" w:fill="auto"/>
            <w:vAlign w:val="center"/>
          </w:tcPr>
          <w:p w14:paraId="2D7EE1FE">
            <w:pPr>
              <w:pStyle w:val="22"/>
              <w:bidi w:val="0"/>
              <w:jc w:val="center"/>
              <w:rPr>
                <w:highlight w:val="none"/>
                <w:lang w:val="en-US" w:eastAsia="zh-CN"/>
              </w:rPr>
            </w:pPr>
            <w:r>
              <w:rPr>
                <w:highlight w:val="none"/>
              </w:rPr>
              <w:t>0.0326</w:t>
            </w:r>
          </w:p>
        </w:tc>
      </w:tr>
      <w:tr w14:paraId="6B1DBC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14C1C073">
            <w:pPr>
              <w:pStyle w:val="22"/>
              <w:bidi w:val="0"/>
              <w:jc w:val="center"/>
              <w:rPr>
                <w:highlight w:val="none"/>
                <w:lang w:val="en-US" w:eastAsia="zh-CN"/>
              </w:rPr>
            </w:pPr>
            <w:r>
              <w:rPr>
                <w:highlight w:val="none"/>
              </w:rPr>
              <w:t>48</w:t>
            </w:r>
          </w:p>
        </w:tc>
        <w:tc>
          <w:tcPr>
            <w:tcW w:w="1586" w:type="dxa"/>
            <w:shd w:val="clear" w:color="auto" w:fill="auto"/>
            <w:vAlign w:val="center"/>
          </w:tcPr>
          <w:p w14:paraId="59B282EC">
            <w:pPr>
              <w:pStyle w:val="22"/>
              <w:bidi w:val="0"/>
              <w:jc w:val="center"/>
              <w:rPr>
                <w:highlight w:val="none"/>
              </w:rPr>
            </w:pPr>
            <w:r>
              <w:rPr>
                <w:highlight w:val="none"/>
              </w:rPr>
              <w:t>白腰雨燕</w:t>
            </w:r>
          </w:p>
          <w:p w14:paraId="5D3E9EFD">
            <w:pPr>
              <w:pStyle w:val="22"/>
              <w:bidi w:val="0"/>
              <w:jc w:val="center"/>
              <w:rPr>
                <w:highlight w:val="none"/>
                <w:lang w:val="en-US" w:eastAsia="zh-CN"/>
              </w:rPr>
            </w:pPr>
            <w:r>
              <w:rPr>
                <w:i/>
                <w:iCs w:val="0"/>
                <w:highlight w:val="none"/>
              </w:rPr>
              <w:t>Apus pacificus</w:t>
            </w:r>
          </w:p>
        </w:tc>
        <w:tc>
          <w:tcPr>
            <w:tcW w:w="531" w:type="dxa"/>
            <w:shd w:val="clear" w:color="auto" w:fill="auto"/>
            <w:vAlign w:val="center"/>
          </w:tcPr>
          <w:p w14:paraId="658C9C3A">
            <w:pPr>
              <w:pStyle w:val="22"/>
              <w:bidi w:val="0"/>
              <w:jc w:val="center"/>
              <w:rPr>
                <w:highlight w:val="none"/>
                <w:lang w:val="en-US" w:eastAsia="zh-CN"/>
              </w:rPr>
            </w:pPr>
            <w:r>
              <w:rPr>
                <w:highlight w:val="none"/>
              </w:rPr>
              <w:t>20</w:t>
            </w:r>
          </w:p>
        </w:tc>
        <w:tc>
          <w:tcPr>
            <w:tcW w:w="533" w:type="dxa"/>
            <w:shd w:val="clear" w:color="auto" w:fill="auto"/>
            <w:vAlign w:val="center"/>
          </w:tcPr>
          <w:p w14:paraId="2559D566">
            <w:pPr>
              <w:pStyle w:val="22"/>
              <w:bidi w:val="0"/>
              <w:jc w:val="center"/>
              <w:rPr>
                <w:highlight w:val="none"/>
                <w:lang w:val="en-US" w:eastAsia="zh-CN"/>
              </w:rPr>
            </w:pPr>
            <w:r>
              <w:rPr>
                <w:highlight w:val="none"/>
              </w:rPr>
              <w:t>5</w:t>
            </w:r>
          </w:p>
        </w:tc>
        <w:tc>
          <w:tcPr>
            <w:tcW w:w="428" w:type="dxa"/>
            <w:shd w:val="clear" w:color="auto" w:fill="auto"/>
            <w:vAlign w:val="center"/>
          </w:tcPr>
          <w:p w14:paraId="68A906BD">
            <w:pPr>
              <w:pStyle w:val="22"/>
              <w:bidi w:val="0"/>
              <w:jc w:val="center"/>
              <w:rPr>
                <w:highlight w:val="none"/>
                <w:lang w:val="en-US" w:eastAsia="zh-CN"/>
              </w:rPr>
            </w:pPr>
            <w:r>
              <w:rPr>
                <w:highlight w:val="none"/>
              </w:rPr>
              <w:t>3</w:t>
            </w:r>
          </w:p>
        </w:tc>
        <w:tc>
          <w:tcPr>
            <w:tcW w:w="428" w:type="dxa"/>
            <w:shd w:val="clear" w:color="auto" w:fill="auto"/>
            <w:vAlign w:val="center"/>
          </w:tcPr>
          <w:p w14:paraId="4B9ED760">
            <w:pPr>
              <w:pStyle w:val="22"/>
              <w:bidi w:val="0"/>
              <w:jc w:val="center"/>
              <w:rPr>
                <w:highlight w:val="none"/>
                <w:lang w:val="en-US" w:eastAsia="zh-CN"/>
              </w:rPr>
            </w:pPr>
            <w:r>
              <w:rPr>
                <w:highlight w:val="none"/>
              </w:rPr>
              <w:t>2</w:t>
            </w:r>
          </w:p>
        </w:tc>
        <w:tc>
          <w:tcPr>
            <w:tcW w:w="793" w:type="dxa"/>
            <w:shd w:val="clear" w:color="auto" w:fill="auto"/>
            <w:vAlign w:val="center"/>
          </w:tcPr>
          <w:p w14:paraId="254D451D">
            <w:pPr>
              <w:pStyle w:val="22"/>
              <w:bidi w:val="0"/>
              <w:jc w:val="center"/>
              <w:rPr>
                <w:highlight w:val="none"/>
                <w:lang w:val="en-US" w:eastAsia="zh-CN"/>
              </w:rPr>
            </w:pPr>
            <w:r>
              <w:rPr>
                <w:highlight w:val="none"/>
              </w:rPr>
              <w:t>0.0694</w:t>
            </w:r>
          </w:p>
        </w:tc>
        <w:tc>
          <w:tcPr>
            <w:tcW w:w="795" w:type="dxa"/>
            <w:shd w:val="clear" w:color="auto" w:fill="auto"/>
            <w:vAlign w:val="center"/>
          </w:tcPr>
          <w:p w14:paraId="081A7CF4">
            <w:pPr>
              <w:pStyle w:val="22"/>
              <w:bidi w:val="0"/>
              <w:jc w:val="center"/>
              <w:rPr>
                <w:highlight w:val="none"/>
                <w:lang w:val="en-US" w:eastAsia="zh-CN"/>
              </w:rPr>
            </w:pPr>
            <w:r>
              <w:rPr>
                <w:highlight w:val="none"/>
              </w:rPr>
              <w:t>10.36</w:t>
            </w:r>
          </w:p>
        </w:tc>
        <w:tc>
          <w:tcPr>
            <w:tcW w:w="970" w:type="dxa"/>
            <w:shd w:val="clear" w:color="auto" w:fill="auto"/>
            <w:vAlign w:val="center"/>
          </w:tcPr>
          <w:p w14:paraId="7C74668E">
            <w:pPr>
              <w:pStyle w:val="22"/>
              <w:bidi w:val="0"/>
              <w:jc w:val="center"/>
              <w:rPr>
                <w:highlight w:val="none"/>
                <w:lang w:val="en-US" w:eastAsia="zh-CN"/>
              </w:rPr>
            </w:pPr>
            <w:r>
              <w:rPr>
                <w:highlight w:val="none"/>
              </w:rPr>
              <w:t>45.00%</w:t>
            </w:r>
          </w:p>
        </w:tc>
        <w:tc>
          <w:tcPr>
            <w:tcW w:w="795" w:type="dxa"/>
            <w:shd w:val="clear" w:color="auto" w:fill="auto"/>
            <w:vAlign w:val="center"/>
          </w:tcPr>
          <w:p w14:paraId="1E4597CE">
            <w:pPr>
              <w:pStyle w:val="22"/>
              <w:bidi w:val="0"/>
              <w:jc w:val="center"/>
              <w:rPr>
                <w:highlight w:val="none"/>
                <w:lang w:val="en-US" w:eastAsia="zh-CN"/>
              </w:rPr>
            </w:pPr>
            <w:r>
              <w:rPr>
                <w:highlight w:val="none"/>
              </w:rPr>
              <w:t>0.0572</w:t>
            </w:r>
          </w:p>
        </w:tc>
        <w:tc>
          <w:tcPr>
            <w:tcW w:w="800" w:type="dxa"/>
            <w:shd w:val="clear" w:color="auto" w:fill="auto"/>
            <w:vAlign w:val="center"/>
          </w:tcPr>
          <w:p w14:paraId="0477D397">
            <w:pPr>
              <w:pStyle w:val="22"/>
              <w:bidi w:val="0"/>
              <w:jc w:val="center"/>
              <w:rPr>
                <w:highlight w:val="none"/>
                <w:lang w:val="en-US" w:eastAsia="zh-CN"/>
              </w:rPr>
            </w:pPr>
            <w:r>
              <w:rPr>
                <w:highlight w:val="none"/>
              </w:rPr>
              <w:t>0.0137</w:t>
            </w:r>
          </w:p>
        </w:tc>
      </w:tr>
      <w:tr w14:paraId="111444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16CB19E1">
            <w:pPr>
              <w:pStyle w:val="22"/>
              <w:bidi w:val="0"/>
              <w:jc w:val="center"/>
              <w:rPr>
                <w:highlight w:val="none"/>
                <w:lang w:val="en-US" w:eastAsia="zh-CN"/>
              </w:rPr>
            </w:pPr>
            <w:r>
              <w:rPr>
                <w:highlight w:val="none"/>
              </w:rPr>
              <w:t>49</w:t>
            </w:r>
          </w:p>
        </w:tc>
        <w:tc>
          <w:tcPr>
            <w:tcW w:w="1586" w:type="dxa"/>
            <w:shd w:val="clear" w:color="auto" w:fill="auto"/>
            <w:vAlign w:val="center"/>
          </w:tcPr>
          <w:p w14:paraId="37A3F095">
            <w:pPr>
              <w:pStyle w:val="22"/>
              <w:bidi w:val="0"/>
              <w:jc w:val="center"/>
              <w:rPr>
                <w:highlight w:val="none"/>
              </w:rPr>
            </w:pPr>
            <w:r>
              <w:rPr>
                <w:highlight w:val="none"/>
              </w:rPr>
              <w:t>大杜鹃</w:t>
            </w:r>
          </w:p>
          <w:p w14:paraId="61DFC156">
            <w:pPr>
              <w:pStyle w:val="22"/>
              <w:bidi w:val="0"/>
              <w:jc w:val="center"/>
              <w:rPr>
                <w:highlight w:val="none"/>
                <w:lang w:val="en-US" w:eastAsia="zh-CN"/>
              </w:rPr>
            </w:pPr>
            <w:r>
              <w:rPr>
                <w:i/>
                <w:iCs w:val="0"/>
                <w:highlight w:val="none"/>
              </w:rPr>
              <w:t>Cuculus canorus</w:t>
            </w:r>
          </w:p>
        </w:tc>
        <w:tc>
          <w:tcPr>
            <w:tcW w:w="531" w:type="dxa"/>
            <w:shd w:val="clear" w:color="auto" w:fill="auto"/>
            <w:vAlign w:val="center"/>
          </w:tcPr>
          <w:p w14:paraId="62E2DFEB">
            <w:pPr>
              <w:pStyle w:val="22"/>
              <w:bidi w:val="0"/>
              <w:jc w:val="center"/>
              <w:rPr>
                <w:highlight w:val="none"/>
                <w:lang w:val="en-US" w:eastAsia="zh-CN"/>
              </w:rPr>
            </w:pPr>
            <w:r>
              <w:rPr>
                <w:highlight w:val="none"/>
              </w:rPr>
              <w:t>32</w:t>
            </w:r>
          </w:p>
        </w:tc>
        <w:tc>
          <w:tcPr>
            <w:tcW w:w="533" w:type="dxa"/>
            <w:shd w:val="clear" w:color="auto" w:fill="auto"/>
            <w:vAlign w:val="center"/>
          </w:tcPr>
          <w:p w14:paraId="48540C49">
            <w:pPr>
              <w:pStyle w:val="22"/>
              <w:bidi w:val="0"/>
              <w:jc w:val="center"/>
              <w:rPr>
                <w:highlight w:val="none"/>
                <w:lang w:val="en-US" w:eastAsia="zh-CN"/>
              </w:rPr>
            </w:pPr>
            <w:r>
              <w:rPr>
                <w:highlight w:val="none"/>
              </w:rPr>
              <w:t>28</w:t>
            </w:r>
          </w:p>
        </w:tc>
        <w:tc>
          <w:tcPr>
            <w:tcW w:w="428" w:type="dxa"/>
            <w:shd w:val="clear" w:color="auto" w:fill="auto"/>
            <w:vAlign w:val="center"/>
          </w:tcPr>
          <w:p w14:paraId="7D111BFF">
            <w:pPr>
              <w:pStyle w:val="22"/>
              <w:bidi w:val="0"/>
              <w:jc w:val="center"/>
              <w:rPr>
                <w:highlight w:val="none"/>
                <w:lang w:val="en-US" w:eastAsia="zh-CN"/>
              </w:rPr>
            </w:pPr>
            <w:r>
              <w:rPr>
                <w:highlight w:val="none"/>
              </w:rPr>
              <w:t>18</w:t>
            </w:r>
          </w:p>
        </w:tc>
        <w:tc>
          <w:tcPr>
            <w:tcW w:w="428" w:type="dxa"/>
            <w:shd w:val="clear" w:color="auto" w:fill="auto"/>
            <w:vAlign w:val="center"/>
          </w:tcPr>
          <w:p w14:paraId="5BCF75B2">
            <w:pPr>
              <w:pStyle w:val="22"/>
              <w:bidi w:val="0"/>
              <w:jc w:val="center"/>
              <w:rPr>
                <w:highlight w:val="none"/>
                <w:lang w:val="en-US" w:eastAsia="zh-CN"/>
              </w:rPr>
            </w:pPr>
            <w:r>
              <w:rPr>
                <w:highlight w:val="none"/>
              </w:rPr>
              <w:t>2</w:t>
            </w:r>
          </w:p>
        </w:tc>
        <w:tc>
          <w:tcPr>
            <w:tcW w:w="793" w:type="dxa"/>
            <w:shd w:val="clear" w:color="auto" w:fill="auto"/>
            <w:vAlign w:val="center"/>
          </w:tcPr>
          <w:p w14:paraId="7B0F14FD">
            <w:pPr>
              <w:pStyle w:val="22"/>
              <w:bidi w:val="0"/>
              <w:jc w:val="center"/>
              <w:rPr>
                <w:highlight w:val="none"/>
                <w:lang w:val="en-US" w:eastAsia="zh-CN"/>
              </w:rPr>
            </w:pPr>
            <w:r>
              <w:rPr>
                <w:highlight w:val="none"/>
              </w:rPr>
              <w:t>0.1111</w:t>
            </w:r>
          </w:p>
        </w:tc>
        <w:tc>
          <w:tcPr>
            <w:tcW w:w="795" w:type="dxa"/>
            <w:shd w:val="clear" w:color="auto" w:fill="auto"/>
            <w:vAlign w:val="center"/>
          </w:tcPr>
          <w:p w14:paraId="1A49A499">
            <w:pPr>
              <w:pStyle w:val="22"/>
              <w:bidi w:val="0"/>
              <w:jc w:val="center"/>
              <w:rPr>
                <w:highlight w:val="none"/>
                <w:lang w:val="en-US" w:eastAsia="zh-CN"/>
              </w:rPr>
            </w:pPr>
            <w:r>
              <w:rPr>
                <w:highlight w:val="none"/>
              </w:rPr>
              <w:t>40.77</w:t>
            </w:r>
          </w:p>
        </w:tc>
        <w:tc>
          <w:tcPr>
            <w:tcW w:w="970" w:type="dxa"/>
            <w:shd w:val="clear" w:color="auto" w:fill="auto"/>
            <w:vAlign w:val="center"/>
          </w:tcPr>
          <w:p w14:paraId="2D47D8E4">
            <w:pPr>
              <w:pStyle w:val="22"/>
              <w:bidi w:val="0"/>
              <w:jc w:val="center"/>
              <w:rPr>
                <w:highlight w:val="none"/>
                <w:lang w:val="en-US" w:eastAsia="zh-CN"/>
              </w:rPr>
            </w:pPr>
            <w:r>
              <w:rPr>
                <w:highlight w:val="none"/>
              </w:rPr>
              <w:t>70.00%</w:t>
            </w:r>
          </w:p>
        </w:tc>
        <w:tc>
          <w:tcPr>
            <w:tcW w:w="795" w:type="dxa"/>
            <w:shd w:val="clear" w:color="auto" w:fill="auto"/>
            <w:vAlign w:val="center"/>
          </w:tcPr>
          <w:p w14:paraId="327425CB">
            <w:pPr>
              <w:pStyle w:val="22"/>
              <w:bidi w:val="0"/>
              <w:jc w:val="center"/>
              <w:rPr>
                <w:highlight w:val="none"/>
                <w:lang w:val="en-US" w:eastAsia="zh-CN"/>
              </w:rPr>
            </w:pPr>
            <w:r>
              <w:rPr>
                <w:highlight w:val="none"/>
              </w:rPr>
              <w:t>0.0816</w:t>
            </w:r>
          </w:p>
        </w:tc>
        <w:tc>
          <w:tcPr>
            <w:tcW w:w="800" w:type="dxa"/>
            <w:shd w:val="clear" w:color="auto" w:fill="auto"/>
            <w:vAlign w:val="center"/>
          </w:tcPr>
          <w:p w14:paraId="433E4566">
            <w:pPr>
              <w:pStyle w:val="22"/>
              <w:bidi w:val="0"/>
              <w:jc w:val="center"/>
              <w:rPr>
                <w:highlight w:val="none"/>
                <w:lang w:val="en-US" w:eastAsia="zh-CN"/>
              </w:rPr>
            </w:pPr>
            <w:r>
              <w:rPr>
                <w:highlight w:val="none"/>
              </w:rPr>
              <w:t>0.0195</w:t>
            </w:r>
          </w:p>
        </w:tc>
      </w:tr>
      <w:tr w14:paraId="346ECA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6867AC6E">
            <w:pPr>
              <w:pStyle w:val="22"/>
              <w:bidi w:val="0"/>
              <w:jc w:val="center"/>
              <w:rPr>
                <w:highlight w:val="none"/>
                <w:lang w:val="en-US" w:eastAsia="zh-CN"/>
              </w:rPr>
            </w:pPr>
            <w:r>
              <w:rPr>
                <w:highlight w:val="none"/>
              </w:rPr>
              <w:t>50</w:t>
            </w:r>
          </w:p>
        </w:tc>
        <w:tc>
          <w:tcPr>
            <w:tcW w:w="1586" w:type="dxa"/>
            <w:shd w:val="clear" w:color="auto" w:fill="auto"/>
            <w:vAlign w:val="center"/>
          </w:tcPr>
          <w:p w14:paraId="1D54F0AA">
            <w:pPr>
              <w:pStyle w:val="22"/>
              <w:bidi w:val="0"/>
              <w:jc w:val="center"/>
              <w:rPr>
                <w:highlight w:val="none"/>
              </w:rPr>
            </w:pPr>
            <w:r>
              <w:rPr>
                <w:highlight w:val="none"/>
              </w:rPr>
              <w:t>夜鹭</w:t>
            </w:r>
          </w:p>
          <w:p w14:paraId="3E21AF18">
            <w:pPr>
              <w:pStyle w:val="22"/>
              <w:bidi w:val="0"/>
              <w:jc w:val="center"/>
              <w:rPr>
                <w:i/>
                <w:iCs w:val="0"/>
                <w:highlight w:val="none"/>
              </w:rPr>
            </w:pPr>
            <w:r>
              <w:rPr>
                <w:i/>
                <w:iCs w:val="0"/>
                <w:highlight w:val="none"/>
              </w:rPr>
              <w:t>Nycticorax</w:t>
            </w:r>
          </w:p>
          <w:p w14:paraId="733A95FA">
            <w:pPr>
              <w:pStyle w:val="22"/>
              <w:bidi w:val="0"/>
              <w:jc w:val="center"/>
              <w:rPr>
                <w:highlight w:val="none"/>
                <w:lang w:val="en-US" w:eastAsia="zh-CN"/>
              </w:rPr>
            </w:pPr>
            <w:r>
              <w:rPr>
                <w:i/>
                <w:iCs w:val="0"/>
                <w:highlight w:val="none"/>
              </w:rPr>
              <w:t>nycticorax</w:t>
            </w:r>
          </w:p>
        </w:tc>
        <w:tc>
          <w:tcPr>
            <w:tcW w:w="531" w:type="dxa"/>
            <w:shd w:val="clear" w:color="auto" w:fill="auto"/>
            <w:vAlign w:val="center"/>
          </w:tcPr>
          <w:p w14:paraId="39D29193">
            <w:pPr>
              <w:pStyle w:val="22"/>
              <w:bidi w:val="0"/>
              <w:jc w:val="center"/>
              <w:rPr>
                <w:highlight w:val="none"/>
                <w:lang w:val="en-US" w:eastAsia="zh-CN"/>
              </w:rPr>
            </w:pPr>
            <w:r>
              <w:rPr>
                <w:highlight w:val="none"/>
              </w:rPr>
              <w:t>2</w:t>
            </w:r>
          </w:p>
        </w:tc>
        <w:tc>
          <w:tcPr>
            <w:tcW w:w="533" w:type="dxa"/>
            <w:shd w:val="clear" w:color="auto" w:fill="auto"/>
            <w:vAlign w:val="center"/>
          </w:tcPr>
          <w:p w14:paraId="2D82A792">
            <w:pPr>
              <w:pStyle w:val="22"/>
              <w:bidi w:val="0"/>
              <w:jc w:val="center"/>
              <w:rPr>
                <w:highlight w:val="none"/>
                <w:lang w:val="en-US" w:eastAsia="zh-CN"/>
              </w:rPr>
            </w:pPr>
            <w:r>
              <w:rPr>
                <w:highlight w:val="none"/>
              </w:rPr>
              <w:t>2</w:t>
            </w:r>
          </w:p>
        </w:tc>
        <w:tc>
          <w:tcPr>
            <w:tcW w:w="428" w:type="dxa"/>
            <w:shd w:val="clear" w:color="auto" w:fill="auto"/>
            <w:vAlign w:val="center"/>
          </w:tcPr>
          <w:p w14:paraId="21FC81BC">
            <w:pPr>
              <w:pStyle w:val="22"/>
              <w:bidi w:val="0"/>
              <w:jc w:val="center"/>
              <w:rPr>
                <w:highlight w:val="none"/>
                <w:lang w:val="en-US" w:eastAsia="zh-CN"/>
              </w:rPr>
            </w:pPr>
            <w:r>
              <w:rPr>
                <w:highlight w:val="none"/>
              </w:rPr>
              <w:t>2</w:t>
            </w:r>
          </w:p>
        </w:tc>
        <w:tc>
          <w:tcPr>
            <w:tcW w:w="428" w:type="dxa"/>
            <w:shd w:val="clear" w:color="auto" w:fill="auto"/>
            <w:vAlign w:val="center"/>
          </w:tcPr>
          <w:p w14:paraId="228FFD8E">
            <w:pPr>
              <w:pStyle w:val="22"/>
              <w:bidi w:val="0"/>
              <w:jc w:val="center"/>
              <w:rPr>
                <w:highlight w:val="none"/>
                <w:lang w:val="en-US" w:eastAsia="zh-CN"/>
              </w:rPr>
            </w:pPr>
            <w:r>
              <w:rPr>
                <w:highlight w:val="none"/>
              </w:rPr>
              <w:t>1</w:t>
            </w:r>
          </w:p>
        </w:tc>
        <w:tc>
          <w:tcPr>
            <w:tcW w:w="793" w:type="dxa"/>
            <w:shd w:val="clear" w:color="auto" w:fill="auto"/>
            <w:vAlign w:val="center"/>
          </w:tcPr>
          <w:p w14:paraId="52A10420">
            <w:pPr>
              <w:pStyle w:val="22"/>
              <w:bidi w:val="0"/>
              <w:jc w:val="center"/>
              <w:rPr>
                <w:highlight w:val="none"/>
                <w:lang w:val="en-US" w:eastAsia="zh-CN"/>
              </w:rPr>
            </w:pPr>
            <w:r>
              <w:rPr>
                <w:highlight w:val="none"/>
              </w:rPr>
              <w:t>0.0069</w:t>
            </w:r>
          </w:p>
        </w:tc>
        <w:tc>
          <w:tcPr>
            <w:tcW w:w="795" w:type="dxa"/>
            <w:shd w:val="clear" w:color="auto" w:fill="auto"/>
            <w:vAlign w:val="center"/>
          </w:tcPr>
          <w:p w14:paraId="0040916F">
            <w:pPr>
              <w:pStyle w:val="22"/>
              <w:bidi w:val="0"/>
              <w:jc w:val="center"/>
              <w:rPr>
                <w:highlight w:val="none"/>
                <w:lang w:val="en-US" w:eastAsia="zh-CN"/>
              </w:rPr>
            </w:pPr>
            <w:r>
              <w:rPr>
                <w:highlight w:val="none"/>
              </w:rPr>
              <w:t>4.03</w:t>
            </w:r>
          </w:p>
        </w:tc>
        <w:tc>
          <w:tcPr>
            <w:tcW w:w="970" w:type="dxa"/>
            <w:shd w:val="clear" w:color="auto" w:fill="auto"/>
            <w:vAlign w:val="center"/>
          </w:tcPr>
          <w:p w14:paraId="1CAFEA61">
            <w:pPr>
              <w:pStyle w:val="22"/>
              <w:bidi w:val="0"/>
              <w:jc w:val="center"/>
              <w:rPr>
                <w:highlight w:val="none"/>
                <w:lang w:val="en-US" w:eastAsia="zh-CN"/>
              </w:rPr>
            </w:pPr>
            <w:r>
              <w:rPr>
                <w:highlight w:val="none"/>
              </w:rPr>
              <w:t>23.33%</w:t>
            </w:r>
          </w:p>
        </w:tc>
        <w:tc>
          <w:tcPr>
            <w:tcW w:w="795" w:type="dxa"/>
            <w:shd w:val="clear" w:color="auto" w:fill="auto"/>
            <w:vAlign w:val="center"/>
          </w:tcPr>
          <w:p w14:paraId="44F0BB0B">
            <w:pPr>
              <w:pStyle w:val="22"/>
              <w:bidi w:val="0"/>
              <w:jc w:val="center"/>
              <w:rPr>
                <w:highlight w:val="none"/>
                <w:lang w:val="en-US" w:eastAsia="zh-CN"/>
              </w:rPr>
            </w:pPr>
            <w:r>
              <w:rPr>
                <w:highlight w:val="none"/>
              </w:rPr>
              <w:t>0.0088</w:t>
            </w:r>
          </w:p>
        </w:tc>
        <w:tc>
          <w:tcPr>
            <w:tcW w:w="800" w:type="dxa"/>
            <w:shd w:val="clear" w:color="auto" w:fill="auto"/>
            <w:vAlign w:val="center"/>
          </w:tcPr>
          <w:p w14:paraId="3A38D557">
            <w:pPr>
              <w:pStyle w:val="22"/>
              <w:bidi w:val="0"/>
              <w:jc w:val="center"/>
              <w:rPr>
                <w:highlight w:val="none"/>
                <w:lang w:val="en-US" w:eastAsia="zh-CN"/>
              </w:rPr>
            </w:pPr>
            <w:r>
              <w:rPr>
                <w:highlight w:val="none"/>
              </w:rPr>
              <w:t>0.0021</w:t>
            </w:r>
          </w:p>
        </w:tc>
      </w:tr>
      <w:tr w14:paraId="7228A2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039FD18C">
            <w:pPr>
              <w:pStyle w:val="22"/>
              <w:bidi w:val="0"/>
              <w:jc w:val="center"/>
              <w:rPr>
                <w:highlight w:val="none"/>
                <w:lang w:val="en-US" w:eastAsia="zh-CN"/>
              </w:rPr>
            </w:pPr>
            <w:r>
              <w:rPr>
                <w:highlight w:val="none"/>
              </w:rPr>
              <w:t>51</w:t>
            </w:r>
          </w:p>
        </w:tc>
        <w:tc>
          <w:tcPr>
            <w:tcW w:w="1586" w:type="dxa"/>
            <w:shd w:val="clear" w:color="auto" w:fill="auto"/>
            <w:vAlign w:val="center"/>
          </w:tcPr>
          <w:p w14:paraId="0C3BD318">
            <w:pPr>
              <w:pStyle w:val="22"/>
              <w:bidi w:val="0"/>
              <w:jc w:val="center"/>
              <w:rPr>
                <w:highlight w:val="none"/>
              </w:rPr>
            </w:pPr>
            <w:r>
              <w:rPr>
                <w:highlight w:val="none"/>
              </w:rPr>
              <w:t>绿鹭</w:t>
            </w:r>
          </w:p>
          <w:p w14:paraId="03F114F4">
            <w:pPr>
              <w:pStyle w:val="22"/>
              <w:bidi w:val="0"/>
              <w:jc w:val="center"/>
              <w:rPr>
                <w:highlight w:val="none"/>
                <w:lang w:val="en-US" w:eastAsia="zh-CN"/>
              </w:rPr>
            </w:pPr>
            <w:r>
              <w:rPr>
                <w:i/>
                <w:iCs w:val="0"/>
                <w:highlight w:val="none"/>
              </w:rPr>
              <w:t>Butorides striata</w:t>
            </w:r>
          </w:p>
        </w:tc>
        <w:tc>
          <w:tcPr>
            <w:tcW w:w="531" w:type="dxa"/>
            <w:shd w:val="clear" w:color="auto" w:fill="auto"/>
            <w:vAlign w:val="center"/>
          </w:tcPr>
          <w:p w14:paraId="66A9FF63">
            <w:pPr>
              <w:pStyle w:val="22"/>
              <w:bidi w:val="0"/>
              <w:jc w:val="center"/>
              <w:rPr>
                <w:highlight w:val="none"/>
                <w:lang w:val="en-US" w:eastAsia="zh-CN"/>
              </w:rPr>
            </w:pPr>
            <w:r>
              <w:rPr>
                <w:highlight w:val="none"/>
              </w:rPr>
              <w:t>4</w:t>
            </w:r>
          </w:p>
        </w:tc>
        <w:tc>
          <w:tcPr>
            <w:tcW w:w="533" w:type="dxa"/>
            <w:shd w:val="clear" w:color="auto" w:fill="auto"/>
            <w:vAlign w:val="center"/>
          </w:tcPr>
          <w:p w14:paraId="420D4E77">
            <w:pPr>
              <w:pStyle w:val="22"/>
              <w:bidi w:val="0"/>
              <w:jc w:val="center"/>
              <w:rPr>
                <w:highlight w:val="none"/>
                <w:lang w:val="en-US" w:eastAsia="zh-CN"/>
              </w:rPr>
            </w:pPr>
            <w:r>
              <w:rPr>
                <w:highlight w:val="none"/>
              </w:rPr>
              <w:t>4</w:t>
            </w:r>
          </w:p>
        </w:tc>
        <w:tc>
          <w:tcPr>
            <w:tcW w:w="428" w:type="dxa"/>
            <w:shd w:val="clear" w:color="auto" w:fill="auto"/>
            <w:vAlign w:val="center"/>
          </w:tcPr>
          <w:p w14:paraId="3613A647">
            <w:pPr>
              <w:pStyle w:val="22"/>
              <w:bidi w:val="0"/>
              <w:jc w:val="center"/>
              <w:rPr>
                <w:highlight w:val="none"/>
                <w:lang w:val="en-US" w:eastAsia="zh-CN"/>
              </w:rPr>
            </w:pPr>
            <w:r>
              <w:rPr>
                <w:highlight w:val="none"/>
              </w:rPr>
              <w:t>4</w:t>
            </w:r>
          </w:p>
        </w:tc>
        <w:tc>
          <w:tcPr>
            <w:tcW w:w="428" w:type="dxa"/>
            <w:shd w:val="clear" w:color="auto" w:fill="auto"/>
            <w:vAlign w:val="center"/>
          </w:tcPr>
          <w:p w14:paraId="764BCF1A">
            <w:pPr>
              <w:pStyle w:val="22"/>
              <w:bidi w:val="0"/>
              <w:jc w:val="center"/>
              <w:rPr>
                <w:highlight w:val="none"/>
                <w:lang w:val="en-US" w:eastAsia="zh-CN"/>
              </w:rPr>
            </w:pPr>
            <w:r>
              <w:rPr>
                <w:highlight w:val="none"/>
              </w:rPr>
              <w:t>1</w:t>
            </w:r>
          </w:p>
        </w:tc>
        <w:tc>
          <w:tcPr>
            <w:tcW w:w="793" w:type="dxa"/>
            <w:shd w:val="clear" w:color="auto" w:fill="auto"/>
            <w:vAlign w:val="center"/>
          </w:tcPr>
          <w:p w14:paraId="7514422C">
            <w:pPr>
              <w:pStyle w:val="22"/>
              <w:bidi w:val="0"/>
              <w:jc w:val="center"/>
              <w:rPr>
                <w:highlight w:val="none"/>
                <w:lang w:val="en-US" w:eastAsia="zh-CN"/>
              </w:rPr>
            </w:pPr>
            <w:r>
              <w:rPr>
                <w:highlight w:val="none"/>
              </w:rPr>
              <w:t>0.0139</w:t>
            </w:r>
          </w:p>
        </w:tc>
        <w:tc>
          <w:tcPr>
            <w:tcW w:w="795" w:type="dxa"/>
            <w:shd w:val="clear" w:color="auto" w:fill="auto"/>
            <w:vAlign w:val="center"/>
          </w:tcPr>
          <w:p w14:paraId="4BEDC5C1">
            <w:pPr>
              <w:pStyle w:val="22"/>
              <w:bidi w:val="0"/>
              <w:jc w:val="center"/>
              <w:rPr>
                <w:highlight w:val="none"/>
                <w:lang w:val="en-US" w:eastAsia="zh-CN"/>
              </w:rPr>
            </w:pPr>
            <w:r>
              <w:rPr>
                <w:highlight w:val="none"/>
              </w:rPr>
              <w:t>8.07</w:t>
            </w:r>
          </w:p>
        </w:tc>
        <w:tc>
          <w:tcPr>
            <w:tcW w:w="970" w:type="dxa"/>
            <w:shd w:val="clear" w:color="auto" w:fill="auto"/>
            <w:vAlign w:val="center"/>
          </w:tcPr>
          <w:p w14:paraId="0EF67C4A">
            <w:pPr>
              <w:pStyle w:val="22"/>
              <w:bidi w:val="0"/>
              <w:jc w:val="center"/>
              <w:rPr>
                <w:highlight w:val="none"/>
                <w:lang w:val="en-US" w:eastAsia="zh-CN"/>
              </w:rPr>
            </w:pPr>
            <w:r>
              <w:rPr>
                <w:highlight w:val="none"/>
              </w:rPr>
              <w:t>26.67%</w:t>
            </w:r>
          </w:p>
        </w:tc>
        <w:tc>
          <w:tcPr>
            <w:tcW w:w="795" w:type="dxa"/>
            <w:shd w:val="clear" w:color="auto" w:fill="auto"/>
            <w:vAlign w:val="center"/>
          </w:tcPr>
          <w:p w14:paraId="327BA196">
            <w:pPr>
              <w:pStyle w:val="22"/>
              <w:bidi w:val="0"/>
              <w:jc w:val="center"/>
              <w:rPr>
                <w:highlight w:val="none"/>
                <w:lang w:val="en-US" w:eastAsia="zh-CN"/>
              </w:rPr>
            </w:pPr>
            <w:r>
              <w:rPr>
                <w:highlight w:val="none"/>
              </w:rPr>
              <w:t>0.0157</w:t>
            </w:r>
          </w:p>
        </w:tc>
        <w:tc>
          <w:tcPr>
            <w:tcW w:w="800" w:type="dxa"/>
            <w:shd w:val="clear" w:color="auto" w:fill="auto"/>
            <w:vAlign w:val="center"/>
          </w:tcPr>
          <w:p w14:paraId="477ED04B">
            <w:pPr>
              <w:pStyle w:val="22"/>
              <w:bidi w:val="0"/>
              <w:jc w:val="center"/>
              <w:rPr>
                <w:highlight w:val="none"/>
                <w:lang w:val="en-US" w:eastAsia="zh-CN"/>
              </w:rPr>
            </w:pPr>
            <w:r>
              <w:rPr>
                <w:highlight w:val="none"/>
              </w:rPr>
              <w:t>0.0037</w:t>
            </w:r>
          </w:p>
        </w:tc>
      </w:tr>
      <w:tr w14:paraId="771269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669F50A5">
            <w:pPr>
              <w:pStyle w:val="22"/>
              <w:bidi w:val="0"/>
              <w:jc w:val="center"/>
              <w:rPr>
                <w:highlight w:val="none"/>
                <w:lang w:val="en-US" w:eastAsia="zh-CN"/>
              </w:rPr>
            </w:pPr>
            <w:r>
              <w:rPr>
                <w:highlight w:val="none"/>
              </w:rPr>
              <w:t>52</w:t>
            </w:r>
          </w:p>
        </w:tc>
        <w:tc>
          <w:tcPr>
            <w:tcW w:w="1586" w:type="dxa"/>
            <w:shd w:val="clear" w:color="auto" w:fill="auto"/>
            <w:vAlign w:val="center"/>
          </w:tcPr>
          <w:p w14:paraId="1FF179EB">
            <w:pPr>
              <w:pStyle w:val="22"/>
              <w:bidi w:val="0"/>
              <w:jc w:val="center"/>
              <w:rPr>
                <w:i/>
                <w:iCs w:val="0"/>
                <w:highlight w:val="none"/>
              </w:rPr>
            </w:pPr>
            <w:r>
              <w:rPr>
                <w:highlight w:val="none"/>
              </w:rPr>
              <w:t xml:space="preserve">牛背鹭 </w:t>
            </w:r>
            <w:r>
              <w:rPr>
                <w:i/>
                <w:iCs w:val="0"/>
                <w:highlight w:val="none"/>
              </w:rPr>
              <w:t>Bubulcus</w:t>
            </w:r>
          </w:p>
          <w:p w14:paraId="3C8BB767">
            <w:pPr>
              <w:pStyle w:val="22"/>
              <w:bidi w:val="0"/>
              <w:jc w:val="center"/>
              <w:rPr>
                <w:highlight w:val="none"/>
                <w:lang w:val="en-US" w:eastAsia="zh-CN"/>
              </w:rPr>
            </w:pPr>
            <w:r>
              <w:rPr>
                <w:i/>
                <w:iCs w:val="0"/>
                <w:highlight w:val="none"/>
              </w:rPr>
              <w:t>coromandus</w:t>
            </w:r>
          </w:p>
        </w:tc>
        <w:tc>
          <w:tcPr>
            <w:tcW w:w="531" w:type="dxa"/>
            <w:shd w:val="clear" w:color="auto" w:fill="auto"/>
            <w:vAlign w:val="center"/>
          </w:tcPr>
          <w:p w14:paraId="7AA906AD">
            <w:pPr>
              <w:pStyle w:val="22"/>
              <w:bidi w:val="0"/>
              <w:jc w:val="center"/>
              <w:rPr>
                <w:highlight w:val="none"/>
                <w:lang w:val="en-US" w:eastAsia="zh-CN"/>
              </w:rPr>
            </w:pPr>
            <w:r>
              <w:rPr>
                <w:highlight w:val="none"/>
              </w:rPr>
              <w:t>31</w:t>
            </w:r>
          </w:p>
        </w:tc>
        <w:tc>
          <w:tcPr>
            <w:tcW w:w="533" w:type="dxa"/>
            <w:shd w:val="clear" w:color="auto" w:fill="auto"/>
            <w:vAlign w:val="center"/>
          </w:tcPr>
          <w:p w14:paraId="0A6CD0AA">
            <w:pPr>
              <w:pStyle w:val="22"/>
              <w:bidi w:val="0"/>
              <w:jc w:val="center"/>
              <w:rPr>
                <w:highlight w:val="none"/>
                <w:lang w:val="en-US" w:eastAsia="zh-CN"/>
              </w:rPr>
            </w:pPr>
            <w:r>
              <w:rPr>
                <w:highlight w:val="none"/>
              </w:rPr>
              <w:t>11</w:t>
            </w:r>
          </w:p>
        </w:tc>
        <w:tc>
          <w:tcPr>
            <w:tcW w:w="428" w:type="dxa"/>
            <w:shd w:val="clear" w:color="auto" w:fill="auto"/>
            <w:vAlign w:val="center"/>
          </w:tcPr>
          <w:p w14:paraId="24EEA5C5">
            <w:pPr>
              <w:pStyle w:val="22"/>
              <w:bidi w:val="0"/>
              <w:jc w:val="center"/>
              <w:rPr>
                <w:highlight w:val="none"/>
                <w:lang w:val="en-US" w:eastAsia="zh-CN"/>
              </w:rPr>
            </w:pPr>
            <w:r>
              <w:rPr>
                <w:highlight w:val="none"/>
              </w:rPr>
              <w:t>8</w:t>
            </w:r>
          </w:p>
        </w:tc>
        <w:tc>
          <w:tcPr>
            <w:tcW w:w="428" w:type="dxa"/>
            <w:shd w:val="clear" w:color="auto" w:fill="auto"/>
            <w:vAlign w:val="center"/>
          </w:tcPr>
          <w:p w14:paraId="698858EC">
            <w:pPr>
              <w:pStyle w:val="22"/>
              <w:bidi w:val="0"/>
              <w:jc w:val="center"/>
              <w:rPr>
                <w:highlight w:val="none"/>
                <w:lang w:val="en-US" w:eastAsia="zh-CN"/>
              </w:rPr>
            </w:pPr>
            <w:r>
              <w:rPr>
                <w:highlight w:val="none"/>
              </w:rPr>
              <w:t>2</w:t>
            </w:r>
          </w:p>
        </w:tc>
        <w:tc>
          <w:tcPr>
            <w:tcW w:w="793" w:type="dxa"/>
            <w:shd w:val="clear" w:color="auto" w:fill="auto"/>
            <w:vAlign w:val="center"/>
          </w:tcPr>
          <w:p w14:paraId="3BF04739">
            <w:pPr>
              <w:pStyle w:val="22"/>
              <w:bidi w:val="0"/>
              <w:jc w:val="center"/>
              <w:rPr>
                <w:highlight w:val="none"/>
                <w:lang w:val="en-US" w:eastAsia="zh-CN"/>
              </w:rPr>
            </w:pPr>
            <w:r>
              <w:rPr>
                <w:highlight w:val="none"/>
              </w:rPr>
              <w:t>0.1076</w:t>
            </w:r>
          </w:p>
        </w:tc>
        <w:tc>
          <w:tcPr>
            <w:tcW w:w="795" w:type="dxa"/>
            <w:shd w:val="clear" w:color="auto" w:fill="auto"/>
            <w:vAlign w:val="center"/>
          </w:tcPr>
          <w:p w14:paraId="004A0363">
            <w:pPr>
              <w:pStyle w:val="22"/>
              <w:bidi w:val="0"/>
              <w:jc w:val="center"/>
              <w:rPr>
                <w:highlight w:val="none"/>
                <w:lang w:val="en-US" w:eastAsia="zh-CN"/>
              </w:rPr>
            </w:pPr>
            <w:r>
              <w:rPr>
                <w:highlight w:val="none"/>
              </w:rPr>
              <w:t>21.99</w:t>
            </w:r>
          </w:p>
        </w:tc>
        <w:tc>
          <w:tcPr>
            <w:tcW w:w="970" w:type="dxa"/>
            <w:shd w:val="clear" w:color="auto" w:fill="auto"/>
            <w:vAlign w:val="center"/>
          </w:tcPr>
          <w:p w14:paraId="11CBBC6F">
            <w:pPr>
              <w:pStyle w:val="22"/>
              <w:bidi w:val="0"/>
              <w:jc w:val="center"/>
              <w:rPr>
                <w:highlight w:val="none"/>
                <w:lang w:val="en-US" w:eastAsia="zh-CN"/>
              </w:rPr>
            </w:pPr>
            <w:r>
              <w:rPr>
                <w:highlight w:val="none"/>
              </w:rPr>
              <w:t>53.33%</w:t>
            </w:r>
          </w:p>
        </w:tc>
        <w:tc>
          <w:tcPr>
            <w:tcW w:w="795" w:type="dxa"/>
            <w:shd w:val="clear" w:color="auto" w:fill="auto"/>
            <w:vAlign w:val="center"/>
          </w:tcPr>
          <w:p w14:paraId="18F6B3BC">
            <w:pPr>
              <w:pStyle w:val="22"/>
              <w:bidi w:val="0"/>
              <w:jc w:val="center"/>
              <w:rPr>
                <w:highlight w:val="none"/>
                <w:lang w:val="en-US" w:eastAsia="zh-CN"/>
              </w:rPr>
            </w:pPr>
            <w:r>
              <w:rPr>
                <w:highlight w:val="none"/>
              </w:rPr>
              <w:t>0.0797</w:t>
            </w:r>
          </w:p>
        </w:tc>
        <w:tc>
          <w:tcPr>
            <w:tcW w:w="800" w:type="dxa"/>
            <w:shd w:val="clear" w:color="auto" w:fill="auto"/>
            <w:vAlign w:val="center"/>
          </w:tcPr>
          <w:p w14:paraId="35CD45AC">
            <w:pPr>
              <w:pStyle w:val="22"/>
              <w:bidi w:val="0"/>
              <w:jc w:val="center"/>
              <w:rPr>
                <w:highlight w:val="none"/>
                <w:lang w:val="en-US" w:eastAsia="zh-CN"/>
              </w:rPr>
            </w:pPr>
            <w:r>
              <w:rPr>
                <w:highlight w:val="none"/>
              </w:rPr>
              <w:t>0.0190</w:t>
            </w:r>
          </w:p>
        </w:tc>
      </w:tr>
      <w:tr w14:paraId="2DCF60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17C83E7B">
            <w:pPr>
              <w:pStyle w:val="22"/>
              <w:bidi w:val="0"/>
              <w:jc w:val="center"/>
              <w:rPr>
                <w:highlight w:val="none"/>
                <w:lang w:val="en-US" w:eastAsia="zh-CN"/>
              </w:rPr>
            </w:pPr>
            <w:r>
              <w:rPr>
                <w:highlight w:val="none"/>
              </w:rPr>
              <w:t>53</w:t>
            </w:r>
          </w:p>
        </w:tc>
        <w:tc>
          <w:tcPr>
            <w:tcW w:w="1586" w:type="dxa"/>
            <w:shd w:val="clear" w:color="auto" w:fill="auto"/>
            <w:vAlign w:val="center"/>
          </w:tcPr>
          <w:p w14:paraId="1791DD87">
            <w:pPr>
              <w:pStyle w:val="22"/>
              <w:bidi w:val="0"/>
              <w:jc w:val="center"/>
              <w:rPr>
                <w:highlight w:val="none"/>
              </w:rPr>
            </w:pPr>
            <w:r>
              <w:rPr>
                <w:highlight w:val="none"/>
              </w:rPr>
              <w:t>白鹭</w:t>
            </w:r>
          </w:p>
          <w:p w14:paraId="15C9D847">
            <w:pPr>
              <w:pStyle w:val="22"/>
              <w:bidi w:val="0"/>
              <w:jc w:val="center"/>
              <w:rPr>
                <w:highlight w:val="none"/>
                <w:lang w:val="en-US" w:eastAsia="zh-CN"/>
              </w:rPr>
            </w:pPr>
            <w:r>
              <w:rPr>
                <w:i/>
                <w:iCs w:val="0"/>
                <w:highlight w:val="none"/>
              </w:rPr>
              <w:t>Egretta garzetta</w:t>
            </w:r>
          </w:p>
        </w:tc>
        <w:tc>
          <w:tcPr>
            <w:tcW w:w="531" w:type="dxa"/>
            <w:shd w:val="clear" w:color="auto" w:fill="auto"/>
            <w:vAlign w:val="center"/>
          </w:tcPr>
          <w:p w14:paraId="64DAEECA">
            <w:pPr>
              <w:pStyle w:val="22"/>
              <w:bidi w:val="0"/>
              <w:jc w:val="center"/>
              <w:rPr>
                <w:highlight w:val="none"/>
                <w:lang w:val="en-US" w:eastAsia="zh-CN"/>
              </w:rPr>
            </w:pPr>
            <w:r>
              <w:rPr>
                <w:highlight w:val="none"/>
              </w:rPr>
              <w:t>6</w:t>
            </w:r>
          </w:p>
        </w:tc>
        <w:tc>
          <w:tcPr>
            <w:tcW w:w="533" w:type="dxa"/>
            <w:shd w:val="clear" w:color="auto" w:fill="auto"/>
            <w:vAlign w:val="center"/>
          </w:tcPr>
          <w:p w14:paraId="1CD117A6">
            <w:pPr>
              <w:pStyle w:val="22"/>
              <w:bidi w:val="0"/>
              <w:jc w:val="center"/>
              <w:rPr>
                <w:highlight w:val="none"/>
                <w:lang w:val="en-US" w:eastAsia="zh-CN"/>
              </w:rPr>
            </w:pPr>
            <w:r>
              <w:rPr>
                <w:highlight w:val="none"/>
              </w:rPr>
              <w:t>4</w:t>
            </w:r>
          </w:p>
        </w:tc>
        <w:tc>
          <w:tcPr>
            <w:tcW w:w="428" w:type="dxa"/>
            <w:shd w:val="clear" w:color="auto" w:fill="auto"/>
            <w:vAlign w:val="center"/>
          </w:tcPr>
          <w:p w14:paraId="7522C620">
            <w:pPr>
              <w:pStyle w:val="22"/>
              <w:bidi w:val="0"/>
              <w:jc w:val="center"/>
              <w:rPr>
                <w:highlight w:val="none"/>
                <w:lang w:val="en-US" w:eastAsia="zh-CN"/>
              </w:rPr>
            </w:pPr>
            <w:r>
              <w:rPr>
                <w:highlight w:val="none"/>
              </w:rPr>
              <w:t>3</w:t>
            </w:r>
          </w:p>
        </w:tc>
        <w:tc>
          <w:tcPr>
            <w:tcW w:w="428" w:type="dxa"/>
            <w:shd w:val="clear" w:color="auto" w:fill="auto"/>
            <w:vAlign w:val="center"/>
          </w:tcPr>
          <w:p w14:paraId="26A64F56">
            <w:pPr>
              <w:pStyle w:val="22"/>
              <w:bidi w:val="0"/>
              <w:jc w:val="center"/>
              <w:rPr>
                <w:highlight w:val="none"/>
                <w:lang w:val="en-US" w:eastAsia="zh-CN"/>
              </w:rPr>
            </w:pPr>
            <w:r>
              <w:rPr>
                <w:highlight w:val="none"/>
              </w:rPr>
              <w:t>1</w:t>
            </w:r>
          </w:p>
        </w:tc>
        <w:tc>
          <w:tcPr>
            <w:tcW w:w="793" w:type="dxa"/>
            <w:shd w:val="clear" w:color="auto" w:fill="auto"/>
            <w:vAlign w:val="center"/>
          </w:tcPr>
          <w:p w14:paraId="6A73C711">
            <w:pPr>
              <w:pStyle w:val="22"/>
              <w:bidi w:val="0"/>
              <w:jc w:val="center"/>
              <w:rPr>
                <w:highlight w:val="none"/>
                <w:lang w:val="en-US" w:eastAsia="zh-CN"/>
              </w:rPr>
            </w:pPr>
            <w:r>
              <w:rPr>
                <w:highlight w:val="none"/>
              </w:rPr>
              <w:t>0.0208</w:t>
            </w:r>
          </w:p>
        </w:tc>
        <w:tc>
          <w:tcPr>
            <w:tcW w:w="795" w:type="dxa"/>
            <w:shd w:val="clear" w:color="auto" w:fill="auto"/>
            <w:vAlign w:val="center"/>
          </w:tcPr>
          <w:p w14:paraId="445E1813">
            <w:pPr>
              <w:pStyle w:val="22"/>
              <w:bidi w:val="0"/>
              <w:jc w:val="center"/>
              <w:rPr>
                <w:highlight w:val="none"/>
                <w:lang w:val="en-US" w:eastAsia="zh-CN"/>
              </w:rPr>
            </w:pPr>
            <w:r>
              <w:rPr>
                <w:highlight w:val="none"/>
              </w:rPr>
              <w:t>6.88</w:t>
            </w:r>
          </w:p>
        </w:tc>
        <w:tc>
          <w:tcPr>
            <w:tcW w:w="970" w:type="dxa"/>
            <w:shd w:val="clear" w:color="auto" w:fill="auto"/>
            <w:vAlign w:val="center"/>
          </w:tcPr>
          <w:p w14:paraId="5CE83160">
            <w:pPr>
              <w:pStyle w:val="22"/>
              <w:bidi w:val="0"/>
              <w:jc w:val="center"/>
              <w:rPr>
                <w:highlight w:val="none"/>
                <w:lang w:val="en-US" w:eastAsia="zh-CN"/>
              </w:rPr>
            </w:pPr>
            <w:r>
              <w:rPr>
                <w:highlight w:val="none"/>
              </w:rPr>
              <w:t>25.00%</w:t>
            </w:r>
          </w:p>
        </w:tc>
        <w:tc>
          <w:tcPr>
            <w:tcW w:w="795" w:type="dxa"/>
            <w:shd w:val="clear" w:color="auto" w:fill="auto"/>
            <w:vAlign w:val="center"/>
          </w:tcPr>
          <w:p w14:paraId="11609182">
            <w:pPr>
              <w:pStyle w:val="22"/>
              <w:bidi w:val="0"/>
              <w:jc w:val="center"/>
              <w:rPr>
                <w:highlight w:val="none"/>
                <w:lang w:val="en-US" w:eastAsia="zh-CN"/>
              </w:rPr>
            </w:pPr>
            <w:r>
              <w:rPr>
                <w:highlight w:val="none"/>
              </w:rPr>
              <w:t>0.0220</w:t>
            </w:r>
          </w:p>
        </w:tc>
        <w:tc>
          <w:tcPr>
            <w:tcW w:w="800" w:type="dxa"/>
            <w:shd w:val="clear" w:color="auto" w:fill="auto"/>
            <w:vAlign w:val="center"/>
          </w:tcPr>
          <w:p w14:paraId="5D14F6D4">
            <w:pPr>
              <w:pStyle w:val="22"/>
              <w:bidi w:val="0"/>
              <w:jc w:val="center"/>
              <w:rPr>
                <w:highlight w:val="none"/>
                <w:lang w:val="en-US" w:eastAsia="zh-CN"/>
              </w:rPr>
            </w:pPr>
            <w:r>
              <w:rPr>
                <w:highlight w:val="none"/>
              </w:rPr>
              <w:t>0.0052</w:t>
            </w:r>
          </w:p>
        </w:tc>
      </w:tr>
      <w:tr w14:paraId="70004A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shd w:val="clear" w:color="auto" w:fill="auto"/>
            <w:vAlign w:val="center"/>
          </w:tcPr>
          <w:p w14:paraId="763166F5">
            <w:pPr>
              <w:pStyle w:val="22"/>
              <w:bidi w:val="0"/>
              <w:jc w:val="center"/>
              <w:rPr>
                <w:highlight w:val="none"/>
                <w:lang w:val="en-US" w:eastAsia="zh-CN"/>
              </w:rPr>
            </w:pPr>
            <w:r>
              <w:rPr>
                <w:highlight w:val="none"/>
              </w:rPr>
              <w:t>54</w:t>
            </w:r>
          </w:p>
        </w:tc>
        <w:tc>
          <w:tcPr>
            <w:tcW w:w="1586" w:type="dxa"/>
            <w:shd w:val="clear" w:color="auto" w:fill="auto"/>
            <w:vAlign w:val="center"/>
          </w:tcPr>
          <w:p w14:paraId="61DFBF09">
            <w:pPr>
              <w:pStyle w:val="22"/>
              <w:bidi w:val="0"/>
              <w:jc w:val="center"/>
              <w:rPr>
                <w:highlight w:val="none"/>
              </w:rPr>
            </w:pPr>
            <w:r>
              <w:rPr>
                <w:highlight w:val="none"/>
              </w:rPr>
              <w:t>普通鸬鹚</w:t>
            </w:r>
          </w:p>
          <w:p w14:paraId="42A59E1D">
            <w:pPr>
              <w:pStyle w:val="22"/>
              <w:bidi w:val="0"/>
              <w:jc w:val="center"/>
              <w:rPr>
                <w:i/>
                <w:iCs w:val="0"/>
                <w:highlight w:val="none"/>
              </w:rPr>
            </w:pPr>
            <w:r>
              <w:rPr>
                <w:i/>
                <w:iCs w:val="0"/>
                <w:highlight w:val="none"/>
              </w:rPr>
              <w:t>Phalacrocorax</w:t>
            </w:r>
          </w:p>
          <w:p w14:paraId="5E76FB25">
            <w:pPr>
              <w:pStyle w:val="22"/>
              <w:bidi w:val="0"/>
              <w:jc w:val="center"/>
              <w:rPr>
                <w:highlight w:val="none"/>
                <w:lang w:val="en-US" w:eastAsia="zh-CN"/>
              </w:rPr>
            </w:pPr>
            <w:r>
              <w:rPr>
                <w:i/>
                <w:iCs w:val="0"/>
                <w:highlight w:val="none"/>
              </w:rPr>
              <w:t>carbo</w:t>
            </w:r>
          </w:p>
        </w:tc>
        <w:tc>
          <w:tcPr>
            <w:tcW w:w="531" w:type="dxa"/>
            <w:shd w:val="clear" w:color="auto" w:fill="auto"/>
            <w:vAlign w:val="center"/>
          </w:tcPr>
          <w:p w14:paraId="24B2CBF8">
            <w:pPr>
              <w:pStyle w:val="22"/>
              <w:bidi w:val="0"/>
              <w:jc w:val="center"/>
              <w:rPr>
                <w:highlight w:val="none"/>
                <w:lang w:val="en-US" w:eastAsia="zh-CN"/>
              </w:rPr>
            </w:pPr>
            <w:r>
              <w:rPr>
                <w:highlight w:val="none"/>
              </w:rPr>
              <w:t>5</w:t>
            </w:r>
          </w:p>
        </w:tc>
        <w:tc>
          <w:tcPr>
            <w:tcW w:w="533" w:type="dxa"/>
            <w:shd w:val="clear" w:color="auto" w:fill="auto"/>
            <w:vAlign w:val="center"/>
          </w:tcPr>
          <w:p w14:paraId="7E701703">
            <w:pPr>
              <w:pStyle w:val="22"/>
              <w:bidi w:val="0"/>
              <w:jc w:val="center"/>
              <w:rPr>
                <w:highlight w:val="none"/>
                <w:lang w:val="en-US" w:eastAsia="zh-CN"/>
              </w:rPr>
            </w:pPr>
            <w:r>
              <w:rPr>
                <w:highlight w:val="none"/>
              </w:rPr>
              <w:t>5</w:t>
            </w:r>
          </w:p>
        </w:tc>
        <w:tc>
          <w:tcPr>
            <w:tcW w:w="428" w:type="dxa"/>
            <w:shd w:val="clear" w:color="auto" w:fill="auto"/>
            <w:vAlign w:val="center"/>
          </w:tcPr>
          <w:p w14:paraId="6811ABF9">
            <w:pPr>
              <w:pStyle w:val="22"/>
              <w:bidi w:val="0"/>
              <w:jc w:val="center"/>
              <w:rPr>
                <w:highlight w:val="none"/>
                <w:lang w:val="en-US" w:eastAsia="zh-CN"/>
              </w:rPr>
            </w:pPr>
            <w:r>
              <w:rPr>
                <w:highlight w:val="none"/>
              </w:rPr>
              <w:t>4</w:t>
            </w:r>
          </w:p>
        </w:tc>
        <w:tc>
          <w:tcPr>
            <w:tcW w:w="428" w:type="dxa"/>
            <w:shd w:val="clear" w:color="auto" w:fill="auto"/>
            <w:vAlign w:val="center"/>
          </w:tcPr>
          <w:p w14:paraId="304E74C9">
            <w:pPr>
              <w:pStyle w:val="22"/>
              <w:bidi w:val="0"/>
              <w:jc w:val="center"/>
              <w:rPr>
                <w:highlight w:val="none"/>
                <w:lang w:val="en-US" w:eastAsia="zh-CN"/>
              </w:rPr>
            </w:pPr>
            <w:r>
              <w:rPr>
                <w:highlight w:val="none"/>
              </w:rPr>
              <w:t>1</w:t>
            </w:r>
          </w:p>
        </w:tc>
        <w:tc>
          <w:tcPr>
            <w:tcW w:w="793" w:type="dxa"/>
            <w:shd w:val="clear" w:color="auto" w:fill="auto"/>
            <w:vAlign w:val="center"/>
          </w:tcPr>
          <w:p w14:paraId="748DD7C2">
            <w:pPr>
              <w:pStyle w:val="22"/>
              <w:bidi w:val="0"/>
              <w:jc w:val="center"/>
              <w:rPr>
                <w:highlight w:val="none"/>
                <w:lang w:val="en-US" w:eastAsia="zh-CN"/>
              </w:rPr>
            </w:pPr>
            <w:r>
              <w:rPr>
                <w:highlight w:val="none"/>
              </w:rPr>
              <w:t>0.0174</w:t>
            </w:r>
          </w:p>
        </w:tc>
        <w:tc>
          <w:tcPr>
            <w:tcW w:w="795" w:type="dxa"/>
            <w:shd w:val="clear" w:color="auto" w:fill="auto"/>
            <w:vAlign w:val="center"/>
          </w:tcPr>
          <w:p w14:paraId="55A254CF">
            <w:pPr>
              <w:pStyle w:val="22"/>
              <w:bidi w:val="0"/>
              <w:jc w:val="center"/>
              <w:rPr>
                <w:highlight w:val="none"/>
                <w:lang w:val="en-US" w:eastAsia="zh-CN"/>
              </w:rPr>
            </w:pPr>
            <w:r>
              <w:rPr>
                <w:highlight w:val="none"/>
              </w:rPr>
              <w:t>8.42</w:t>
            </w:r>
          </w:p>
        </w:tc>
        <w:tc>
          <w:tcPr>
            <w:tcW w:w="970" w:type="dxa"/>
            <w:shd w:val="clear" w:color="auto" w:fill="auto"/>
            <w:vAlign w:val="center"/>
          </w:tcPr>
          <w:p w14:paraId="676A9C80">
            <w:pPr>
              <w:pStyle w:val="22"/>
              <w:bidi w:val="0"/>
              <w:jc w:val="center"/>
              <w:rPr>
                <w:highlight w:val="none"/>
                <w:lang w:val="en-US" w:eastAsia="zh-CN"/>
              </w:rPr>
            </w:pPr>
            <w:r>
              <w:rPr>
                <w:highlight w:val="none"/>
              </w:rPr>
              <w:t>26.67%</w:t>
            </w:r>
          </w:p>
        </w:tc>
        <w:tc>
          <w:tcPr>
            <w:tcW w:w="795" w:type="dxa"/>
            <w:shd w:val="clear" w:color="auto" w:fill="auto"/>
            <w:vAlign w:val="center"/>
          </w:tcPr>
          <w:p w14:paraId="0BBA9F57">
            <w:pPr>
              <w:pStyle w:val="22"/>
              <w:bidi w:val="0"/>
              <w:jc w:val="center"/>
              <w:rPr>
                <w:highlight w:val="none"/>
                <w:lang w:val="en-US" w:eastAsia="zh-CN"/>
              </w:rPr>
            </w:pPr>
            <w:r>
              <w:rPr>
                <w:highlight w:val="none"/>
              </w:rPr>
              <w:t>0.0189</w:t>
            </w:r>
          </w:p>
        </w:tc>
        <w:tc>
          <w:tcPr>
            <w:tcW w:w="800" w:type="dxa"/>
            <w:shd w:val="clear" w:color="auto" w:fill="auto"/>
            <w:vAlign w:val="center"/>
          </w:tcPr>
          <w:p w14:paraId="0FB72FDA">
            <w:pPr>
              <w:pStyle w:val="22"/>
              <w:bidi w:val="0"/>
              <w:jc w:val="center"/>
              <w:rPr>
                <w:highlight w:val="none"/>
                <w:lang w:val="en-US" w:eastAsia="zh-CN"/>
              </w:rPr>
            </w:pPr>
            <w:r>
              <w:rPr>
                <w:highlight w:val="none"/>
              </w:rPr>
              <w:t>0.0045</w:t>
            </w:r>
          </w:p>
        </w:tc>
      </w:tr>
      <w:tr w14:paraId="4D849A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38ADC2B6">
            <w:pPr>
              <w:pStyle w:val="22"/>
              <w:bidi w:val="0"/>
              <w:jc w:val="center"/>
              <w:rPr>
                <w:highlight w:val="none"/>
              </w:rPr>
            </w:pPr>
            <w:r>
              <w:rPr>
                <w:highlight w:val="none"/>
              </w:rPr>
              <w:t>55</w:t>
            </w:r>
          </w:p>
        </w:tc>
        <w:tc>
          <w:tcPr>
            <w:tcW w:w="1586" w:type="dxa"/>
            <w:vAlign w:val="center"/>
          </w:tcPr>
          <w:p w14:paraId="0DB6DEFF">
            <w:pPr>
              <w:pStyle w:val="22"/>
              <w:bidi w:val="0"/>
              <w:jc w:val="center"/>
              <w:rPr>
                <w:highlight w:val="none"/>
              </w:rPr>
            </w:pPr>
            <w:r>
              <w:rPr>
                <w:highlight w:val="none"/>
              </w:rPr>
              <w:t>戴胜</w:t>
            </w:r>
          </w:p>
          <w:p w14:paraId="4466D3E8">
            <w:pPr>
              <w:pStyle w:val="22"/>
              <w:bidi w:val="0"/>
              <w:jc w:val="center"/>
              <w:rPr>
                <w:highlight w:val="none"/>
              </w:rPr>
            </w:pPr>
            <w:r>
              <w:rPr>
                <w:i/>
                <w:iCs w:val="0"/>
                <w:highlight w:val="none"/>
              </w:rPr>
              <w:t>Upupa epops</w:t>
            </w:r>
          </w:p>
        </w:tc>
        <w:tc>
          <w:tcPr>
            <w:tcW w:w="531" w:type="dxa"/>
            <w:vAlign w:val="center"/>
          </w:tcPr>
          <w:p w14:paraId="5614B7B8">
            <w:pPr>
              <w:pStyle w:val="22"/>
              <w:bidi w:val="0"/>
              <w:jc w:val="center"/>
              <w:rPr>
                <w:highlight w:val="none"/>
              </w:rPr>
            </w:pPr>
            <w:r>
              <w:rPr>
                <w:highlight w:val="none"/>
              </w:rPr>
              <w:t>10</w:t>
            </w:r>
          </w:p>
        </w:tc>
        <w:tc>
          <w:tcPr>
            <w:tcW w:w="533" w:type="dxa"/>
            <w:vAlign w:val="center"/>
          </w:tcPr>
          <w:p w14:paraId="147AEF37">
            <w:pPr>
              <w:pStyle w:val="22"/>
              <w:bidi w:val="0"/>
              <w:jc w:val="center"/>
              <w:rPr>
                <w:highlight w:val="none"/>
              </w:rPr>
            </w:pPr>
            <w:r>
              <w:rPr>
                <w:highlight w:val="none"/>
              </w:rPr>
              <w:t>10</w:t>
            </w:r>
          </w:p>
        </w:tc>
        <w:tc>
          <w:tcPr>
            <w:tcW w:w="428" w:type="dxa"/>
            <w:vAlign w:val="center"/>
          </w:tcPr>
          <w:p w14:paraId="749AE81C">
            <w:pPr>
              <w:pStyle w:val="22"/>
              <w:bidi w:val="0"/>
              <w:jc w:val="center"/>
              <w:rPr>
                <w:highlight w:val="none"/>
              </w:rPr>
            </w:pPr>
            <w:r>
              <w:rPr>
                <w:highlight w:val="none"/>
              </w:rPr>
              <w:t>7</w:t>
            </w:r>
          </w:p>
        </w:tc>
        <w:tc>
          <w:tcPr>
            <w:tcW w:w="428" w:type="dxa"/>
            <w:vAlign w:val="center"/>
          </w:tcPr>
          <w:p w14:paraId="5256EA7D">
            <w:pPr>
              <w:pStyle w:val="22"/>
              <w:bidi w:val="0"/>
              <w:jc w:val="center"/>
              <w:rPr>
                <w:highlight w:val="none"/>
              </w:rPr>
            </w:pPr>
            <w:r>
              <w:rPr>
                <w:highlight w:val="none"/>
              </w:rPr>
              <w:t>1</w:t>
            </w:r>
          </w:p>
        </w:tc>
        <w:tc>
          <w:tcPr>
            <w:tcW w:w="793" w:type="dxa"/>
            <w:vAlign w:val="center"/>
          </w:tcPr>
          <w:p w14:paraId="0D065324">
            <w:pPr>
              <w:pStyle w:val="22"/>
              <w:bidi w:val="0"/>
              <w:jc w:val="center"/>
              <w:rPr>
                <w:highlight w:val="none"/>
              </w:rPr>
            </w:pPr>
            <w:r>
              <w:rPr>
                <w:highlight w:val="none"/>
              </w:rPr>
              <w:t>0.0347</w:t>
            </w:r>
          </w:p>
        </w:tc>
        <w:tc>
          <w:tcPr>
            <w:tcW w:w="795" w:type="dxa"/>
            <w:vAlign w:val="center"/>
          </w:tcPr>
          <w:p w14:paraId="5445CE03">
            <w:pPr>
              <w:pStyle w:val="22"/>
              <w:bidi w:val="0"/>
              <w:jc w:val="center"/>
              <w:rPr>
                <w:highlight w:val="none"/>
              </w:rPr>
            </w:pPr>
            <w:r>
              <w:rPr>
                <w:highlight w:val="none"/>
              </w:rPr>
              <w:t>15.17</w:t>
            </w:r>
          </w:p>
        </w:tc>
        <w:tc>
          <w:tcPr>
            <w:tcW w:w="970" w:type="dxa"/>
            <w:vAlign w:val="center"/>
          </w:tcPr>
          <w:p w14:paraId="729782D0">
            <w:pPr>
              <w:pStyle w:val="22"/>
              <w:bidi w:val="0"/>
              <w:jc w:val="center"/>
              <w:rPr>
                <w:highlight w:val="none"/>
              </w:rPr>
            </w:pPr>
            <w:r>
              <w:rPr>
                <w:highlight w:val="none"/>
              </w:rPr>
              <w:t>31.67%</w:t>
            </w:r>
          </w:p>
        </w:tc>
        <w:tc>
          <w:tcPr>
            <w:tcW w:w="795" w:type="dxa"/>
            <w:vAlign w:val="center"/>
          </w:tcPr>
          <w:p w14:paraId="3200ECB5">
            <w:pPr>
              <w:pStyle w:val="22"/>
              <w:bidi w:val="0"/>
              <w:jc w:val="center"/>
              <w:rPr>
                <w:highlight w:val="none"/>
              </w:rPr>
            </w:pPr>
            <w:r>
              <w:rPr>
                <w:highlight w:val="none"/>
              </w:rPr>
              <w:t>0.0332</w:t>
            </w:r>
          </w:p>
        </w:tc>
        <w:tc>
          <w:tcPr>
            <w:tcW w:w="800" w:type="dxa"/>
            <w:vAlign w:val="center"/>
          </w:tcPr>
          <w:p w14:paraId="17FC44F4">
            <w:pPr>
              <w:pStyle w:val="22"/>
              <w:bidi w:val="0"/>
              <w:jc w:val="center"/>
              <w:rPr>
                <w:highlight w:val="none"/>
              </w:rPr>
            </w:pPr>
            <w:r>
              <w:rPr>
                <w:highlight w:val="none"/>
              </w:rPr>
              <w:t>0.0079</w:t>
            </w:r>
          </w:p>
        </w:tc>
      </w:tr>
      <w:tr w14:paraId="0DCCE0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7A4F00F3">
            <w:pPr>
              <w:pStyle w:val="22"/>
              <w:bidi w:val="0"/>
              <w:jc w:val="center"/>
              <w:rPr>
                <w:highlight w:val="none"/>
              </w:rPr>
            </w:pPr>
            <w:r>
              <w:rPr>
                <w:highlight w:val="none"/>
              </w:rPr>
              <w:t>56</w:t>
            </w:r>
          </w:p>
        </w:tc>
        <w:tc>
          <w:tcPr>
            <w:tcW w:w="1586" w:type="dxa"/>
            <w:vAlign w:val="center"/>
          </w:tcPr>
          <w:p w14:paraId="16DA9923">
            <w:pPr>
              <w:pStyle w:val="22"/>
              <w:bidi w:val="0"/>
              <w:jc w:val="center"/>
              <w:rPr>
                <w:i/>
                <w:iCs w:val="0"/>
                <w:highlight w:val="none"/>
              </w:rPr>
            </w:pPr>
            <w:r>
              <w:rPr>
                <w:highlight w:val="none"/>
              </w:rPr>
              <w:t xml:space="preserve">大斑啄木鸟 </w:t>
            </w:r>
            <w:r>
              <w:rPr>
                <w:i/>
                <w:iCs w:val="0"/>
                <w:highlight w:val="none"/>
              </w:rPr>
              <w:t>Dendrocopos</w:t>
            </w:r>
          </w:p>
          <w:p w14:paraId="06B11311">
            <w:pPr>
              <w:pStyle w:val="22"/>
              <w:bidi w:val="0"/>
              <w:jc w:val="center"/>
              <w:rPr>
                <w:highlight w:val="none"/>
              </w:rPr>
            </w:pPr>
            <w:r>
              <w:rPr>
                <w:i/>
                <w:iCs w:val="0"/>
                <w:highlight w:val="none"/>
              </w:rPr>
              <w:t>major</w:t>
            </w:r>
          </w:p>
        </w:tc>
        <w:tc>
          <w:tcPr>
            <w:tcW w:w="531" w:type="dxa"/>
            <w:vAlign w:val="center"/>
          </w:tcPr>
          <w:p w14:paraId="14BED4F3">
            <w:pPr>
              <w:pStyle w:val="22"/>
              <w:bidi w:val="0"/>
              <w:jc w:val="center"/>
              <w:rPr>
                <w:highlight w:val="none"/>
              </w:rPr>
            </w:pPr>
            <w:r>
              <w:rPr>
                <w:highlight w:val="none"/>
              </w:rPr>
              <w:t>2</w:t>
            </w:r>
          </w:p>
        </w:tc>
        <w:tc>
          <w:tcPr>
            <w:tcW w:w="533" w:type="dxa"/>
            <w:vAlign w:val="center"/>
          </w:tcPr>
          <w:p w14:paraId="78658726">
            <w:pPr>
              <w:pStyle w:val="22"/>
              <w:bidi w:val="0"/>
              <w:jc w:val="center"/>
              <w:rPr>
                <w:highlight w:val="none"/>
              </w:rPr>
            </w:pPr>
            <w:r>
              <w:rPr>
                <w:highlight w:val="none"/>
              </w:rPr>
              <w:t>2</w:t>
            </w:r>
          </w:p>
        </w:tc>
        <w:tc>
          <w:tcPr>
            <w:tcW w:w="428" w:type="dxa"/>
            <w:vAlign w:val="center"/>
          </w:tcPr>
          <w:p w14:paraId="2C5EAD36">
            <w:pPr>
              <w:pStyle w:val="22"/>
              <w:bidi w:val="0"/>
              <w:jc w:val="center"/>
              <w:rPr>
                <w:highlight w:val="none"/>
              </w:rPr>
            </w:pPr>
            <w:r>
              <w:rPr>
                <w:highlight w:val="none"/>
              </w:rPr>
              <w:t>2</w:t>
            </w:r>
          </w:p>
        </w:tc>
        <w:tc>
          <w:tcPr>
            <w:tcW w:w="428" w:type="dxa"/>
            <w:vAlign w:val="center"/>
          </w:tcPr>
          <w:p w14:paraId="69D9C0A9">
            <w:pPr>
              <w:pStyle w:val="22"/>
              <w:bidi w:val="0"/>
              <w:jc w:val="center"/>
              <w:rPr>
                <w:highlight w:val="none"/>
              </w:rPr>
            </w:pPr>
            <w:r>
              <w:rPr>
                <w:highlight w:val="none"/>
              </w:rPr>
              <w:t>1</w:t>
            </w:r>
          </w:p>
        </w:tc>
        <w:tc>
          <w:tcPr>
            <w:tcW w:w="793" w:type="dxa"/>
            <w:vAlign w:val="center"/>
          </w:tcPr>
          <w:p w14:paraId="198C4906">
            <w:pPr>
              <w:pStyle w:val="22"/>
              <w:bidi w:val="0"/>
              <w:jc w:val="center"/>
              <w:rPr>
                <w:highlight w:val="none"/>
              </w:rPr>
            </w:pPr>
            <w:r>
              <w:rPr>
                <w:highlight w:val="none"/>
              </w:rPr>
              <w:t>0.0069</w:t>
            </w:r>
          </w:p>
        </w:tc>
        <w:tc>
          <w:tcPr>
            <w:tcW w:w="795" w:type="dxa"/>
            <w:vAlign w:val="center"/>
          </w:tcPr>
          <w:p w14:paraId="393BB9C4">
            <w:pPr>
              <w:pStyle w:val="22"/>
              <w:bidi w:val="0"/>
              <w:jc w:val="center"/>
              <w:rPr>
                <w:highlight w:val="none"/>
              </w:rPr>
            </w:pPr>
            <w:r>
              <w:rPr>
                <w:highlight w:val="none"/>
              </w:rPr>
              <w:t>4.03</w:t>
            </w:r>
          </w:p>
        </w:tc>
        <w:tc>
          <w:tcPr>
            <w:tcW w:w="970" w:type="dxa"/>
            <w:vAlign w:val="center"/>
          </w:tcPr>
          <w:p w14:paraId="40FC27BA">
            <w:pPr>
              <w:pStyle w:val="22"/>
              <w:bidi w:val="0"/>
              <w:jc w:val="center"/>
              <w:rPr>
                <w:highlight w:val="none"/>
              </w:rPr>
            </w:pPr>
            <w:r>
              <w:rPr>
                <w:highlight w:val="none"/>
              </w:rPr>
              <w:t>23.33%</w:t>
            </w:r>
          </w:p>
        </w:tc>
        <w:tc>
          <w:tcPr>
            <w:tcW w:w="795" w:type="dxa"/>
            <w:vAlign w:val="center"/>
          </w:tcPr>
          <w:p w14:paraId="58EABC18">
            <w:pPr>
              <w:pStyle w:val="22"/>
              <w:bidi w:val="0"/>
              <w:jc w:val="center"/>
              <w:rPr>
                <w:highlight w:val="none"/>
              </w:rPr>
            </w:pPr>
            <w:r>
              <w:rPr>
                <w:highlight w:val="none"/>
              </w:rPr>
              <w:t>0.0088</w:t>
            </w:r>
          </w:p>
        </w:tc>
        <w:tc>
          <w:tcPr>
            <w:tcW w:w="800" w:type="dxa"/>
            <w:vAlign w:val="center"/>
          </w:tcPr>
          <w:p w14:paraId="0674AE91">
            <w:pPr>
              <w:pStyle w:val="22"/>
              <w:bidi w:val="0"/>
              <w:jc w:val="center"/>
              <w:rPr>
                <w:highlight w:val="none"/>
              </w:rPr>
            </w:pPr>
            <w:r>
              <w:rPr>
                <w:highlight w:val="none"/>
              </w:rPr>
              <w:t>0.0021</w:t>
            </w:r>
          </w:p>
        </w:tc>
      </w:tr>
      <w:tr w14:paraId="094412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5D1A6253">
            <w:pPr>
              <w:pStyle w:val="22"/>
              <w:bidi w:val="0"/>
              <w:jc w:val="center"/>
              <w:rPr>
                <w:highlight w:val="none"/>
              </w:rPr>
            </w:pPr>
            <w:r>
              <w:rPr>
                <w:highlight w:val="none"/>
              </w:rPr>
              <w:t>57</w:t>
            </w:r>
          </w:p>
        </w:tc>
        <w:tc>
          <w:tcPr>
            <w:tcW w:w="1586" w:type="dxa"/>
            <w:vAlign w:val="center"/>
          </w:tcPr>
          <w:p w14:paraId="453AF375">
            <w:pPr>
              <w:pStyle w:val="22"/>
              <w:bidi w:val="0"/>
              <w:jc w:val="center"/>
              <w:rPr>
                <w:highlight w:val="none"/>
              </w:rPr>
            </w:pPr>
            <w:r>
              <w:rPr>
                <w:highlight w:val="none"/>
              </w:rPr>
              <w:t>长尾山椒鸟</w:t>
            </w:r>
          </w:p>
          <w:p w14:paraId="0EC3B919">
            <w:pPr>
              <w:pStyle w:val="22"/>
              <w:bidi w:val="0"/>
              <w:jc w:val="center"/>
              <w:rPr>
                <w:i/>
                <w:iCs w:val="0"/>
                <w:highlight w:val="none"/>
              </w:rPr>
            </w:pPr>
            <w:r>
              <w:rPr>
                <w:i/>
                <w:iCs w:val="0"/>
                <w:highlight w:val="none"/>
              </w:rPr>
              <w:t>Pericrocotus</w:t>
            </w:r>
          </w:p>
          <w:p w14:paraId="5BA1331B">
            <w:pPr>
              <w:pStyle w:val="22"/>
              <w:bidi w:val="0"/>
              <w:jc w:val="center"/>
              <w:rPr>
                <w:highlight w:val="none"/>
              </w:rPr>
            </w:pPr>
            <w:r>
              <w:rPr>
                <w:i/>
                <w:iCs w:val="0"/>
                <w:highlight w:val="none"/>
              </w:rPr>
              <w:t>ethologus</w:t>
            </w:r>
          </w:p>
        </w:tc>
        <w:tc>
          <w:tcPr>
            <w:tcW w:w="531" w:type="dxa"/>
            <w:vAlign w:val="center"/>
          </w:tcPr>
          <w:p w14:paraId="2C5C73EC">
            <w:pPr>
              <w:pStyle w:val="22"/>
              <w:bidi w:val="0"/>
              <w:jc w:val="center"/>
              <w:rPr>
                <w:highlight w:val="none"/>
              </w:rPr>
            </w:pPr>
            <w:r>
              <w:rPr>
                <w:highlight w:val="none"/>
              </w:rPr>
              <w:t>5</w:t>
            </w:r>
          </w:p>
        </w:tc>
        <w:tc>
          <w:tcPr>
            <w:tcW w:w="533" w:type="dxa"/>
            <w:vAlign w:val="center"/>
          </w:tcPr>
          <w:p w14:paraId="187C534E">
            <w:pPr>
              <w:pStyle w:val="22"/>
              <w:bidi w:val="0"/>
              <w:jc w:val="center"/>
              <w:rPr>
                <w:highlight w:val="none"/>
              </w:rPr>
            </w:pPr>
            <w:r>
              <w:rPr>
                <w:highlight w:val="none"/>
              </w:rPr>
              <w:t>2</w:t>
            </w:r>
          </w:p>
        </w:tc>
        <w:tc>
          <w:tcPr>
            <w:tcW w:w="428" w:type="dxa"/>
            <w:vAlign w:val="center"/>
          </w:tcPr>
          <w:p w14:paraId="108CFE5E">
            <w:pPr>
              <w:pStyle w:val="22"/>
              <w:bidi w:val="0"/>
              <w:jc w:val="center"/>
              <w:rPr>
                <w:highlight w:val="none"/>
              </w:rPr>
            </w:pPr>
            <w:r>
              <w:rPr>
                <w:highlight w:val="none"/>
              </w:rPr>
              <w:t>2</w:t>
            </w:r>
          </w:p>
        </w:tc>
        <w:tc>
          <w:tcPr>
            <w:tcW w:w="428" w:type="dxa"/>
            <w:vAlign w:val="center"/>
          </w:tcPr>
          <w:p w14:paraId="26DB24D3">
            <w:pPr>
              <w:pStyle w:val="22"/>
              <w:bidi w:val="0"/>
              <w:jc w:val="center"/>
              <w:rPr>
                <w:highlight w:val="none"/>
              </w:rPr>
            </w:pPr>
            <w:r>
              <w:rPr>
                <w:highlight w:val="none"/>
              </w:rPr>
              <w:t>1</w:t>
            </w:r>
          </w:p>
        </w:tc>
        <w:tc>
          <w:tcPr>
            <w:tcW w:w="793" w:type="dxa"/>
            <w:vAlign w:val="center"/>
          </w:tcPr>
          <w:p w14:paraId="31DDB8F6">
            <w:pPr>
              <w:pStyle w:val="22"/>
              <w:bidi w:val="0"/>
              <w:jc w:val="center"/>
              <w:rPr>
                <w:highlight w:val="none"/>
              </w:rPr>
            </w:pPr>
            <w:r>
              <w:rPr>
                <w:highlight w:val="none"/>
              </w:rPr>
              <w:t>0.0174</w:t>
            </w:r>
          </w:p>
        </w:tc>
        <w:tc>
          <w:tcPr>
            <w:tcW w:w="795" w:type="dxa"/>
            <w:vAlign w:val="center"/>
          </w:tcPr>
          <w:p w14:paraId="57561E0A">
            <w:pPr>
              <w:pStyle w:val="22"/>
              <w:bidi w:val="0"/>
              <w:jc w:val="center"/>
              <w:rPr>
                <w:highlight w:val="none"/>
              </w:rPr>
            </w:pPr>
            <w:r>
              <w:rPr>
                <w:highlight w:val="none"/>
              </w:rPr>
              <w:t>4.76</w:t>
            </w:r>
          </w:p>
        </w:tc>
        <w:tc>
          <w:tcPr>
            <w:tcW w:w="970" w:type="dxa"/>
            <w:vAlign w:val="center"/>
          </w:tcPr>
          <w:p w14:paraId="7D509180">
            <w:pPr>
              <w:pStyle w:val="22"/>
              <w:bidi w:val="0"/>
              <w:jc w:val="center"/>
              <w:rPr>
                <w:highlight w:val="none"/>
              </w:rPr>
            </w:pPr>
            <w:r>
              <w:rPr>
                <w:highlight w:val="none"/>
              </w:rPr>
              <w:t>23.33%</w:t>
            </w:r>
          </w:p>
        </w:tc>
        <w:tc>
          <w:tcPr>
            <w:tcW w:w="795" w:type="dxa"/>
            <w:vAlign w:val="center"/>
          </w:tcPr>
          <w:p w14:paraId="0EC863ED">
            <w:pPr>
              <w:pStyle w:val="22"/>
              <w:bidi w:val="0"/>
              <w:jc w:val="center"/>
              <w:rPr>
                <w:highlight w:val="none"/>
              </w:rPr>
            </w:pPr>
            <w:r>
              <w:rPr>
                <w:highlight w:val="none"/>
              </w:rPr>
              <w:t>0.0189</w:t>
            </w:r>
          </w:p>
        </w:tc>
        <w:tc>
          <w:tcPr>
            <w:tcW w:w="800" w:type="dxa"/>
            <w:vAlign w:val="center"/>
          </w:tcPr>
          <w:p w14:paraId="39C3D60D">
            <w:pPr>
              <w:pStyle w:val="22"/>
              <w:bidi w:val="0"/>
              <w:jc w:val="center"/>
              <w:rPr>
                <w:highlight w:val="none"/>
              </w:rPr>
            </w:pPr>
            <w:r>
              <w:rPr>
                <w:highlight w:val="none"/>
              </w:rPr>
              <w:t>0.0045</w:t>
            </w:r>
          </w:p>
        </w:tc>
      </w:tr>
      <w:tr w14:paraId="70A891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2" w:hRule="atLeast"/>
        </w:trPr>
        <w:tc>
          <w:tcPr>
            <w:tcW w:w="676" w:type="dxa"/>
            <w:vAlign w:val="center"/>
          </w:tcPr>
          <w:p w14:paraId="6E3E8DF2">
            <w:pPr>
              <w:pStyle w:val="22"/>
              <w:bidi w:val="0"/>
              <w:jc w:val="both"/>
              <w:rPr>
                <w:highlight w:val="none"/>
              </w:rPr>
            </w:pPr>
          </w:p>
          <w:p w14:paraId="66391347">
            <w:pPr>
              <w:pStyle w:val="22"/>
              <w:bidi w:val="0"/>
              <w:jc w:val="center"/>
              <w:rPr>
                <w:highlight w:val="none"/>
              </w:rPr>
            </w:pPr>
            <w:r>
              <w:rPr>
                <w:highlight w:val="none"/>
              </w:rPr>
              <w:t>58</w:t>
            </w:r>
          </w:p>
        </w:tc>
        <w:tc>
          <w:tcPr>
            <w:tcW w:w="1586" w:type="dxa"/>
            <w:vAlign w:val="center"/>
          </w:tcPr>
          <w:p w14:paraId="11B6F463">
            <w:pPr>
              <w:pStyle w:val="22"/>
              <w:bidi w:val="0"/>
              <w:jc w:val="center"/>
              <w:rPr>
                <w:highlight w:val="none"/>
              </w:rPr>
            </w:pPr>
            <w:r>
              <w:rPr>
                <w:highlight w:val="none"/>
              </w:rPr>
              <w:t>黑卷尾</w:t>
            </w:r>
          </w:p>
          <w:p w14:paraId="1710A5AE">
            <w:pPr>
              <w:pStyle w:val="22"/>
              <w:bidi w:val="0"/>
              <w:jc w:val="center"/>
              <w:rPr>
                <w:i/>
                <w:iCs w:val="0"/>
                <w:highlight w:val="none"/>
              </w:rPr>
            </w:pPr>
            <w:r>
              <w:rPr>
                <w:i/>
                <w:iCs w:val="0"/>
                <w:highlight w:val="none"/>
              </w:rPr>
              <w:t>Dicrurus</w:t>
            </w:r>
          </w:p>
          <w:p w14:paraId="7BD41204">
            <w:pPr>
              <w:pStyle w:val="22"/>
              <w:bidi w:val="0"/>
              <w:jc w:val="center"/>
              <w:rPr>
                <w:highlight w:val="none"/>
              </w:rPr>
            </w:pPr>
            <w:r>
              <w:rPr>
                <w:i/>
                <w:iCs w:val="0"/>
                <w:highlight w:val="none"/>
              </w:rPr>
              <w:t>macrocercus</w:t>
            </w:r>
          </w:p>
        </w:tc>
        <w:tc>
          <w:tcPr>
            <w:tcW w:w="531" w:type="dxa"/>
            <w:vAlign w:val="center"/>
          </w:tcPr>
          <w:p w14:paraId="5A9F762C">
            <w:pPr>
              <w:pStyle w:val="22"/>
              <w:bidi w:val="0"/>
              <w:jc w:val="center"/>
              <w:rPr>
                <w:highlight w:val="none"/>
              </w:rPr>
            </w:pPr>
            <w:r>
              <w:rPr>
                <w:highlight w:val="none"/>
              </w:rPr>
              <w:t>6</w:t>
            </w:r>
          </w:p>
        </w:tc>
        <w:tc>
          <w:tcPr>
            <w:tcW w:w="533" w:type="dxa"/>
            <w:vAlign w:val="center"/>
          </w:tcPr>
          <w:p w14:paraId="5E0DCEC2">
            <w:pPr>
              <w:pStyle w:val="22"/>
              <w:bidi w:val="0"/>
              <w:jc w:val="center"/>
              <w:rPr>
                <w:highlight w:val="none"/>
              </w:rPr>
            </w:pPr>
            <w:r>
              <w:rPr>
                <w:highlight w:val="none"/>
              </w:rPr>
              <w:t>5</w:t>
            </w:r>
          </w:p>
        </w:tc>
        <w:tc>
          <w:tcPr>
            <w:tcW w:w="428" w:type="dxa"/>
            <w:vAlign w:val="center"/>
          </w:tcPr>
          <w:p w14:paraId="4F1F2B1E">
            <w:pPr>
              <w:pStyle w:val="22"/>
              <w:bidi w:val="0"/>
              <w:jc w:val="center"/>
              <w:rPr>
                <w:highlight w:val="none"/>
              </w:rPr>
            </w:pPr>
            <w:r>
              <w:rPr>
                <w:highlight w:val="none"/>
              </w:rPr>
              <w:t>5</w:t>
            </w:r>
          </w:p>
        </w:tc>
        <w:tc>
          <w:tcPr>
            <w:tcW w:w="428" w:type="dxa"/>
            <w:vAlign w:val="center"/>
          </w:tcPr>
          <w:p w14:paraId="10F34585">
            <w:pPr>
              <w:pStyle w:val="22"/>
              <w:bidi w:val="0"/>
              <w:jc w:val="center"/>
              <w:rPr>
                <w:highlight w:val="none"/>
              </w:rPr>
            </w:pPr>
            <w:r>
              <w:rPr>
                <w:highlight w:val="none"/>
              </w:rPr>
              <w:t>2</w:t>
            </w:r>
          </w:p>
        </w:tc>
        <w:tc>
          <w:tcPr>
            <w:tcW w:w="793" w:type="dxa"/>
            <w:vAlign w:val="center"/>
          </w:tcPr>
          <w:p w14:paraId="75C1FBE9">
            <w:pPr>
              <w:pStyle w:val="22"/>
              <w:bidi w:val="0"/>
              <w:jc w:val="center"/>
              <w:rPr>
                <w:highlight w:val="none"/>
              </w:rPr>
            </w:pPr>
            <w:r>
              <w:rPr>
                <w:highlight w:val="none"/>
              </w:rPr>
              <w:t>0.0208</w:t>
            </w:r>
          </w:p>
        </w:tc>
        <w:tc>
          <w:tcPr>
            <w:tcW w:w="795" w:type="dxa"/>
            <w:vAlign w:val="center"/>
          </w:tcPr>
          <w:p w14:paraId="3FF9DAAB">
            <w:pPr>
              <w:pStyle w:val="22"/>
              <w:bidi w:val="0"/>
              <w:jc w:val="center"/>
              <w:rPr>
                <w:highlight w:val="none"/>
              </w:rPr>
            </w:pPr>
            <w:r>
              <w:rPr>
                <w:highlight w:val="none"/>
              </w:rPr>
              <w:t>10.33</w:t>
            </w:r>
          </w:p>
        </w:tc>
        <w:tc>
          <w:tcPr>
            <w:tcW w:w="970" w:type="dxa"/>
            <w:vAlign w:val="center"/>
          </w:tcPr>
          <w:p w14:paraId="4D7A3CF3">
            <w:pPr>
              <w:pStyle w:val="22"/>
              <w:bidi w:val="0"/>
              <w:jc w:val="center"/>
              <w:rPr>
                <w:highlight w:val="none"/>
              </w:rPr>
            </w:pPr>
            <w:r>
              <w:rPr>
                <w:highlight w:val="none"/>
              </w:rPr>
              <w:t>48.33%</w:t>
            </w:r>
          </w:p>
        </w:tc>
        <w:tc>
          <w:tcPr>
            <w:tcW w:w="795" w:type="dxa"/>
            <w:vAlign w:val="center"/>
          </w:tcPr>
          <w:p w14:paraId="4404A0EC">
            <w:pPr>
              <w:pStyle w:val="22"/>
              <w:bidi w:val="0"/>
              <w:jc w:val="center"/>
              <w:rPr>
                <w:highlight w:val="none"/>
              </w:rPr>
            </w:pPr>
            <w:r>
              <w:rPr>
                <w:highlight w:val="none"/>
              </w:rPr>
              <w:t>0.0220</w:t>
            </w:r>
          </w:p>
        </w:tc>
        <w:tc>
          <w:tcPr>
            <w:tcW w:w="800" w:type="dxa"/>
            <w:vAlign w:val="center"/>
          </w:tcPr>
          <w:p w14:paraId="282C1AB4">
            <w:pPr>
              <w:pStyle w:val="22"/>
              <w:bidi w:val="0"/>
              <w:jc w:val="center"/>
              <w:rPr>
                <w:highlight w:val="none"/>
              </w:rPr>
            </w:pPr>
            <w:r>
              <w:rPr>
                <w:highlight w:val="none"/>
              </w:rPr>
              <w:t>0.0052</w:t>
            </w:r>
          </w:p>
        </w:tc>
      </w:tr>
    </w:tbl>
    <w:p w14:paraId="64AD8F35">
      <w:pPr>
        <w:ind w:left="0" w:leftChars="0" w:firstLine="0" w:firstLineChars="0"/>
        <w:rPr>
          <w:rFonts w:hint="default"/>
          <w:highlight w:val="none"/>
          <w:lang w:val="en-US" w:eastAsia="zh-CN"/>
        </w:rPr>
      </w:pPr>
    </w:p>
    <w:p w14:paraId="0BB023E6">
      <w:pPr>
        <w:bidi w:val="0"/>
        <w:rPr>
          <w:rFonts w:hint="default"/>
          <w:highlight w:val="none"/>
          <w:lang w:val="en-US" w:eastAsia="zh-CN"/>
        </w:rPr>
      </w:pPr>
      <w:r>
        <w:rPr>
          <w:rFonts w:hint="default"/>
          <w:highlight w:val="none"/>
          <w:lang w:val="en-US" w:eastAsia="zh-CN"/>
        </w:rPr>
        <w:t>根据生活习性的不同，调查区域内的 117 种鸟类可分为以下 6 种生态类型：</w:t>
      </w:r>
    </w:p>
    <w:p w14:paraId="42F106F5">
      <w:pPr>
        <w:bidi w:val="0"/>
        <w:rPr>
          <w:rFonts w:hint="default"/>
          <w:highlight w:val="none"/>
          <w:lang w:val="en-US" w:eastAsia="zh-CN"/>
        </w:rPr>
      </w:pPr>
      <w:r>
        <w:rPr>
          <w:rFonts w:hint="default"/>
          <w:highlight w:val="none"/>
          <w:lang w:val="en-US" w:eastAsia="zh-CN"/>
        </w:rPr>
        <w:t>游禽(脚向后伸，趾间有蹼，有扁阔的或尖嘴，善于游泳、潜水和在水中掏取食物)：普通鸬鹚、赤麻鸭(Tadorna ferruginea) 、绿头鸭(Anasplatyrhynchos)共 3种，占种数的1.69% 。主要活动于监测区域河流中水流较缓的水域。涉禽(嘴长，颈长，脚长。适于涉水行走，不适合游泳。休息时常一只脚站立，大部分是从水底、污泥中或地面获得食物)：夜鹭(Nycticorax nycticorax) 、绿鹭、池鹭 (Ardeola</w:t>
      </w:r>
      <w:r>
        <w:rPr>
          <w:rFonts w:hint="eastAsia"/>
          <w:highlight w:val="none"/>
          <w:lang w:val="en-US" w:eastAsia="zh-CN"/>
        </w:rPr>
        <w:t xml:space="preserve"> </w:t>
      </w:r>
      <w:r>
        <w:rPr>
          <w:rFonts w:hint="default"/>
          <w:highlight w:val="none"/>
          <w:lang w:val="en-US" w:eastAsia="zh-CN"/>
        </w:rPr>
        <w:t>bacchus) 、牛背鹭(Bubulcus coromandus)、白鹭(Egretta garzetta) 、金鸻(Pluvialisfulva)、金眶鸻(Charadrius dubius)、矶鹬(Actitis hypoleucos) 、红脚鹬(Tringa totanus)和林鹬(Tringa glareola)，共10种，占种数的 5.62%。数量很少，偶见于坝址附近、冷龙沟等水域边的滩涂。</w:t>
      </w:r>
    </w:p>
    <w:p w14:paraId="2DCD1788">
      <w:pPr>
        <w:bidi w:val="0"/>
        <w:rPr>
          <w:rFonts w:hint="default"/>
          <w:highlight w:val="none"/>
          <w:lang w:val="en-US" w:eastAsia="zh-CN"/>
        </w:rPr>
      </w:pPr>
      <w:r>
        <w:rPr>
          <w:rFonts w:hint="default"/>
          <w:highlight w:val="none"/>
          <w:lang w:val="en-US" w:eastAsia="zh-CN"/>
        </w:rPr>
        <w:t>陆禽(体格结实，嘴坚硬，脚强而有力，适于挖土，多在地面活动觅食)： 雪鹑、白马鸡、高原山鹑(Perdix hodgsoniae)、环颈雉(Phasianus colchicus) 、雪 鸽 (Columba leuconota) 、山斑鸠(Streptopelia orientalis) 、火斑鸠(Streptopelia tranquebarica)和珠颈斑鸠(Spilopelia chinensis)，共 12 种，占种数的 7.34% 。主 要活动于灌丛和灌草丛、农田、林缘等。</w:t>
      </w:r>
    </w:p>
    <w:p w14:paraId="7C030177">
      <w:pPr>
        <w:bidi w:val="0"/>
        <w:rPr>
          <w:rFonts w:hint="default"/>
          <w:highlight w:val="none"/>
          <w:lang w:val="en-US" w:eastAsia="zh-CN"/>
        </w:rPr>
      </w:pPr>
      <w:r>
        <w:rPr>
          <w:rFonts w:hint="default"/>
          <w:highlight w:val="none"/>
          <w:lang w:val="en-US" w:eastAsia="zh-CN"/>
        </w:rPr>
        <w:t>猛禽(具有弯曲如钩的锐利嘴和爪，翅膀强大有力，能在天空翱翔或滑翔， 捕食空中或地下活的猎物)：普通鵟等，共 5 种， 占种数的 4.96% 。主要活动于 河谷附近的乔木林中，在高空盘旋觅食，数量少。</w:t>
      </w:r>
    </w:p>
    <w:p w14:paraId="312FE0E0">
      <w:pPr>
        <w:bidi w:val="0"/>
        <w:rPr>
          <w:rFonts w:hint="default"/>
          <w:highlight w:val="none"/>
          <w:lang w:val="en-US" w:eastAsia="zh-CN"/>
        </w:rPr>
      </w:pPr>
      <w:r>
        <w:rPr>
          <w:rFonts w:hint="default"/>
          <w:highlight w:val="none"/>
          <w:lang w:val="en-US" w:eastAsia="zh-CN"/>
        </w:rPr>
        <w:t>攀禽(嘴、脚和尾的构造都很特殊，善于在树上攀缘):普通夜鹰、白喉针尾雨燕、白腰雨燕(Apus pacificus)、大鹰鹃、大杜鹃(Cuculus canorus) 、小杜鹃(Cuculus poliocephalus)、戴胜(Upupa epops) 、蓝翡翠(Halcyon pileata)、蚁䴕(Jynx torquilla)、灰头绿啄木鸟(Picus canus)等，共 16 种，占种数的 8.99%。白喉针尾雨燕、白腰雨燕主要活动于冷龙沟和巨美拥沟河谷及附近的岩壁；蓝翡翠主要活动与河流、溪流及附近的林中，数量稀少；戴胜主要生活在林缘及草地，其余物种主要分布于受灌溉的乔木林内。</w:t>
      </w:r>
    </w:p>
    <w:p w14:paraId="16C6C5ED">
      <w:pPr>
        <w:bidi w:val="0"/>
        <w:rPr>
          <w:rFonts w:hint="default"/>
          <w:highlight w:val="none"/>
          <w:lang w:val="en-US" w:eastAsia="zh-CN"/>
        </w:rPr>
      </w:pPr>
      <w:r>
        <w:rPr>
          <w:rFonts w:hint="default"/>
          <w:highlight w:val="none"/>
          <w:lang w:val="en-US" w:eastAsia="zh-CN"/>
        </w:rPr>
        <w:t>鸣禽(鸣管和鸣肌特别发达。一般体形较小，体态轻捷，活泼灵巧，善于鸣叫和歌唱，且巧于筑巢)。共记录到128种，占种数的 71.91% ，雀形目鸟类都为鸣禽，它们在监测区域广泛分布，各类乔木林及灌丛中均有分布，部分种类如山麻雀和红嘴山鸦等常进入人类活动较为密集的区域。</w:t>
      </w:r>
    </w:p>
    <w:p w14:paraId="594DCBD7">
      <w:pPr>
        <w:bidi w:val="0"/>
        <w:rPr>
          <w:rFonts w:hint="default"/>
          <w:highlight w:val="none"/>
          <w:lang w:val="en-US" w:eastAsia="zh-CN"/>
        </w:rPr>
      </w:pPr>
      <w:r>
        <w:rPr>
          <w:rFonts w:hint="default"/>
          <w:highlight w:val="none"/>
          <w:lang w:val="en-US" w:eastAsia="zh-CN"/>
        </w:rPr>
        <w:t>按区系类型，将本次调查到的 178 种鸟类分为 3 种区系类型：东洋种55 种，占监测区域鸟类种数的 30.9%；古北种 30 种，占监测区域鸟类种数的 17.41%；广布种 93 种，占监测区域鸟类种数的 52.25% 。监测区域处于古北界和 东洋界交界处偏东洋界一侧。本次尼色拥水库及其管道施工影响范围区域内鸟类东洋界成分占优势基本符合调查区域所在的地理位置。同时，古北界成分也占有一定的比例。这可能充分表明调查区域内，古北界成分向东洋界渗透的趋势较为明显，呈现出古北界与东洋界交界动物区系南北混杂的情况。</w:t>
      </w:r>
    </w:p>
    <w:p w14:paraId="5BF3A581">
      <w:pPr>
        <w:bidi w:val="0"/>
        <w:rPr>
          <w:rFonts w:hint="default"/>
          <w:b/>
          <w:bCs/>
          <w:highlight w:val="none"/>
          <w:lang w:val="en-US" w:eastAsia="zh-CN"/>
        </w:rPr>
      </w:pPr>
      <w:r>
        <w:rPr>
          <w:rFonts w:hint="eastAsia"/>
          <w:b/>
          <w:bCs/>
          <w:highlight w:val="none"/>
          <w:lang w:val="en-US" w:eastAsia="zh-CN"/>
        </w:rPr>
        <w:t>4、哺乳类</w:t>
      </w:r>
    </w:p>
    <w:p w14:paraId="55851B08">
      <w:pPr>
        <w:bidi w:val="0"/>
        <w:rPr>
          <w:rFonts w:hint="default"/>
          <w:highlight w:val="none"/>
          <w:lang w:val="en-US" w:eastAsia="zh-CN"/>
        </w:rPr>
      </w:pPr>
      <w:r>
        <w:rPr>
          <w:rFonts w:hint="default"/>
          <w:highlight w:val="none"/>
          <w:lang w:val="en-US" w:eastAsia="zh-CN"/>
        </w:rPr>
        <w:t>（1）种类</w:t>
      </w:r>
    </w:p>
    <w:p w14:paraId="0B3BB19A">
      <w:pPr>
        <w:bidi w:val="0"/>
        <w:rPr>
          <w:rFonts w:hint="default"/>
          <w:highlight w:val="none"/>
          <w:lang w:val="en-US" w:eastAsia="zh-CN"/>
        </w:rPr>
      </w:pPr>
      <w:r>
        <w:rPr>
          <w:rFonts w:hint="default"/>
          <w:highlight w:val="none"/>
          <w:lang w:val="en-US" w:eastAsia="zh-CN"/>
        </w:rPr>
        <w:t>本次主要通过样线法调查，在白天通过规划好的30 条样线对哺乳类开展专 项调查，通过观察样线两侧有无哺乳类个体，或毛发、粪便等痕迹进行调查;通 过铗日法，在规划好的 5 个样方(5 个监测区域，每个监测区域 1 个) ，每个 样方 放置 10 个老鼠铗，经过 2 昼夜(20 个铗夜)后记录捕获到的哺乳类，从 而调查小 型哺乳类的种类和数量；另外结合调查访问，走访当地老百姓，对以上方法的 调查结果进行验证。</w:t>
      </w:r>
    </w:p>
    <w:p w14:paraId="17B7114F">
      <w:pPr>
        <w:bidi w:val="0"/>
        <w:rPr>
          <w:rFonts w:hint="default"/>
          <w:highlight w:val="none"/>
          <w:lang w:val="en-US" w:eastAsia="zh-CN"/>
        </w:rPr>
      </w:pPr>
      <w:r>
        <w:rPr>
          <w:rFonts w:hint="default"/>
          <w:highlight w:val="none"/>
          <w:lang w:val="en-US" w:eastAsia="zh-CN"/>
        </w:rPr>
        <w:t>本次共记录到哺乳类 6 目 16 科 30 种，现场目击 2 目 4 科 6 种。本次 记录和调查汇总到的哺乳类中，无国家一级重点保护野生动物；有国家二级重点保护野生动物6种 ，即猕猴(Macaca  mulatta)、中华鬣羚(Capricornis milneedwardsii) 、狼(Canis lupus) 、藏狐(Vulpes ferrilata) 、赤狐(Vulpes vulpes) 、 毛冠鹿（Elaphodus cephalophus）；有四川省级重点保护野生动物 2 种，即沟牙 鼯鼠(Aeretes melanopterus)和香鼬(Mustela altaica) 。根据《中国生物多样性红色 名录》，无“极危（CR）”物种；无“濒 危(EN)”物种；有 2 种列入“易危(VU)”物种，即中华鬣羚和中华小熊猫；有 8 种列入“近危(NT)”物种，即沟牙鼯鼠、西 南中麝鼩(Crocidura vorax) 、狼、藏狐、赤狐、猪獾(Arctonyx collaris) 、亚洲狗 獾(Meles leucurus)和香鼬；其余为“无危(LC)” 物种；有中国特有种 5 种，分别 为川西鼠兔(Ochotona gloveri) 、川西白腹鼠(Niviventer excelsior) 、高原松田 鼠 (Neodon irene) 、沟牙鼯鼠和岩松鼠(Sciurotamias davidianus)。</w:t>
      </w:r>
    </w:p>
    <w:p w14:paraId="3E7B20F5">
      <w:pPr>
        <w:bidi w:val="0"/>
        <w:rPr>
          <w:rFonts w:hint="default"/>
          <w:highlight w:val="none"/>
          <w:lang w:val="en-US" w:eastAsia="zh-CN"/>
        </w:rPr>
      </w:pPr>
      <w:r>
        <w:rPr>
          <w:rFonts w:hint="default"/>
          <w:highlight w:val="none"/>
          <w:lang w:val="en-US" w:eastAsia="zh-CN"/>
        </w:rPr>
        <w:t>本次实地调查的哺乳动物结果见下表，名录见附录。</w:t>
      </w:r>
    </w:p>
    <w:p w14:paraId="64D2AA46">
      <w:pPr>
        <w:pStyle w:val="11"/>
        <w:bidi w:val="0"/>
        <w:ind w:left="0" w:leftChars="0" w:firstLine="0" w:firstLineChars="0"/>
        <w:rPr>
          <w:highlight w:val="none"/>
        </w:rPr>
      </w:pPr>
    </w:p>
    <w:p w14:paraId="5073C90C">
      <w:pPr>
        <w:pStyle w:val="11"/>
        <w:bidi w:val="0"/>
        <w:ind w:left="0" w:leftChars="0" w:firstLine="0" w:firstLineChars="0"/>
        <w:rPr>
          <w:highlight w:val="none"/>
        </w:rPr>
      </w:pPr>
    </w:p>
    <w:p w14:paraId="67E8144A">
      <w:pPr>
        <w:pStyle w:val="11"/>
        <w:bidi w:val="0"/>
        <w:ind w:left="0" w:leftChars="0" w:firstLine="0" w:firstLineChars="0"/>
        <w:rPr>
          <w:rFonts w:hint="eastAsia"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37</w:t>
      </w:r>
      <w:r>
        <w:rPr>
          <w:highlight w:val="none"/>
        </w:rPr>
        <w:fldChar w:fldCharType="end"/>
      </w:r>
      <w:r>
        <w:rPr>
          <w:rFonts w:hint="eastAsia"/>
          <w:highlight w:val="none"/>
          <w:lang w:val="en-US" w:eastAsia="zh-CN"/>
        </w:rPr>
        <w:t xml:space="preserve"> 哺乳类现场调查数据统计表</w:t>
      </w:r>
    </w:p>
    <w:tbl>
      <w:tblPr>
        <w:tblStyle w:val="24"/>
        <w:tblW w:w="8482" w:type="dxa"/>
        <w:tblInd w:w="-8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12"/>
        <w:gridCol w:w="1207"/>
        <w:gridCol w:w="948"/>
        <w:gridCol w:w="448"/>
        <w:gridCol w:w="630"/>
        <w:gridCol w:w="510"/>
        <w:gridCol w:w="540"/>
        <w:gridCol w:w="704"/>
        <w:gridCol w:w="645"/>
        <w:gridCol w:w="615"/>
        <w:gridCol w:w="794"/>
        <w:gridCol w:w="529"/>
      </w:tblGrid>
      <w:tr w14:paraId="7D3E64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912" w:type="dxa"/>
            <w:vMerge w:val="restart"/>
            <w:tcBorders>
              <w:bottom w:val="nil"/>
            </w:tcBorders>
            <w:vAlign w:val="center"/>
          </w:tcPr>
          <w:p w14:paraId="74FEC6DC">
            <w:pPr>
              <w:pStyle w:val="22"/>
              <w:bidi w:val="0"/>
              <w:jc w:val="center"/>
              <w:rPr>
                <w:rFonts w:hint="default"/>
                <w:highlight w:val="none"/>
              </w:rPr>
            </w:pPr>
            <w:r>
              <w:rPr>
                <w:rFonts w:hint="default"/>
                <w:highlight w:val="none"/>
              </w:rPr>
              <w:t>目</w:t>
            </w:r>
          </w:p>
        </w:tc>
        <w:tc>
          <w:tcPr>
            <w:tcW w:w="1207" w:type="dxa"/>
            <w:vMerge w:val="restart"/>
            <w:tcBorders>
              <w:bottom w:val="nil"/>
            </w:tcBorders>
            <w:vAlign w:val="center"/>
          </w:tcPr>
          <w:p w14:paraId="0B8AC584">
            <w:pPr>
              <w:pStyle w:val="22"/>
              <w:bidi w:val="0"/>
              <w:jc w:val="center"/>
              <w:rPr>
                <w:rFonts w:hint="default"/>
                <w:highlight w:val="none"/>
              </w:rPr>
            </w:pPr>
            <w:r>
              <w:rPr>
                <w:rFonts w:hint="default"/>
                <w:highlight w:val="none"/>
              </w:rPr>
              <w:t>科</w:t>
            </w:r>
          </w:p>
        </w:tc>
        <w:tc>
          <w:tcPr>
            <w:tcW w:w="948" w:type="dxa"/>
            <w:vMerge w:val="restart"/>
            <w:tcBorders>
              <w:bottom w:val="nil"/>
            </w:tcBorders>
            <w:vAlign w:val="center"/>
          </w:tcPr>
          <w:p w14:paraId="423622CD">
            <w:pPr>
              <w:pStyle w:val="22"/>
              <w:bidi w:val="0"/>
              <w:jc w:val="center"/>
              <w:rPr>
                <w:rFonts w:hint="default"/>
                <w:highlight w:val="none"/>
              </w:rPr>
            </w:pPr>
            <w:r>
              <w:rPr>
                <w:rFonts w:hint="default"/>
                <w:highlight w:val="none"/>
              </w:rPr>
              <w:t>种</w:t>
            </w:r>
          </w:p>
        </w:tc>
        <w:tc>
          <w:tcPr>
            <w:tcW w:w="448" w:type="dxa"/>
            <w:vMerge w:val="restart"/>
            <w:tcBorders>
              <w:bottom w:val="nil"/>
            </w:tcBorders>
            <w:vAlign w:val="center"/>
          </w:tcPr>
          <w:p w14:paraId="46275DF3">
            <w:pPr>
              <w:pStyle w:val="22"/>
              <w:bidi w:val="0"/>
              <w:jc w:val="center"/>
              <w:rPr>
                <w:rFonts w:hint="default"/>
                <w:highlight w:val="none"/>
              </w:rPr>
            </w:pPr>
            <w:r>
              <w:rPr>
                <w:rFonts w:hint="default"/>
                <w:highlight w:val="none"/>
              </w:rPr>
              <w:t>区系</w:t>
            </w:r>
          </w:p>
          <w:p w14:paraId="1D50F490">
            <w:pPr>
              <w:pStyle w:val="22"/>
              <w:bidi w:val="0"/>
              <w:jc w:val="center"/>
              <w:rPr>
                <w:rFonts w:hint="default"/>
                <w:highlight w:val="none"/>
              </w:rPr>
            </w:pPr>
            <w:r>
              <w:rPr>
                <w:rFonts w:hint="default"/>
                <w:highlight w:val="none"/>
              </w:rPr>
              <w:t>类型</w:t>
            </w:r>
          </w:p>
        </w:tc>
        <w:tc>
          <w:tcPr>
            <w:tcW w:w="630" w:type="dxa"/>
            <w:vMerge w:val="restart"/>
            <w:tcBorders>
              <w:bottom w:val="nil"/>
            </w:tcBorders>
            <w:vAlign w:val="center"/>
          </w:tcPr>
          <w:p w14:paraId="6A68FA8A">
            <w:pPr>
              <w:pStyle w:val="22"/>
              <w:bidi w:val="0"/>
              <w:jc w:val="center"/>
              <w:rPr>
                <w:rFonts w:hint="default"/>
                <w:highlight w:val="none"/>
              </w:rPr>
            </w:pPr>
            <w:r>
              <w:rPr>
                <w:rFonts w:hint="default"/>
                <w:highlight w:val="none"/>
              </w:rPr>
              <w:t>保护级 别</w:t>
            </w:r>
          </w:p>
        </w:tc>
        <w:tc>
          <w:tcPr>
            <w:tcW w:w="510" w:type="dxa"/>
            <w:vMerge w:val="restart"/>
            <w:tcBorders>
              <w:bottom w:val="nil"/>
            </w:tcBorders>
            <w:vAlign w:val="center"/>
          </w:tcPr>
          <w:p w14:paraId="59FF5C37">
            <w:pPr>
              <w:pStyle w:val="22"/>
              <w:bidi w:val="0"/>
              <w:jc w:val="center"/>
              <w:rPr>
                <w:rFonts w:hint="default"/>
                <w:highlight w:val="none"/>
              </w:rPr>
            </w:pPr>
            <w:r>
              <w:rPr>
                <w:rFonts w:hint="default"/>
                <w:highlight w:val="none"/>
              </w:rPr>
              <w:t>濒危</w:t>
            </w:r>
          </w:p>
          <w:p w14:paraId="00EDE95B">
            <w:pPr>
              <w:pStyle w:val="22"/>
              <w:bidi w:val="0"/>
              <w:jc w:val="center"/>
              <w:rPr>
                <w:rFonts w:hint="default"/>
                <w:highlight w:val="none"/>
              </w:rPr>
            </w:pPr>
            <w:r>
              <w:rPr>
                <w:rFonts w:hint="default"/>
                <w:highlight w:val="none"/>
              </w:rPr>
              <w:t>等级</w:t>
            </w:r>
          </w:p>
        </w:tc>
        <w:tc>
          <w:tcPr>
            <w:tcW w:w="3827" w:type="dxa"/>
            <w:gridSpan w:val="6"/>
            <w:vAlign w:val="center"/>
          </w:tcPr>
          <w:p w14:paraId="1F933121">
            <w:pPr>
              <w:pStyle w:val="22"/>
              <w:bidi w:val="0"/>
              <w:jc w:val="center"/>
              <w:rPr>
                <w:rFonts w:hint="default"/>
                <w:highlight w:val="none"/>
              </w:rPr>
            </w:pPr>
            <w:r>
              <w:rPr>
                <w:rFonts w:hint="default"/>
                <w:highlight w:val="none"/>
              </w:rPr>
              <w:t>分布与数量</w:t>
            </w:r>
          </w:p>
        </w:tc>
      </w:tr>
      <w:tr w14:paraId="72DAE6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8" w:hRule="atLeast"/>
        </w:trPr>
        <w:tc>
          <w:tcPr>
            <w:tcW w:w="912" w:type="dxa"/>
            <w:vMerge w:val="continue"/>
            <w:tcBorders>
              <w:top w:val="nil"/>
            </w:tcBorders>
            <w:vAlign w:val="center"/>
          </w:tcPr>
          <w:p w14:paraId="7361FD8E">
            <w:pPr>
              <w:pStyle w:val="22"/>
              <w:bidi w:val="0"/>
              <w:jc w:val="center"/>
              <w:rPr>
                <w:rFonts w:hint="default"/>
                <w:highlight w:val="none"/>
              </w:rPr>
            </w:pPr>
          </w:p>
        </w:tc>
        <w:tc>
          <w:tcPr>
            <w:tcW w:w="1207" w:type="dxa"/>
            <w:vMerge w:val="continue"/>
            <w:tcBorders>
              <w:top w:val="nil"/>
            </w:tcBorders>
            <w:vAlign w:val="center"/>
          </w:tcPr>
          <w:p w14:paraId="0CBDC4A2">
            <w:pPr>
              <w:pStyle w:val="22"/>
              <w:bidi w:val="0"/>
              <w:jc w:val="center"/>
              <w:rPr>
                <w:rFonts w:hint="default"/>
                <w:highlight w:val="none"/>
              </w:rPr>
            </w:pPr>
          </w:p>
        </w:tc>
        <w:tc>
          <w:tcPr>
            <w:tcW w:w="948" w:type="dxa"/>
            <w:vMerge w:val="continue"/>
            <w:tcBorders>
              <w:top w:val="nil"/>
            </w:tcBorders>
            <w:vAlign w:val="center"/>
          </w:tcPr>
          <w:p w14:paraId="607C52CD">
            <w:pPr>
              <w:pStyle w:val="22"/>
              <w:bidi w:val="0"/>
              <w:jc w:val="center"/>
              <w:rPr>
                <w:rFonts w:hint="default"/>
                <w:highlight w:val="none"/>
              </w:rPr>
            </w:pPr>
          </w:p>
        </w:tc>
        <w:tc>
          <w:tcPr>
            <w:tcW w:w="448" w:type="dxa"/>
            <w:vMerge w:val="continue"/>
            <w:tcBorders>
              <w:top w:val="nil"/>
            </w:tcBorders>
            <w:vAlign w:val="center"/>
          </w:tcPr>
          <w:p w14:paraId="6B8C3FF2">
            <w:pPr>
              <w:pStyle w:val="22"/>
              <w:bidi w:val="0"/>
              <w:jc w:val="center"/>
              <w:rPr>
                <w:rFonts w:hint="default"/>
                <w:highlight w:val="none"/>
              </w:rPr>
            </w:pPr>
          </w:p>
        </w:tc>
        <w:tc>
          <w:tcPr>
            <w:tcW w:w="630" w:type="dxa"/>
            <w:vMerge w:val="continue"/>
            <w:tcBorders>
              <w:top w:val="nil"/>
            </w:tcBorders>
            <w:vAlign w:val="center"/>
          </w:tcPr>
          <w:p w14:paraId="009BA5E2">
            <w:pPr>
              <w:pStyle w:val="22"/>
              <w:bidi w:val="0"/>
              <w:jc w:val="center"/>
              <w:rPr>
                <w:rFonts w:hint="default"/>
                <w:highlight w:val="none"/>
              </w:rPr>
            </w:pPr>
          </w:p>
        </w:tc>
        <w:tc>
          <w:tcPr>
            <w:tcW w:w="510" w:type="dxa"/>
            <w:vMerge w:val="continue"/>
            <w:tcBorders>
              <w:top w:val="nil"/>
            </w:tcBorders>
            <w:vAlign w:val="center"/>
          </w:tcPr>
          <w:p w14:paraId="46DAD51E">
            <w:pPr>
              <w:pStyle w:val="22"/>
              <w:bidi w:val="0"/>
              <w:jc w:val="center"/>
              <w:rPr>
                <w:rFonts w:hint="default"/>
                <w:highlight w:val="none"/>
              </w:rPr>
            </w:pPr>
          </w:p>
        </w:tc>
        <w:tc>
          <w:tcPr>
            <w:tcW w:w="540" w:type="dxa"/>
            <w:vAlign w:val="center"/>
          </w:tcPr>
          <w:p w14:paraId="1C252E87">
            <w:pPr>
              <w:pStyle w:val="22"/>
              <w:bidi w:val="0"/>
              <w:jc w:val="center"/>
              <w:rPr>
                <w:rFonts w:hint="default"/>
                <w:highlight w:val="none"/>
              </w:rPr>
            </w:pPr>
            <w:r>
              <w:rPr>
                <w:rFonts w:hint="default"/>
                <w:highlight w:val="none"/>
              </w:rPr>
              <w:t>监测</w:t>
            </w:r>
          </w:p>
          <w:p w14:paraId="5B14E10F">
            <w:pPr>
              <w:pStyle w:val="22"/>
              <w:bidi w:val="0"/>
              <w:jc w:val="center"/>
              <w:rPr>
                <w:rFonts w:hint="default"/>
                <w:highlight w:val="none"/>
              </w:rPr>
            </w:pPr>
            <w:r>
              <w:rPr>
                <w:rFonts w:hint="default"/>
                <w:highlight w:val="none"/>
              </w:rPr>
              <w:t>点1</w:t>
            </w:r>
          </w:p>
        </w:tc>
        <w:tc>
          <w:tcPr>
            <w:tcW w:w="704" w:type="dxa"/>
            <w:vAlign w:val="center"/>
          </w:tcPr>
          <w:p w14:paraId="6009035A">
            <w:pPr>
              <w:pStyle w:val="22"/>
              <w:bidi w:val="0"/>
              <w:jc w:val="center"/>
              <w:rPr>
                <w:rFonts w:hint="default"/>
                <w:highlight w:val="none"/>
              </w:rPr>
            </w:pPr>
            <w:r>
              <w:rPr>
                <w:rFonts w:hint="default"/>
                <w:highlight w:val="none"/>
              </w:rPr>
              <w:t>监测点</w:t>
            </w:r>
          </w:p>
          <w:p w14:paraId="2A0CC649">
            <w:pPr>
              <w:pStyle w:val="22"/>
              <w:bidi w:val="0"/>
              <w:jc w:val="center"/>
              <w:rPr>
                <w:rFonts w:hint="default"/>
                <w:highlight w:val="none"/>
              </w:rPr>
            </w:pPr>
            <w:r>
              <w:rPr>
                <w:rFonts w:hint="default"/>
                <w:highlight w:val="none"/>
              </w:rPr>
              <w:t>2</w:t>
            </w:r>
          </w:p>
        </w:tc>
        <w:tc>
          <w:tcPr>
            <w:tcW w:w="645" w:type="dxa"/>
            <w:vAlign w:val="center"/>
          </w:tcPr>
          <w:p w14:paraId="7F751CB1">
            <w:pPr>
              <w:pStyle w:val="22"/>
              <w:bidi w:val="0"/>
              <w:jc w:val="center"/>
              <w:rPr>
                <w:rFonts w:hint="default"/>
                <w:highlight w:val="none"/>
              </w:rPr>
            </w:pPr>
            <w:r>
              <w:rPr>
                <w:rFonts w:hint="default"/>
                <w:highlight w:val="none"/>
              </w:rPr>
              <w:t>监测点</w:t>
            </w:r>
          </w:p>
          <w:p w14:paraId="63CD0724">
            <w:pPr>
              <w:pStyle w:val="22"/>
              <w:bidi w:val="0"/>
              <w:jc w:val="center"/>
              <w:rPr>
                <w:rFonts w:hint="default"/>
                <w:highlight w:val="none"/>
              </w:rPr>
            </w:pPr>
            <w:r>
              <w:rPr>
                <w:rFonts w:hint="default"/>
                <w:highlight w:val="none"/>
              </w:rPr>
              <w:t>3</w:t>
            </w:r>
          </w:p>
        </w:tc>
        <w:tc>
          <w:tcPr>
            <w:tcW w:w="615" w:type="dxa"/>
            <w:vAlign w:val="center"/>
          </w:tcPr>
          <w:p w14:paraId="58A99BF8">
            <w:pPr>
              <w:pStyle w:val="22"/>
              <w:bidi w:val="0"/>
              <w:jc w:val="center"/>
              <w:rPr>
                <w:rFonts w:hint="default"/>
                <w:highlight w:val="none"/>
              </w:rPr>
            </w:pPr>
            <w:r>
              <w:rPr>
                <w:rFonts w:hint="default"/>
                <w:highlight w:val="none"/>
              </w:rPr>
              <w:t>监测</w:t>
            </w:r>
          </w:p>
          <w:p w14:paraId="1FD670EE">
            <w:pPr>
              <w:pStyle w:val="22"/>
              <w:bidi w:val="0"/>
              <w:jc w:val="center"/>
              <w:rPr>
                <w:rFonts w:hint="default"/>
                <w:highlight w:val="none"/>
              </w:rPr>
            </w:pPr>
            <w:r>
              <w:rPr>
                <w:rFonts w:hint="default"/>
                <w:highlight w:val="none"/>
              </w:rPr>
              <w:t>点4</w:t>
            </w:r>
          </w:p>
        </w:tc>
        <w:tc>
          <w:tcPr>
            <w:tcW w:w="794" w:type="dxa"/>
            <w:vAlign w:val="center"/>
          </w:tcPr>
          <w:p w14:paraId="589F1BEB">
            <w:pPr>
              <w:pStyle w:val="22"/>
              <w:bidi w:val="0"/>
              <w:jc w:val="center"/>
              <w:rPr>
                <w:rFonts w:hint="default"/>
                <w:highlight w:val="none"/>
              </w:rPr>
            </w:pPr>
          </w:p>
          <w:p w14:paraId="24B99793">
            <w:pPr>
              <w:pStyle w:val="22"/>
              <w:bidi w:val="0"/>
              <w:jc w:val="center"/>
              <w:rPr>
                <w:rFonts w:hint="default"/>
                <w:highlight w:val="none"/>
              </w:rPr>
            </w:pPr>
            <w:r>
              <w:rPr>
                <w:rFonts w:hint="default"/>
                <w:highlight w:val="none"/>
              </w:rPr>
              <w:t>监测点5</w:t>
            </w:r>
          </w:p>
        </w:tc>
        <w:tc>
          <w:tcPr>
            <w:tcW w:w="529" w:type="dxa"/>
            <w:vAlign w:val="center"/>
          </w:tcPr>
          <w:p w14:paraId="711A2DBD">
            <w:pPr>
              <w:pStyle w:val="22"/>
              <w:bidi w:val="0"/>
              <w:jc w:val="center"/>
              <w:rPr>
                <w:rFonts w:hint="default"/>
                <w:highlight w:val="none"/>
              </w:rPr>
            </w:pPr>
            <w:r>
              <w:rPr>
                <w:rFonts w:hint="default"/>
                <w:highlight w:val="none"/>
              </w:rPr>
              <w:t>备注</w:t>
            </w:r>
          </w:p>
        </w:tc>
      </w:tr>
      <w:tr w14:paraId="4801F6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912" w:type="dxa"/>
            <w:vMerge w:val="restart"/>
            <w:tcBorders>
              <w:bottom w:val="nil"/>
            </w:tcBorders>
            <w:vAlign w:val="center"/>
          </w:tcPr>
          <w:p w14:paraId="76A476AE">
            <w:pPr>
              <w:pStyle w:val="22"/>
              <w:bidi w:val="0"/>
              <w:jc w:val="center"/>
              <w:rPr>
                <w:rFonts w:hint="default"/>
                <w:highlight w:val="none"/>
              </w:rPr>
            </w:pPr>
            <w:r>
              <w:rPr>
                <w:rFonts w:hint="default"/>
                <w:highlight w:val="none"/>
              </w:rPr>
              <w:t>兔形目</w:t>
            </w:r>
          </w:p>
          <w:p w14:paraId="36267280">
            <w:pPr>
              <w:pStyle w:val="22"/>
              <w:bidi w:val="0"/>
              <w:jc w:val="center"/>
              <w:rPr>
                <w:rFonts w:hint="default"/>
                <w:highlight w:val="none"/>
              </w:rPr>
            </w:pPr>
            <w:r>
              <w:rPr>
                <w:rFonts w:hint="default"/>
                <w:highlight w:val="none"/>
              </w:rPr>
              <w:t>LAGOM</w:t>
            </w:r>
          </w:p>
          <w:p w14:paraId="2C3EB474">
            <w:pPr>
              <w:pStyle w:val="22"/>
              <w:bidi w:val="0"/>
              <w:jc w:val="center"/>
              <w:rPr>
                <w:rFonts w:hint="default"/>
                <w:highlight w:val="none"/>
              </w:rPr>
            </w:pPr>
            <w:r>
              <w:rPr>
                <w:rFonts w:hint="default"/>
                <w:highlight w:val="none"/>
              </w:rPr>
              <w:t>ORPHA</w:t>
            </w:r>
          </w:p>
        </w:tc>
        <w:tc>
          <w:tcPr>
            <w:tcW w:w="1207" w:type="dxa"/>
            <w:vAlign w:val="center"/>
          </w:tcPr>
          <w:p w14:paraId="12D7AB9C">
            <w:pPr>
              <w:pStyle w:val="22"/>
              <w:bidi w:val="0"/>
              <w:jc w:val="center"/>
              <w:rPr>
                <w:rFonts w:hint="default"/>
                <w:highlight w:val="none"/>
              </w:rPr>
            </w:pPr>
            <w:r>
              <w:rPr>
                <w:rFonts w:hint="default"/>
                <w:highlight w:val="none"/>
              </w:rPr>
              <w:t>兔科</w:t>
            </w:r>
          </w:p>
          <w:p w14:paraId="6B38B734">
            <w:pPr>
              <w:pStyle w:val="22"/>
              <w:bidi w:val="0"/>
              <w:jc w:val="center"/>
              <w:rPr>
                <w:rFonts w:hint="default"/>
                <w:highlight w:val="none"/>
              </w:rPr>
            </w:pPr>
            <w:r>
              <w:rPr>
                <w:rFonts w:hint="default"/>
                <w:i/>
                <w:iCs w:val="0"/>
                <w:highlight w:val="none"/>
              </w:rPr>
              <w:t>Leporidae</w:t>
            </w:r>
          </w:p>
        </w:tc>
        <w:tc>
          <w:tcPr>
            <w:tcW w:w="948" w:type="dxa"/>
            <w:vAlign w:val="center"/>
          </w:tcPr>
          <w:p w14:paraId="1EDD2BC8">
            <w:pPr>
              <w:pStyle w:val="22"/>
              <w:bidi w:val="0"/>
              <w:jc w:val="center"/>
              <w:rPr>
                <w:rFonts w:hint="default"/>
                <w:i/>
                <w:iCs w:val="0"/>
                <w:highlight w:val="none"/>
              </w:rPr>
            </w:pPr>
            <w:r>
              <w:rPr>
                <w:rFonts w:hint="default"/>
                <w:highlight w:val="none"/>
              </w:rPr>
              <w:t xml:space="preserve">灰尾兔 </w:t>
            </w:r>
            <w:r>
              <w:rPr>
                <w:rFonts w:hint="default"/>
                <w:i/>
                <w:iCs w:val="0"/>
                <w:highlight w:val="none"/>
              </w:rPr>
              <w:t>Lepus</w:t>
            </w:r>
          </w:p>
          <w:p w14:paraId="25F2DD96">
            <w:pPr>
              <w:pStyle w:val="22"/>
              <w:bidi w:val="0"/>
              <w:jc w:val="center"/>
              <w:rPr>
                <w:rFonts w:hint="default"/>
                <w:highlight w:val="none"/>
              </w:rPr>
            </w:pPr>
            <w:r>
              <w:rPr>
                <w:rFonts w:hint="default"/>
                <w:i/>
                <w:iCs w:val="0"/>
                <w:highlight w:val="none"/>
              </w:rPr>
              <w:t>oiostolus</w:t>
            </w:r>
          </w:p>
        </w:tc>
        <w:tc>
          <w:tcPr>
            <w:tcW w:w="448" w:type="dxa"/>
            <w:vAlign w:val="center"/>
          </w:tcPr>
          <w:p w14:paraId="6B7E0437">
            <w:pPr>
              <w:pStyle w:val="22"/>
              <w:bidi w:val="0"/>
              <w:jc w:val="center"/>
              <w:rPr>
                <w:rFonts w:hint="default"/>
                <w:highlight w:val="none"/>
              </w:rPr>
            </w:pPr>
            <w:r>
              <w:rPr>
                <w:rFonts w:hint="default"/>
                <w:highlight w:val="none"/>
              </w:rPr>
              <w:t>P</w:t>
            </w:r>
          </w:p>
        </w:tc>
        <w:tc>
          <w:tcPr>
            <w:tcW w:w="630" w:type="dxa"/>
            <w:vAlign w:val="center"/>
          </w:tcPr>
          <w:p w14:paraId="60AABA70">
            <w:pPr>
              <w:pStyle w:val="22"/>
              <w:bidi w:val="0"/>
              <w:jc w:val="center"/>
              <w:rPr>
                <w:rFonts w:hint="default"/>
                <w:highlight w:val="none"/>
              </w:rPr>
            </w:pPr>
          </w:p>
        </w:tc>
        <w:tc>
          <w:tcPr>
            <w:tcW w:w="510" w:type="dxa"/>
            <w:vAlign w:val="center"/>
          </w:tcPr>
          <w:p w14:paraId="4881BD47">
            <w:pPr>
              <w:pStyle w:val="22"/>
              <w:bidi w:val="0"/>
              <w:jc w:val="center"/>
              <w:rPr>
                <w:rFonts w:hint="default"/>
                <w:highlight w:val="none"/>
              </w:rPr>
            </w:pPr>
            <w:r>
              <w:rPr>
                <w:rFonts w:hint="default"/>
                <w:highlight w:val="none"/>
              </w:rPr>
              <w:t>LC</w:t>
            </w:r>
          </w:p>
        </w:tc>
        <w:tc>
          <w:tcPr>
            <w:tcW w:w="540" w:type="dxa"/>
            <w:vAlign w:val="center"/>
          </w:tcPr>
          <w:p w14:paraId="0975BEDD">
            <w:pPr>
              <w:pStyle w:val="22"/>
              <w:bidi w:val="0"/>
              <w:jc w:val="center"/>
              <w:rPr>
                <w:rFonts w:hint="default"/>
                <w:highlight w:val="none"/>
              </w:rPr>
            </w:pPr>
            <w:r>
              <w:rPr>
                <w:rFonts w:hint="default"/>
                <w:highlight w:val="none"/>
              </w:rPr>
              <w:t>1</w:t>
            </w:r>
          </w:p>
        </w:tc>
        <w:tc>
          <w:tcPr>
            <w:tcW w:w="704" w:type="dxa"/>
            <w:vAlign w:val="center"/>
          </w:tcPr>
          <w:p w14:paraId="6C6D6039">
            <w:pPr>
              <w:pStyle w:val="22"/>
              <w:bidi w:val="0"/>
              <w:jc w:val="center"/>
              <w:rPr>
                <w:rFonts w:hint="default"/>
                <w:highlight w:val="none"/>
              </w:rPr>
            </w:pPr>
          </w:p>
        </w:tc>
        <w:tc>
          <w:tcPr>
            <w:tcW w:w="645" w:type="dxa"/>
            <w:vAlign w:val="center"/>
          </w:tcPr>
          <w:p w14:paraId="0073C967">
            <w:pPr>
              <w:pStyle w:val="22"/>
              <w:bidi w:val="0"/>
              <w:jc w:val="center"/>
              <w:rPr>
                <w:rFonts w:hint="default"/>
                <w:highlight w:val="none"/>
              </w:rPr>
            </w:pPr>
          </w:p>
        </w:tc>
        <w:tc>
          <w:tcPr>
            <w:tcW w:w="615" w:type="dxa"/>
            <w:vAlign w:val="center"/>
          </w:tcPr>
          <w:p w14:paraId="04593033">
            <w:pPr>
              <w:pStyle w:val="22"/>
              <w:bidi w:val="0"/>
              <w:jc w:val="center"/>
              <w:rPr>
                <w:rFonts w:hint="default"/>
                <w:highlight w:val="none"/>
              </w:rPr>
            </w:pPr>
          </w:p>
        </w:tc>
        <w:tc>
          <w:tcPr>
            <w:tcW w:w="794" w:type="dxa"/>
            <w:vAlign w:val="center"/>
          </w:tcPr>
          <w:p w14:paraId="25965368">
            <w:pPr>
              <w:pStyle w:val="22"/>
              <w:bidi w:val="0"/>
              <w:jc w:val="center"/>
              <w:rPr>
                <w:rFonts w:hint="default"/>
                <w:highlight w:val="none"/>
              </w:rPr>
            </w:pPr>
          </w:p>
        </w:tc>
        <w:tc>
          <w:tcPr>
            <w:tcW w:w="529" w:type="dxa"/>
            <w:vAlign w:val="center"/>
          </w:tcPr>
          <w:p w14:paraId="7B5B57C6">
            <w:pPr>
              <w:pStyle w:val="22"/>
              <w:bidi w:val="0"/>
              <w:jc w:val="center"/>
              <w:rPr>
                <w:rFonts w:hint="default"/>
                <w:highlight w:val="none"/>
              </w:rPr>
            </w:pPr>
            <w:r>
              <w:rPr>
                <w:rFonts w:hint="default"/>
                <w:highlight w:val="none"/>
              </w:rPr>
              <w:t>-</w:t>
            </w:r>
          </w:p>
        </w:tc>
      </w:tr>
      <w:tr w14:paraId="1CD79C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912" w:type="dxa"/>
            <w:vMerge w:val="continue"/>
            <w:tcBorders>
              <w:top w:val="nil"/>
            </w:tcBorders>
            <w:vAlign w:val="center"/>
          </w:tcPr>
          <w:p w14:paraId="33D6F119">
            <w:pPr>
              <w:pStyle w:val="22"/>
              <w:bidi w:val="0"/>
              <w:jc w:val="center"/>
              <w:rPr>
                <w:rFonts w:hint="default"/>
                <w:highlight w:val="none"/>
              </w:rPr>
            </w:pPr>
          </w:p>
        </w:tc>
        <w:tc>
          <w:tcPr>
            <w:tcW w:w="1207" w:type="dxa"/>
            <w:vAlign w:val="center"/>
          </w:tcPr>
          <w:p w14:paraId="64644837">
            <w:pPr>
              <w:pStyle w:val="22"/>
              <w:bidi w:val="0"/>
              <w:jc w:val="center"/>
              <w:rPr>
                <w:rFonts w:hint="default"/>
                <w:highlight w:val="none"/>
              </w:rPr>
            </w:pPr>
            <w:r>
              <w:rPr>
                <w:rFonts w:hint="default"/>
                <w:highlight w:val="none"/>
              </w:rPr>
              <w:t>鼠兔科</w:t>
            </w:r>
          </w:p>
          <w:p w14:paraId="7207C975">
            <w:pPr>
              <w:pStyle w:val="22"/>
              <w:bidi w:val="0"/>
              <w:jc w:val="center"/>
              <w:rPr>
                <w:rFonts w:hint="default"/>
                <w:highlight w:val="none"/>
              </w:rPr>
            </w:pPr>
            <w:r>
              <w:rPr>
                <w:rFonts w:hint="default"/>
                <w:i/>
                <w:iCs w:val="0"/>
                <w:highlight w:val="none"/>
              </w:rPr>
              <w:t>Ochotonida e</w:t>
            </w:r>
          </w:p>
        </w:tc>
        <w:tc>
          <w:tcPr>
            <w:tcW w:w="948" w:type="dxa"/>
            <w:vAlign w:val="center"/>
          </w:tcPr>
          <w:p w14:paraId="5611A4A4">
            <w:pPr>
              <w:pStyle w:val="22"/>
              <w:bidi w:val="0"/>
              <w:jc w:val="center"/>
              <w:rPr>
                <w:rFonts w:hint="default"/>
                <w:i/>
                <w:iCs w:val="0"/>
                <w:highlight w:val="none"/>
              </w:rPr>
            </w:pPr>
            <w:r>
              <w:rPr>
                <w:rFonts w:hint="default"/>
                <w:highlight w:val="none"/>
              </w:rPr>
              <w:t xml:space="preserve">川西鼠兔 </w:t>
            </w:r>
            <w:r>
              <w:rPr>
                <w:rFonts w:hint="default"/>
                <w:i/>
                <w:iCs w:val="0"/>
                <w:highlight w:val="none"/>
              </w:rPr>
              <w:t>Ochotona</w:t>
            </w:r>
          </w:p>
          <w:p w14:paraId="4A458024">
            <w:pPr>
              <w:pStyle w:val="22"/>
              <w:bidi w:val="0"/>
              <w:jc w:val="center"/>
              <w:rPr>
                <w:rFonts w:hint="default"/>
                <w:highlight w:val="none"/>
              </w:rPr>
            </w:pPr>
            <w:r>
              <w:rPr>
                <w:rFonts w:hint="default"/>
                <w:i/>
                <w:iCs w:val="0"/>
                <w:highlight w:val="none"/>
              </w:rPr>
              <w:t>gloveri</w:t>
            </w:r>
          </w:p>
        </w:tc>
        <w:tc>
          <w:tcPr>
            <w:tcW w:w="448" w:type="dxa"/>
            <w:vAlign w:val="center"/>
          </w:tcPr>
          <w:p w14:paraId="790A72FF">
            <w:pPr>
              <w:pStyle w:val="22"/>
              <w:bidi w:val="0"/>
              <w:jc w:val="center"/>
              <w:rPr>
                <w:rFonts w:hint="default"/>
                <w:highlight w:val="none"/>
              </w:rPr>
            </w:pPr>
            <w:r>
              <w:rPr>
                <w:rFonts w:hint="default"/>
                <w:highlight w:val="none"/>
              </w:rPr>
              <w:t>C</w:t>
            </w:r>
          </w:p>
        </w:tc>
        <w:tc>
          <w:tcPr>
            <w:tcW w:w="630" w:type="dxa"/>
            <w:vAlign w:val="center"/>
          </w:tcPr>
          <w:p w14:paraId="5D519136">
            <w:pPr>
              <w:pStyle w:val="22"/>
              <w:bidi w:val="0"/>
              <w:jc w:val="center"/>
              <w:rPr>
                <w:rFonts w:hint="default"/>
                <w:highlight w:val="none"/>
              </w:rPr>
            </w:pPr>
          </w:p>
        </w:tc>
        <w:tc>
          <w:tcPr>
            <w:tcW w:w="510" w:type="dxa"/>
            <w:vAlign w:val="center"/>
          </w:tcPr>
          <w:p w14:paraId="494133C0">
            <w:pPr>
              <w:pStyle w:val="22"/>
              <w:bidi w:val="0"/>
              <w:jc w:val="center"/>
              <w:rPr>
                <w:rFonts w:hint="default"/>
                <w:highlight w:val="none"/>
              </w:rPr>
            </w:pPr>
            <w:r>
              <w:rPr>
                <w:rFonts w:hint="default"/>
                <w:highlight w:val="none"/>
              </w:rPr>
              <w:t>LC</w:t>
            </w:r>
          </w:p>
        </w:tc>
        <w:tc>
          <w:tcPr>
            <w:tcW w:w="540" w:type="dxa"/>
            <w:vAlign w:val="center"/>
          </w:tcPr>
          <w:p w14:paraId="539DF41C">
            <w:pPr>
              <w:pStyle w:val="22"/>
              <w:bidi w:val="0"/>
              <w:jc w:val="center"/>
              <w:rPr>
                <w:rFonts w:hint="default"/>
                <w:highlight w:val="none"/>
              </w:rPr>
            </w:pPr>
          </w:p>
        </w:tc>
        <w:tc>
          <w:tcPr>
            <w:tcW w:w="704" w:type="dxa"/>
            <w:vAlign w:val="center"/>
          </w:tcPr>
          <w:p w14:paraId="01FCF4F9">
            <w:pPr>
              <w:pStyle w:val="22"/>
              <w:bidi w:val="0"/>
              <w:jc w:val="center"/>
              <w:rPr>
                <w:rFonts w:hint="default"/>
                <w:highlight w:val="none"/>
              </w:rPr>
            </w:pPr>
          </w:p>
        </w:tc>
        <w:tc>
          <w:tcPr>
            <w:tcW w:w="645" w:type="dxa"/>
            <w:vAlign w:val="center"/>
          </w:tcPr>
          <w:p w14:paraId="50A68685">
            <w:pPr>
              <w:pStyle w:val="22"/>
              <w:bidi w:val="0"/>
              <w:jc w:val="center"/>
              <w:rPr>
                <w:rFonts w:hint="default"/>
                <w:highlight w:val="none"/>
              </w:rPr>
            </w:pPr>
            <w:r>
              <w:rPr>
                <w:rFonts w:hint="default"/>
                <w:highlight w:val="none"/>
              </w:rPr>
              <w:t>1</w:t>
            </w:r>
          </w:p>
        </w:tc>
        <w:tc>
          <w:tcPr>
            <w:tcW w:w="615" w:type="dxa"/>
            <w:vAlign w:val="center"/>
          </w:tcPr>
          <w:p w14:paraId="0B8FCB29">
            <w:pPr>
              <w:pStyle w:val="22"/>
              <w:bidi w:val="0"/>
              <w:jc w:val="center"/>
              <w:rPr>
                <w:rFonts w:hint="default"/>
                <w:highlight w:val="none"/>
              </w:rPr>
            </w:pPr>
          </w:p>
        </w:tc>
        <w:tc>
          <w:tcPr>
            <w:tcW w:w="794" w:type="dxa"/>
            <w:vAlign w:val="center"/>
          </w:tcPr>
          <w:p w14:paraId="571B5FC4">
            <w:pPr>
              <w:pStyle w:val="22"/>
              <w:bidi w:val="0"/>
              <w:jc w:val="center"/>
              <w:rPr>
                <w:rFonts w:hint="default"/>
                <w:highlight w:val="none"/>
              </w:rPr>
            </w:pPr>
          </w:p>
        </w:tc>
        <w:tc>
          <w:tcPr>
            <w:tcW w:w="529" w:type="dxa"/>
            <w:vAlign w:val="center"/>
          </w:tcPr>
          <w:p w14:paraId="7FAEF1CE">
            <w:pPr>
              <w:pStyle w:val="22"/>
              <w:bidi w:val="0"/>
              <w:jc w:val="center"/>
              <w:rPr>
                <w:rFonts w:hint="default"/>
                <w:highlight w:val="none"/>
              </w:rPr>
            </w:pPr>
          </w:p>
        </w:tc>
      </w:tr>
      <w:tr w14:paraId="6AD78F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0" w:hRule="atLeast"/>
        </w:trPr>
        <w:tc>
          <w:tcPr>
            <w:tcW w:w="912" w:type="dxa"/>
            <w:vMerge w:val="restart"/>
            <w:tcBorders>
              <w:bottom w:val="nil"/>
            </w:tcBorders>
            <w:vAlign w:val="center"/>
          </w:tcPr>
          <w:p w14:paraId="086023D3">
            <w:pPr>
              <w:pStyle w:val="22"/>
              <w:bidi w:val="0"/>
              <w:jc w:val="center"/>
              <w:rPr>
                <w:rFonts w:hint="default"/>
                <w:highlight w:val="none"/>
              </w:rPr>
            </w:pPr>
            <w:r>
              <w:rPr>
                <w:rFonts w:hint="default"/>
                <w:highlight w:val="none"/>
              </w:rPr>
              <w:t>啮齿目</w:t>
            </w:r>
          </w:p>
          <w:p w14:paraId="12A2BE67">
            <w:pPr>
              <w:pStyle w:val="22"/>
              <w:bidi w:val="0"/>
              <w:jc w:val="center"/>
              <w:rPr>
                <w:rFonts w:hint="default"/>
                <w:highlight w:val="none"/>
              </w:rPr>
            </w:pPr>
            <w:r>
              <w:rPr>
                <w:rFonts w:hint="default"/>
                <w:highlight w:val="none"/>
              </w:rPr>
              <w:t>RODEN</w:t>
            </w:r>
          </w:p>
          <w:p w14:paraId="71AA38B5">
            <w:pPr>
              <w:pStyle w:val="22"/>
              <w:bidi w:val="0"/>
              <w:jc w:val="center"/>
              <w:rPr>
                <w:rFonts w:hint="default"/>
                <w:highlight w:val="none"/>
              </w:rPr>
            </w:pPr>
            <w:r>
              <w:rPr>
                <w:rFonts w:hint="default"/>
                <w:highlight w:val="none"/>
              </w:rPr>
              <w:t>TIA</w:t>
            </w:r>
          </w:p>
        </w:tc>
        <w:tc>
          <w:tcPr>
            <w:tcW w:w="1207" w:type="dxa"/>
            <w:vAlign w:val="center"/>
          </w:tcPr>
          <w:p w14:paraId="462A3D3A">
            <w:pPr>
              <w:pStyle w:val="22"/>
              <w:bidi w:val="0"/>
              <w:jc w:val="center"/>
              <w:rPr>
                <w:rFonts w:hint="default"/>
                <w:highlight w:val="none"/>
              </w:rPr>
            </w:pPr>
            <w:r>
              <w:rPr>
                <w:rFonts w:hint="default"/>
                <w:highlight w:val="none"/>
              </w:rPr>
              <w:t>鼠科</w:t>
            </w:r>
            <w:r>
              <w:rPr>
                <w:rFonts w:hint="default"/>
                <w:i/>
                <w:iCs w:val="0"/>
                <w:highlight w:val="none"/>
              </w:rPr>
              <w:t>Muridae</w:t>
            </w:r>
          </w:p>
        </w:tc>
        <w:tc>
          <w:tcPr>
            <w:tcW w:w="948" w:type="dxa"/>
            <w:vAlign w:val="center"/>
          </w:tcPr>
          <w:p w14:paraId="7823D030">
            <w:pPr>
              <w:pStyle w:val="22"/>
              <w:bidi w:val="0"/>
              <w:jc w:val="center"/>
              <w:rPr>
                <w:rFonts w:hint="default"/>
                <w:highlight w:val="none"/>
              </w:rPr>
            </w:pPr>
            <w:r>
              <w:rPr>
                <w:rFonts w:hint="default"/>
                <w:highlight w:val="none"/>
              </w:rPr>
              <w:t>北社鼠</w:t>
            </w:r>
          </w:p>
          <w:p w14:paraId="174D41AE">
            <w:pPr>
              <w:pStyle w:val="22"/>
              <w:bidi w:val="0"/>
              <w:jc w:val="center"/>
              <w:rPr>
                <w:rFonts w:hint="default"/>
                <w:i/>
                <w:iCs w:val="0"/>
                <w:highlight w:val="none"/>
              </w:rPr>
            </w:pPr>
            <w:r>
              <w:rPr>
                <w:rFonts w:hint="default"/>
                <w:i/>
                <w:iCs w:val="0"/>
                <w:highlight w:val="none"/>
              </w:rPr>
              <w:t>Niviventer</w:t>
            </w:r>
          </w:p>
          <w:p w14:paraId="3CA98682">
            <w:pPr>
              <w:pStyle w:val="22"/>
              <w:bidi w:val="0"/>
              <w:jc w:val="center"/>
              <w:rPr>
                <w:rFonts w:hint="default"/>
                <w:i/>
                <w:iCs w:val="0"/>
                <w:highlight w:val="none"/>
              </w:rPr>
            </w:pPr>
            <w:r>
              <w:rPr>
                <w:rFonts w:hint="default"/>
                <w:i/>
                <w:iCs w:val="0"/>
                <w:highlight w:val="none"/>
              </w:rPr>
              <w:t>confucianu</w:t>
            </w:r>
          </w:p>
          <w:p w14:paraId="6325308F">
            <w:pPr>
              <w:pStyle w:val="22"/>
              <w:bidi w:val="0"/>
              <w:jc w:val="center"/>
              <w:rPr>
                <w:rFonts w:hint="default"/>
                <w:highlight w:val="none"/>
              </w:rPr>
            </w:pPr>
            <w:r>
              <w:rPr>
                <w:rFonts w:hint="default"/>
                <w:i/>
                <w:iCs w:val="0"/>
                <w:highlight w:val="none"/>
              </w:rPr>
              <w:t>s</w:t>
            </w:r>
          </w:p>
        </w:tc>
        <w:tc>
          <w:tcPr>
            <w:tcW w:w="448" w:type="dxa"/>
            <w:vAlign w:val="center"/>
          </w:tcPr>
          <w:p w14:paraId="07C05431">
            <w:pPr>
              <w:pStyle w:val="22"/>
              <w:bidi w:val="0"/>
              <w:jc w:val="center"/>
              <w:rPr>
                <w:rFonts w:hint="default"/>
                <w:highlight w:val="none"/>
              </w:rPr>
            </w:pPr>
            <w:r>
              <w:rPr>
                <w:rFonts w:hint="default"/>
                <w:highlight w:val="none"/>
              </w:rPr>
              <w:t>C</w:t>
            </w:r>
          </w:p>
        </w:tc>
        <w:tc>
          <w:tcPr>
            <w:tcW w:w="630" w:type="dxa"/>
            <w:vAlign w:val="center"/>
          </w:tcPr>
          <w:p w14:paraId="040E7F41">
            <w:pPr>
              <w:pStyle w:val="22"/>
              <w:bidi w:val="0"/>
              <w:jc w:val="center"/>
              <w:rPr>
                <w:rFonts w:hint="default"/>
                <w:highlight w:val="none"/>
              </w:rPr>
            </w:pPr>
          </w:p>
        </w:tc>
        <w:tc>
          <w:tcPr>
            <w:tcW w:w="510" w:type="dxa"/>
            <w:vAlign w:val="center"/>
          </w:tcPr>
          <w:p w14:paraId="7FFA35F7">
            <w:pPr>
              <w:pStyle w:val="22"/>
              <w:bidi w:val="0"/>
              <w:jc w:val="center"/>
              <w:rPr>
                <w:rFonts w:hint="default"/>
                <w:highlight w:val="none"/>
              </w:rPr>
            </w:pPr>
            <w:r>
              <w:rPr>
                <w:rFonts w:hint="default"/>
                <w:highlight w:val="none"/>
              </w:rPr>
              <w:t>LC</w:t>
            </w:r>
          </w:p>
        </w:tc>
        <w:tc>
          <w:tcPr>
            <w:tcW w:w="540" w:type="dxa"/>
            <w:vAlign w:val="center"/>
          </w:tcPr>
          <w:p w14:paraId="63F7E24D">
            <w:pPr>
              <w:pStyle w:val="22"/>
              <w:bidi w:val="0"/>
              <w:jc w:val="center"/>
              <w:rPr>
                <w:rFonts w:hint="default"/>
                <w:highlight w:val="none"/>
              </w:rPr>
            </w:pPr>
            <w:r>
              <w:rPr>
                <w:rFonts w:hint="default"/>
                <w:highlight w:val="none"/>
              </w:rPr>
              <w:t>1</w:t>
            </w:r>
          </w:p>
        </w:tc>
        <w:tc>
          <w:tcPr>
            <w:tcW w:w="704" w:type="dxa"/>
            <w:vAlign w:val="center"/>
          </w:tcPr>
          <w:p w14:paraId="7665E098">
            <w:pPr>
              <w:pStyle w:val="22"/>
              <w:bidi w:val="0"/>
              <w:jc w:val="center"/>
              <w:rPr>
                <w:rFonts w:hint="default"/>
                <w:highlight w:val="none"/>
              </w:rPr>
            </w:pPr>
          </w:p>
        </w:tc>
        <w:tc>
          <w:tcPr>
            <w:tcW w:w="645" w:type="dxa"/>
            <w:vAlign w:val="center"/>
          </w:tcPr>
          <w:p w14:paraId="7A722459">
            <w:pPr>
              <w:pStyle w:val="22"/>
              <w:bidi w:val="0"/>
              <w:jc w:val="center"/>
              <w:rPr>
                <w:rFonts w:hint="default"/>
                <w:highlight w:val="none"/>
              </w:rPr>
            </w:pPr>
          </w:p>
        </w:tc>
        <w:tc>
          <w:tcPr>
            <w:tcW w:w="615" w:type="dxa"/>
            <w:vAlign w:val="center"/>
          </w:tcPr>
          <w:p w14:paraId="6FE9019A">
            <w:pPr>
              <w:pStyle w:val="22"/>
              <w:bidi w:val="0"/>
              <w:jc w:val="center"/>
              <w:rPr>
                <w:rFonts w:hint="default"/>
                <w:highlight w:val="none"/>
              </w:rPr>
            </w:pPr>
          </w:p>
        </w:tc>
        <w:tc>
          <w:tcPr>
            <w:tcW w:w="794" w:type="dxa"/>
            <w:vAlign w:val="center"/>
          </w:tcPr>
          <w:p w14:paraId="5D53943F">
            <w:pPr>
              <w:pStyle w:val="22"/>
              <w:bidi w:val="0"/>
              <w:jc w:val="center"/>
              <w:rPr>
                <w:rFonts w:hint="default"/>
                <w:highlight w:val="none"/>
              </w:rPr>
            </w:pPr>
            <w:r>
              <w:rPr>
                <w:rFonts w:hint="default"/>
                <w:highlight w:val="none"/>
              </w:rPr>
              <w:t>2</w:t>
            </w:r>
          </w:p>
        </w:tc>
        <w:tc>
          <w:tcPr>
            <w:tcW w:w="529" w:type="dxa"/>
            <w:vAlign w:val="center"/>
          </w:tcPr>
          <w:p w14:paraId="7AEBE52A">
            <w:pPr>
              <w:pStyle w:val="22"/>
              <w:bidi w:val="0"/>
              <w:jc w:val="center"/>
              <w:rPr>
                <w:rFonts w:hint="default"/>
                <w:highlight w:val="none"/>
              </w:rPr>
            </w:pPr>
          </w:p>
        </w:tc>
      </w:tr>
      <w:tr w14:paraId="39D363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912" w:type="dxa"/>
            <w:vMerge w:val="continue"/>
            <w:tcBorders>
              <w:top w:val="nil"/>
              <w:bottom w:val="nil"/>
            </w:tcBorders>
            <w:vAlign w:val="center"/>
          </w:tcPr>
          <w:p w14:paraId="08715DBA">
            <w:pPr>
              <w:pStyle w:val="22"/>
              <w:bidi w:val="0"/>
              <w:jc w:val="center"/>
              <w:rPr>
                <w:rFonts w:hint="default"/>
                <w:highlight w:val="none"/>
              </w:rPr>
            </w:pPr>
          </w:p>
        </w:tc>
        <w:tc>
          <w:tcPr>
            <w:tcW w:w="1207" w:type="dxa"/>
            <w:vAlign w:val="center"/>
          </w:tcPr>
          <w:p w14:paraId="726A1EAA">
            <w:pPr>
              <w:pStyle w:val="22"/>
              <w:bidi w:val="0"/>
              <w:jc w:val="center"/>
              <w:rPr>
                <w:rFonts w:hint="default"/>
                <w:highlight w:val="none"/>
              </w:rPr>
            </w:pPr>
            <w:r>
              <w:rPr>
                <w:rFonts w:hint="default"/>
                <w:highlight w:val="none"/>
              </w:rPr>
              <w:t xml:space="preserve">鼠科  </w:t>
            </w:r>
            <w:r>
              <w:rPr>
                <w:rFonts w:hint="default"/>
                <w:i/>
                <w:iCs w:val="0"/>
                <w:highlight w:val="none"/>
              </w:rPr>
              <w:t>Muridae</w:t>
            </w:r>
          </w:p>
        </w:tc>
        <w:tc>
          <w:tcPr>
            <w:tcW w:w="948" w:type="dxa"/>
            <w:vAlign w:val="center"/>
          </w:tcPr>
          <w:p w14:paraId="29BEC78C">
            <w:pPr>
              <w:pStyle w:val="22"/>
              <w:bidi w:val="0"/>
              <w:jc w:val="center"/>
              <w:rPr>
                <w:rFonts w:hint="default"/>
                <w:highlight w:val="none"/>
              </w:rPr>
            </w:pPr>
            <w:r>
              <w:rPr>
                <w:rFonts w:hint="default"/>
                <w:highlight w:val="none"/>
              </w:rPr>
              <w:t>针毛鼠</w:t>
            </w:r>
          </w:p>
          <w:p w14:paraId="61D00D35">
            <w:pPr>
              <w:pStyle w:val="22"/>
              <w:bidi w:val="0"/>
              <w:jc w:val="center"/>
              <w:rPr>
                <w:rFonts w:hint="default"/>
                <w:i/>
                <w:iCs w:val="0"/>
                <w:highlight w:val="none"/>
              </w:rPr>
            </w:pPr>
            <w:r>
              <w:rPr>
                <w:rFonts w:hint="default"/>
                <w:i/>
                <w:iCs w:val="0"/>
                <w:highlight w:val="none"/>
              </w:rPr>
              <w:t>Niviventer</w:t>
            </w:r>
          </w:p>
          <w:p w14:paraId="6183BA25">
            <w:pPr>
              <w:pStyle w:val="22"/>
              <w:bidi w:val="0"/>
              <w:jc w:val="center"/>
              <w:rPr>
                <w:rFonts w:hint="default"/>
                <w:highlight w:val="none"/>
              </w:rPr>
            </w:pPr>
            <w:r>
              <w:rPr>
                <w:rFonts w:hint="default"/>
                <w:i/>
                <w:iCs w:val="0"/>
                <w:highlight w:val="none"/>
              </w:rPr>
              <w:t>fulvescens</w:t>
            </w:r>
          </w:p>
        </w:tc>
        <w:tc>
          <w:tcPr>
            <w:tcW w:w="448" w:type="dxa"/>
            <w:vAlign w:val="center"/>
          </w:tcPr>
          <w:p w14:paraId="42F6D499">
            <w:pPr>
              <w:pStyle w:val="22"/>
              <w:bidi w:val="0"/>
              <w:jc w:val="center"/>
              <w:rPr>
                <w:rFonts w:hint="default"/>
                <w:highlight w:val="none"/>
              </w:rPr>
            </w:pPr>
            <w:r>
              <w:rPr>
                <w:rFonts w:hint="default"/>
                <w:highlight w:val="none"/>
              </w:rPr>
              <w:t>O</w:t>
            </w:r>
          </w:p>
        </w:tc>
        <w:tc>
          <w:tcPr>
            <w:tcW w:w="630" w:type="dxa"/>
            <w:vAlign w:val="center"/>
          </w:tcPr>
          <w:p w14:paraId="6B620513">
            <w:pPr>
              <w:pStyle w:val="22"/>
              <w:bidi w:val="0"/>
              <w:jc w:val="center"/>
              <w:rPr>
                <w:rFonts w:hint="default"/>
                <w:highlight w:val="none"/>
              </w:rPr>
            </w:pPr>
          </w:p>
        </w:tc>
        <w:tc>
          <w:tcPr>
            <w:tcW w:w="510" w:type="dxa"/>
            <w:vAlign w:val="center"/>
          </w:tcPr>
          <w:p w14:paraId="07FCDD9A">
            <w:pPr>
              <w:pStyle w:val="22"/>
              <w:bidi w:val="0"/>
              <w:jc w:val="center"/>
              <w:rPr>
                <w:rFonts w:hint="default"/>
                <w:highlight w:val="none"/>
              </w:rPr>
            </w:pPr>
            <w:r>
              <w:rPr>
                <w:rFonts w:hint="default"/>
                <w:highlight w:val="none"/>
              </w:rPr>
              <w:t>LC</w:t>
            </w:r>
          </w:p>
        </w:tc>
        <w:tc>
          <w:tcPr>
            <w:tcW w:w="540" w:type="dxa"/>
            <w:vAlign w:val="center"/>
          </w:tcPr>
          <w:p w14:paraId="76F527DC">
            <w:pPr>
              <w:pStyle w:val="22"/>
              <w:bidi w:val="0"/>
              <w:jc w:val="center"/>
              <w:rPr>
                <w:rFonts w:hint="default"/>
                <w:highlight w:val="none"/>
              </w:rPr>
            </w:pPr>
          </w:p>
        </w:tc>
        <w:tc>
          <w:tcPr>
            <w:tcW w:w="704" w:type="dxa"/>
            <w:vAlign w:val="center"/>
          </w:tcPr>
          <w:p w14:paraId="0F021577">
            <w:pPr>
              <w:pStyle w:val="22"/>
              <w:bidi w:val="0"/>
              <w:jc w:val="center"/>
              <w:rPr>
                <w:rFonts w:hint="default"/>
                <w:highlight w:val="none"/>
              </w:rPr>
            </w:pPr>
          </w:p>
        </w:tc>
        <w:tc>
          <w:tcPr>
            <w:tcW w:w="645" w:type="dxa"/>
            <w:vAlign w:val="center"/>
          </w:tcPr>
          <w:p w14:paraId="3EE624A7">
            <w:pPr>
              <w:pStyle w:val="22"/>
              <w:bidi w:val="0"/>
              <w:jc w:val="center"/>
              <w:rPr>
                <w:rFonts w:hint="default"/>
                <w:highlight w:val="none"/>
              </w:rPr>
            </w:pPr>
            <w:r>
              <w:rPr>
                <w:rFonts w:hint="default"/>
                <w:highlight w:val="none"/>
              </w:rPr>
              <w:t>1</w:t>
            </w:r>
          </w:p>
        </w:tc>
        <w:tc>
          <w:tcPr>
            <w:tcW w:w="615" w:type="dxa"/>
            <w:vAlign w:val="center"/>
          </w:tcPr>
          <w:p w14:paraId="657D25BE">
            <w:pPr>
              <w:pStyle w:val="22"/>
              <w:bidi w:val="0"/>
              <w:jc w:val="center"/>
              <w:rPr>
                <w:rFonts w:hint="default"/>
                <w:highlight w:val="none"/>
              </w:rPr>
            </w:pPr>
          </w:p>
        </w:tc>
        <w:tc>
          <w:tcPr>
            <w:tcW w:w="794" w:type="dxa"/>
            <w:vAlign w:val="center"/>
          </w:tcPr>
          <w:p w14:paraId="3BE03101">
            <w:pPr>
              <w:pStyle w:val="22"/>
              <w:bidi w:val="0"/>
              <w:jc w:val="center"/>
              <w:rPr>
                <w:rFonts w:hint="default"/>
                <w:highlight w:val="none"/>
              </w:rPr>
            </w:pPr>
          </w:p>
        </w:tc>
        <w:tc>
          <w:tcPr>
            <w:tcW w:w="529" w:type="dxa"/>
            <w:vAlign w:val="center"/>
          </w:tcPr>
          <w:p w14:paraId="0049E136">
            <w:pPr>
              <w:pStyle w:val="22"/>
              <w:bidi w:val="0"/>
              <w:jc w:val="center"/>
              <w:rPr>
                <w:rFonts w:hint="default"/>
                <w:highlight w:val="none"/>
              </w:rPr>
            </w:pPr>
          </w:p>
        </w:tc>
      </w:tr>
      <w:tr w14:paraId="367892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0" w:hRule="atLeast"/>
        </w:trPr>
        <w:tc>
          <w:tcPr>
            <w:tcW w:w="912" w:type="dxa"/>
            <w:vMerge w:val="continue"/>
            <w:tcBorders>
              <w:top w:val="nil"/>
              <w:bottom w:val="nil"/>
            </w:tcBorders>
            <w:vAlign w:val="center"/>
          </w:tcPr>
          <w:p w14:paraId="784F2172">
            <w:pPr>
              <w:pStyle w:val="22"/>
              <w:bidi w:val="0"/>
              <w:jc w:val="center"/>
              <w:rPr>
                <w:rFonts w:hint="default"/>
                <w:highlight w:val="none"/>
              </w:rPr>
            </w:pPr>
          </w:p>
        </w:tc>
        <w:tc>
          <w:tcPr>
            <w:tcW w:w="1207" w:type="dxa"/>
            <w:vAlign w:val="center"/>
          </w:tcPr>
          <w:p w14:paraId="7A8CC697">
            <w:pPr>
              <w:pStyle w:val="22"/>
              <w:bidi w:val="0"/>
              <w:jc w:val="center"/>
              <w:rPr>
                <w:rFonts w:hint="default"/>
                <w:highlight w:val="none"/>
              </w:rPr>
            </w:pPr>
            <w:r>
              <w:rPr>
                <w:rFonts w:hint="default"/>
                <w:highlight w:val="none"/>
              </w:rPr>
              <w:t xml:space="preserve">松鼠科 </w:t>
            </w:r>
            <w:r>
              <w:rPr>
                <w:rFonts w:hint="default"/>
                <w:i/>
                <w:iCs w:val="0"/>
                <w:highlight w:val="none"/>
              </w:rPr>
              <w:t>Sciuridae</w:t>
            </w:r>
          </w:p>
        </w:tc>
        <w:tc>
          <w:tcPr>
            <w:tcW w:w="948" w:type="dxa"/>
            <w:vAlign w:val="center"/>
          </w:tcPr>
          <w:p w14:paraId="08EC3F5D">
            <w:pPr>
              <w:pStyle w:val="22"/>
              <w:bidi w:val="0"/>
              <w:jc w:val="center"/>
              <w:rPr>
                <w:rFonts w:hint="default"/>
                <w:i/>
                <w:iCs w:val="0"/>
                <w:highlight w:val="none"/>
              </w:rPr>
            </w:pPr>
            <w:r>
              <w:rPr>
                <w:rFonts w:hint="default"/>
                <w:highlight w:val="none"/>
              </w:rPr>
              <w:t xml:space="preserve">赤腹松鼠 </w:t>
            </w:r>
            <w:r>
              <w:rPr>
                <w:rFonts w:hint="default"/>
                <w:i/>
                <w:iCs w:val="0"/>
                <w:highlight w:val="none"/>
              </w:rPr>
              <w:t>Callosciurus</w:t>
            </w:r>
          </w:p>
          <w:p w14:paraId="4563F37B">
            <w:pPr>
              <w:pStyle w:val="22"/>
              <w:bidi w:val="0"/>
              <w:jc w:val="center"/>
              <w:rPr>
                <w:rFonts w:hint="default"/>
                <w:highlight w:val="none"/>
              </w:rPr>
            </w:pPr>
            <w:r>
              <w:rPr>
                <w:rFonts w:hint="default"/>
                <w:i/>
                <w:iCs w:val="0"/>
                <w:highlight w:val="none"/>
              </w:rPr>
              <w:t>erythraeus</w:t>
            </w:r>
          </w:p>
        </w:tc>
        <w:tc>
          <w:tcPr>
            <w:tcW w:w="448" w:type="dxa"/>
            <w:vAlign w:val="center"/>
          </w:tcPr>
          <w:p w14:paraId="570695FA">
            <w:pPr>
              <w:pStyle w:val="22"/>
              <w:bidi w:val="0"/>
              <w:jc w:val="center"/>
              <w:rPr>
                <w:rFonts w:hint="default"/>
                <w:highlight w:val="none"/>
              </w:rPr>
            </w:pPr>
            <w:r>
              <w:rPr>
                <w:rFonts w:hint="default"/>
                <w:highlight w:val="none"/>
              </w:rPr>
              <w:t>O</w:t>
            </w:r>
          </w:p>
        </w:tc>
        <w:tc>
          <w:tcPr>
            <w:tcW w:w="630" w:type="dxa"/>
            <w:vAlign w:val="center"/>
          </w:tcPr>
          <w:p w14:paraId="69AC1FB3">
            <w:pPr>
              <w:pStyle w:val="22"/>
              <w:bidi w:val="0"/>
              <w:jc w:val="center"/>
              <w:rPr>
                <w:rFonts w:hint="default"/>
                <w:highlight w:val="none"/>
              </w:rPr>
            </w:pPr>
          </w:p>
        </w:tc>
        <w:tc>
          <w:tcPr>
            <w:tcW w:w="510" w:type="dxa"/>
            <w:vAlign w:val="center"/>
          </w:tcPr>
          <w:p w14:paraId="6E7A9DB4">
            <w:pPr>
              <w:pStyle w:val="22"/>
              <w:bidi w:val="0"/>
              <w:jc w:val="center"/>
              <w:rPr>
                <w:rFonts w:hint="default"/>
                <w:highlight w:val="none"/>
              </w:rPr>
            </w:pPr>
            <w:r>
              <w:rPr>
                <w:rFonts w:hint="default"/>
                <w:highlight w:val="none"/>
              </w:rPr>
              <w:t>LC</w:t>
            </w:r>
          </w:p>
        </w:tc>
        <w:tc>
          <w:tcPr>
            <w:tcW w:w="540" w:type="dxa"/>
            <w:vAlign w:val="center"/>
          </w:tcPr>
          <w:p w14:paraId="0941784E">
            <w:pPr>
              <w:pStyle w:val="22"/>
              <w:bidi w:val="0"/>
              <w:jc w:val="center"/>
              <w:rPr>
                <w:rFonts w:hint="default"/>
                <w:highlight w:val="none"/>
              </w:rPr>
            </w:pPr>
          </w:p>
        </w:tc>
        <w:tc>
          <w:tcPr>
            <w:tcW w:w="704" w:type="dxa"/>
            <w:vAlign w:val="center"/>
          </w:tcPr>
          <w:p w14:paraId="0A09117E">
            <w:pPr>
              <w:pStyle w:val="22"/>
              <w:bidi w:val="0"/>
              <w:jc w:val="center"/>
              <w:rPr>
                <w:rFonts w:hint="default"/>
                <w:highlight w:val="none"/>
              </w:rPr>
            </w:pPr>
            <w:r>
              <w:rPr>
                <w:rFonts w:hint="default"/>
                <w:highlight w:val="none"/>
              </w:rPr>
              <w:t>1</w:t>
            </w:r>
          </w:p>
        </w:tc>
        <w:tc>
          <w:tcPr>
            <w:tcW w:w="645" w:type="dxa"/>
            <w:vAlign w:val="center"/>
          </w:tcPr>
          <w:p w14:paraId="147BD5E8">
            <w:pPr>
              <w:pStyle w:val="22"/>
              <w:bidi w:val="0"/>
              <w:jc w:val="center"/>
              <w:rPr>
                <w:rFonts w:hint="default"/>
                <w:highlight w:val="none"/>
              </w:rPr>
            </w:pPr>
          </w:p>
        </w:tc>
        <w:tc>
          <w:tcPr>
            <w:tcW w:w="615" w:type="dxa"/>
            <w:vAlign w:val="center"/>
          </w:tcPr>
          <w:p w14:paraId="2B4AF6EA">
            <w:pPr>
              <w:pStyle w:val="22"/>
              <w:bidi w:val="0"/>
              <w:jc w:val="center"/>
              <w:rPr>
                <w:rFonts w:hint="default"/>
                <w:highlight w:val="none"/>
              </w:rPr>
            </w:pPr>
          </w:p>
        </w:tc>
        <w:tc>
          <w:tcPr>
            <w:tcW w:w="794" w:type="dxa"/>
            <w:vAlign w:val="center"/>
          </w:tcPr>
          <w:p w14:paraId="4C10543E">
            <w:pPr>
              <w:pStyle w:val="22"/>
              <w:bidi w:val="0"/>
              <w:jc w:val="center"/>
              <w:rPr>
                <w:rFonts w:hint="default"/>
                <w:highlight w:val="none"/>
              </w:rPr>
            </w:pPr>
          </w:p>
        </w:tc>
        <w:tc>
          <w:tcPr>
            <w:tcW w:w="529" w:type="dxa"/>
            <w:vAlign w:val="center"/>
          </w:tcPr>
          <w:p w14:paraId="3CE0A782">
            <w:pPr>
              <w:pStyle w:val="22"/>
              <w:bidi w:val="0"/>
              <w:jc w:val="center"/>
              <w:rPr>
                <w:rFonts w:hint="default"/>
                <w:highlight w:val="none"/>
              </w:rPr>
            </w:pPr>
          </w:p>
        </w:tc>
      </w:tr>
      <w:tr w14:paraId="5E3C17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9" w:hRule="atLeast"/>
        </w:trPr>
        <w:tc>
          <w:tcPr>
            <w:tcW w:w="912" w:type="dxa"/>
            <w:vMerge w:val="continue"/>
            <w:tcBorders>
              <w:top w:val="nil"/>
            </w:tcBorders>
            <w:vAlign w:val="center"/>
          </w:tcPr>
          <w:p w14:paraId="5B87B557">
            <w:pPr>
              <w:pStyle w:val="22"/>
              <w:bidi w:val="0"/>
              <w:jc w:val="center"/>
              <w:rPr>
                <w:rFonts w:hint="default"/>
                <w:highlight w:val="none"/>
              </w:rPr>
            </w:pPr>
          </w:p>
        </w:tc>
        <w:tc>
          <w:tcPr>
            <w:tcW w:w="1207" w:type="dxa"/>
            <w:vAlign w:val="center"/>
          </w:tcPr>
          <w:p w14:paraId="31E1A945">
            <w:pPr>
              <w:pStyle w:val="22"/>
              <w:bidi w:val="0"/>
              <w:jc w:val="center"/>
              <w:rPr>
                <w:rFonts w:hint="default"/>
                <w:highlight w:val="none"/>
              </w:rPr>
            </w:pPr>
            <w:r>
              <w:rPr>
                <w:rFonts w:hint="default"/>
                <w:highlight w:val="none"/>
              </w:rPr>
              <w:t xml:space="preserve">松鼠科 </w:t>
            </w:r>
            <w:r>
              <w:rPr>
                <w:rFonts w:hint="default"/>
                <w:i/>
                <w:iCs w:val="0"/>
                <w:highlight w:val="none"/>
              </w:rPr>
              <w:t>Sciuridae</w:t>
            </w:r>
          </w:p>
        </w:tc>
        <w:tc>
          <w:tcPr>
            <w:tcW w:w="948" w:type="dxa"/>
            <w:vAlign w:val="center"/>
          </w:tcPr>
          <w:p w14:paraId="3525B090">
            <w:pPr>
              <w:pStyle w:val="22"/>
              <w:bidi w:val="0"/>
              <w:jc w:val="center"/>
              <w:rPr>
                <w:rFonts w:hint="default"/>
                <w:highlight w:val="none"/>
              </w:rPr>
            </w:pPr>
            <w:r>
              <w:rPr>
                <w:rFonts w:hint="default"/>
                <w:highlight w:val="none"/>
              </w:rPr>
              <w:t>喜马拉雅</w:t>
            </w:r>
          </w:p>
          <w:p w14:paraId="09669F72">
            <w:pPr>
              <w:pStyle w:val="22"/>
              <w:bidi w:val="0"/>
              <w:jc w:val="center"/>
              <w:rPr>
                <w:rFonts w:hint="default"/>
                <w:highlight w:val="none"/>
              </w:rPr>
            </w:pPr>
            <w:r>
              <w:rPr>
                <w:rFonts w:hint="default"/>
                <w:highlight w:val="none"/>
              </w:rPr>
              <w:t>旱獭</w:t>
            </w:r>
          </w:p>
          <w:p w14:paraId="29463970">
            <w:pPr>
              <w:pStyle w:val="22"/>
              <w:bidi w:val="0"/>
              <w:jc w:val="center"/>
              <w:rPr>
                <w:rFonts w:hint="default"/>
                <w:i/>
                <w:iCs w:val="0"/>
                <w:highlight w:val="none"/>
              </w:rPr>
            </w:pPr>
            <w:r>
              <w:rPr>
                <w:rFonts w:hint="default"/>
                <w:i/>
                <w:iCs w:val="0"/>
                <w:highlight w:val="none"/>
              </w:rPr>
              <w:t>Marmota</w:t>
            </w:r>
          </w:p>
          <w:p w14:paraId="3BE4358A">
            <w:pPr>
              <w:pStyle w:val="22"/>
              <w:bidi w:val="0"/>
              <w:jc w:val="center"/>
              <w:rPr>
                <w:rFonts w:hint="default"/>
                <w:i/>
                <w:iCs w:val="0"/>
                <w:highlight w:val="none"/>
              </w:rPr>
            </w:pPr>
            <w:r>
              <w:rPr>
                <w:rFonts w:hint="default"/>
                <w:i/>
                <w:iCs w:val="0"/>
                <w:highlight w:val="none"/>
              </w:rPr>
              <w:t>himalayan</w:t>
            </w:r>
          </w:p>
          <w:p w14:paraId="5132B8DD">
            <w:pPr>
              <w:pStyle w:val="22"/>
              <w:bidi w:val="0"/>
              <w:jc w:val="center"/>
              <w:rPr>
                <w:rFonts w:hint="default"/>
                <w:highlight w:val="none"/>
              </w:rPr>
            </w:pPr>
            <w:r>
              <w:rPr>
                <w:rFonts w:hint="default"/>
                <w:i/>
                <w:iCs w:val="0"/>
                <w:highlight w:val="none"/>
              </w:rPr>
              <w:t>a</w:t>
            </w:r>
          </w:p>
        </w:tc>
        <w:tc>
          <w:tcPr>
            <w:tcW w:w="448" w:type="dxa"/>
            <w:vAlign w:val="center"/>
          </w:tcPr>
          <w:p w14:paraId="294FA13E">
            <w:pPr>
              <w:pStyle w:val="22"/>
              <w:bidi w:val="0"/>
              <w:jc w:val="center"/>
              <w:rPr>
                <w:rFonts w:hint="default"/>
                <w:highlight w:val="none"/>
              </w:rPr>
            </w:pPr>
            <w:r>
              <w:rPr>
                <w:rFonts w:hint="default"/>
                <w:highlight w:val="none"/>
              </w:rPr>
              <w:t>C</w:t>
            </w:r>
          </w:p>
        </w:tc>
        <w:tc>
          <w:tcPr>
            <w:tcW w:w="630" w:type="dxa"/>
            <w:vAlign w:val="center"/>
          </w:tcPr>
          <w:p w14:paraId="634B4234">
            <w:pPr>
              <w:pStyle w:val="22"/>
              <w:bidi w:val="0"/>
              <w:jc w:val="center"/>
              <w:rPr>
                <w:rFonts w:hint="default"/>
                <w:highlight w:val="none"/>
              </w:rPr>
            </w:pPr>
          </w:p>
        </w:tc>
        <w:tc>
          <w:tcPr>
            <w:tcW w:w="510" w:type="dxa"/>
            <w:vAlign w:val="center"/>
          </w:tcPr>
          <w:p w14:paraId="229EAB08">
            <w:pPr>
              <w:pStyle w:val="22"/>
              <w:bidi w:val="0"/>
              <w:jc w:val="center"/>
              <w:rPr>
                <w:rFonts w:hint="default"/>
                <w:highlight w:val="none"/>
              </w:rPr>
            </w:pPr>
            <w:r>
              <w:rPr>
                <w:rFonts w:hint="default"/>
                <w:highlight w:val="none"/>
              </w:rPr>
              <w:t>LC</w:t>
            </w:r>
          </w:p>
        </w:tc>
        <w:tc>
          <w:tcPr>
            <w:tcW w:w="540" w:type="dxa"/>
            <w:vAlign w:val="center"/>
          </w:tcPr>
          <w:p w14:paraId="007EAB27">
            <w:pPr>
              <w:pStyle w:val="22"/>
              <w:bidi w:val="0"/>
              <w:jc w:val="center"/>
              <w:rPr>
                <w:rFonts w:hint="default"/>
                <w:highlight w:val="none"/>
              </w:rPr>
            </w:pPr>
          </w:p>
        </w:tc>
        <w:tc>
          <w:tcPr>
            <w:tcW w:w="704" w:type="dxa"/>
            <w:vAlign w:val="center"/>
          </w:tcPr>
          <w:p w14:paraId="046A83C3">
            <w:pPr>
              <w:pStyle w:val="22"/>
              <w:bidi w:val="0"/>
              <w:jc w:val="center"/>
              <w:rPr>
                <w:rFonts w:hint="default"/>
                <w:highlight w:val="none"/>
              </w:rPr>
            </w:pPr>
            <w:r>
              <w:rPr>
                <w:rFonts w:hint="default"/>
                <w:highlight w:val="none"/>
              </w:rPr>
              <w:t>1</w:t>
            </w:r>
          </w:p>
        </w:tc>
        <w:tc>
          <w:tcPr>
            <w:tcW w:w="645" w:type="dxa"/>
            <w:vAlign w:val="center"/>
          </w:tcPr>
          <w:p w14:paraId="6E030401">
            <w:pPr>
              <w:pStyle w:val="22"/>
              <w:bidi w:val="0"/>
              <w:jc w:val="center"/>
              <w:rPr>
                <w:rFonts w:hint="default"/>
                <w:highlight w:val="none"/>
              </w:rPr>
            </w:pPr>
          </w:p>
        </w:tc>
        <w:tc>
          <w:tcPr>
            <w:tcW w:w="615" w:type="dxa"/>
            <w:vAlign w:val="center"/>
          </w:tcPr>
          <w:p w14:paraId="4DABBB60">
            <w:pPr>
              <w:pStyle w:val="22"/>
              <w:bidi w:val="0"/>
              <w:jc w:val="center"/>
              <w:rPr>
                <w:rFonts w:hint="default"/>
                <w:highlight w:val="none"/>
              </w:rPr>
            </w:pPr>
          </w:p>
        </w:tc>
        <w:tc>
          <w:tcPr>
            <w:tcW w:w="794" w:type="dxa"/>
            <w:vAlign w:val="center"/>
          </w:tcPr>
          <w:p w14:paraId="4711CCC2">
            <w:pPr>
              <w:pStyle w:val="22"/>
              <w:bidi w:val="0"/>
              <w:jc w:val="center"/>
              <w:rPr>
                <w:rFonts w:hint="default"/>
                <w:highlight w:val="none"/>
              </w:rPr>
            </w:pPr>
          </w:p>
        </w:tc>
        <w:tc>
          <w:tcPr>
            <w:tcW w:w="529" w:type="dxa"/>
            <w:vAlign w:val="center"/>
          </w:tcPr>
          <w:p w14:paraId="5A5EBE31">
            <w:pPr>
              <w:pStyle w:val="22"/>
              <w:bidi w:val="0"/>
              <w:jc w:val="center"/>
              <w:rPr>
                <w:rFonts w:hint="default"/>
                <w:highlight w:val="none"/>
              </w:rPr>
            </w:pPr>
          </w:p>
        </w:tc>
      </w:tr>
    </w:tbl>
    <w:p w14:paraId="287612C4">
      <w:pPr>
        <w:bidi w:val="0"/>
        <w:ind w:left="0" w:leftChars="0" w:firstLine="0" w:firstLineChars="0"/>
        <w:rPr>
          <w:rFonts w:hint="default"/>
          <w:highlight w:val="none"/>
          <w:lang w:val="en-US" w:eastAsia="zh-CN"/>
        </w:rPr>
      </w:pPr>
    </w:p>
    <w:p w14:paraId="55D3B27C">
      <w:pPr>
        <w:bidi w:val="0"/>
        <w:rPr>
          <w:rFonts w:hint="default"/>
          <w:highlight w:val="none"/>
          <w:lang w:val="en-US" w:eastAsia="zh-CN"/>
        </w:rPr>
      </w:pPr>
      <w:r>
        <w:rPr>
          <w:rFonts w:hint="default"/>
          <w:highlight w:val="none"/>
          <w:lang w:val="en-US" w:eastAsia="zh-CN"/>
        </w:rPr>
        <w:t>（2）生态类型</w:t>
      </w:r>
    </w:p>
    <w:p w14:paraId="504C71A9">
      <w:pPr>
        <w:bidi w:val="0"/>
        <w:rPr>
          <w:rFonts w:hint="default"/>
          <w:highlight w:val="none"/>
          <w:lang w:val="en-US" w:eastAsia="zh-CN"/>
        </w:rPr>
      </w:pPr>
      <w:r>
        <w:rPr>
          <w:rFonts w:hint="default"/>
          <w:highlight w:val="none"/>
          <w:lang w:val="en-US" w:eastAsia="zh-CN"/>
        </w:rPr>
        <w:t>根据哺乳类生活习性的不同，可以将本次记录到哺乳类分为以下 5 种生态类型：地面生活型：(主要在地面活动觅食、栖息)：野猪(Sus scrofa) 、中华鬣羚、狼、藏狐、赤狐和中华小熊猫共 6 种。主要生活于监测区的林下和灌丛等。半地下生活型(穴居型，主要在地面活动觅食、栖息、避敌于洞穴中，有的也在地下寻找食物 ) ：灰尾兔(Lepus oiostolus) 、川西鼠兔、高原鼠兔 (Ochotona curzoniae) 、藏鼠兔(Ochotona thibetana) 、高原鼢鼠(Eospalax baileyi) 、高山姬鼠  (Apodemus  chevrieri) 、 中 华 姬 鼠 (Apodemus  draco) 、大耳姬鼠(Apodemus latronum) 、小家鼠(Mus musculus) 、北社鼠(Niviventer confucianus) 、川西白腹鼠、 针毛鼠(Niviventer fulvescens) 、高原松田鼠、马来豪猪(Hystrix brachyura) 、喜马拉雅旱獭(Marmota himalayana) 、西南中麝鼩、猪獾、亚洲 狗獾等，共 18 种。上述动物主要分布在监测区域灌丛、林缘。半水栖型(主要在水域中栖息和觅食的种类)：猕猴，共 1 种，主要在乔木林的树上和地面栖息。树栖型(主要在树上栖息、觅食的哺乳类)：沟牙鼯鼠、赤腹松鼠(Callosciurus erythraeus)和岩松鼠，共 3 种。其主要栖息于调查区域的乔木林地内。</w:t>
      </w:r>
    </w:p>
    <w:p w14:paraId="62545E56">
      <w:pPr>
        <w:bidi w:val="0"/>
        <w:rPr>
          <w:rFonts w:hint="default"/>
          <w:highlight w:val="none"/>
          <w:lang w:val="en-US" w:eastAsia="zh-CN"/>
        </w:rPr>
      </w:pPr>
      <w:r>
        <w:rPr>
          <w:rFonts w:hint="default"/>
          <w:highlight w:val="none"/>
          <w:lang w:val="en-US" w:eastAsia="zh-CN"/>
        </w:rPr>
        <w:t>（3）区系特征</w:t>
      </w:r>
    </w:p>
    <w:p w14:paraId="56FC804C">
      <w:pPr>
        <w:bidi w:val="0"/>
        <w:rPr>
          <w:rFonts w:hint="default"/>
          <w:highlight w:val="none"/>
          <w:lang w:val="en-US" w:eastAsia="zh-CN"/>
        </w:rPr>
      </w:pPr>
      <w:r>
        <w:rPr>
          <w:rFonts w:hint="default"/>
          <w:highlight w:val="none"/>
          <w:lang w:val="en-US" w:eastAsia="zh-CN"/>
        </w:rPr>
        <w:t>按区系类型划分，本次调查到的30种哺乳动物中，东洋种 13 种，占种数的 43.33%；古北种 5 种， 占种数的 13.33%；广布种 13 种，占种数的 43.33%。监测区域处于东洋界和古北界交界处靠东洋界一侧，监测区域内哺乳类东洋界成分占优势而古北界成分也占一定的比例，显示出明显的南北混杂的特征。</w:t>
      </w:r>
    </w:p>
    <w:p w14:paraId="6CDF881C">
      <w:pPr>
        <w:numPr>
          <w:ilvl w:val="0"/>
          <w:numId w:val="25"/>
        </w:numPr>
        <w:bidi w:val="0"/>
        <w:ind w:left="420" w:leftChars="0" w:hanging="420" w:firstLineChars="0"/>
        <w:rPr>
          <w:rFonts w:hint="default"/>
          <w:highlight w:val="none"/>
          <w:lang w:val="en-US" w:eastAsia="zh-CN"/>
        </w:rPr>
      </w:pPr>
      <w:r>
        <w:rPr>
          <w:rFonts w:hint="default"/>
          <w:highlight w:val="none"/>
          <w:lang w:val="en-US" w:eastAsia="zh-CN"/>
        </w:rPr>
        <w:t>珍稀濒危和重点保护陆生动物</w:t>
      </w:r>
    </w:p>
    <w:p w14:paraId="167F75F1">
      <w:pPr>
        <w:bidi w:val="0"/>
        <w:rPr>
          <w:rFonts w:hint="default"/>
          <w:highlight w:val="none"/>
          <w:lang w:val="en-US" w:eastAsia="zh-CN"/>
        </w:rPr>
      </w:pPr>
      <w:r>
        <w:rPr>
          <w:rFonts w:hint="default"/>
          <w:highlight w:val="none"/>
          <w:lang w:val="en-US" w:eastAsia="zh-CN"/>
        </w:rPr>
        <w:t>通过本次现场调查，结合查阅资料、调查访问等方法，监测区域内未记录 和调查到国家一级重点保护野生动物。记录和调查到国家二级重点保护野生动 物 10 种，其中两栖类 1 种，即稻城山溪鲵；鸟类 3 种，即普通鵟、眼纹噪鹛和 白马鸡；哺乳类 6 种，即猕猴、中华鬣羚、狼、毛冠鹿、赤狐。记录到四川省 重点保护动物 7 种，分别为普通夜鹰、 白喉针尾雨燕、大鹰鹃、绿鹭、普通鸬 鹚、沟牙鼯鼠和香鼬。调查区域内无《中国生物多样性红色名录》“极危”级别 的物种；“濒危”级别的物种无；“易危”级别的物种 6 种，即稻城山溪鲵、黑眉 锦蛇、中华鬣羚和中华小熊猫；中国特有种 9 种。本次调查到的重点保护和珍 稀濒危野生动物名录见下表。</w:t>
      </w:r>
    </w:p>
    <w:p w14:paraId="42EADA3A">
      <w:pPr>
        <w:pStyle w:val="11"/>
        <w:bidi w:val="0"/>
        <w:ind w:left="0" w:leftChars="0" w:firstLine="0" w:firstLineChars="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38</w:t>
      </w:r>
      <w:r>
        <w:rPr>
          <w:highlight w:val="none"/>
        </w:rPr>
        <w:fldChar w:fldCharType="end"/>
      </w:r>
      <w:r>
        <w:rPr>
          <w:rFonts w:hint="default"/>
          <w:highlight w:val="none"/>
          <w:lang w:val="en-US" w:eastAsia="zh-CN"/>
        </w:rPr>
        <w:t>重点保护和珍稀濒危野生动物名录</w:t>
      </w:r>
    </w:p>
    <w:tbl>
      <w:tblPr>
        <w:tblStyle w:val="24"/>
        <w:tblW w:w="8361" w:type="dxa"/>
        <w:tblInd w:w="1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5"/>
        <w:gridCol w:w="559"/>
        <w:gridCol w:w="1557"/>
        <w:gridCol w:w="1749"/>
        <w:gridCol w:w="849"/>
        <w:gridCol w:w="567"/>
        <w:gridCol w:w="708"/>
        <w:gridCol w:w="709"/>
        <w:gridCol w:w="567"/>
        <w:gridCol w:w="571"/>
      </w:tblGrid>
      <w:tr w14:paraId="422A51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525" w:type="dxa"/>
            <w:vMerge w:val="restart"/>
            <w:tcBorders>
              <w:bottom w:val="nil"/>
            </w:tcBorders>
            <w:vAlign w:val="center"/>
          </w:tcPr>
          <w:p w14:paraId="70550E05">
            <w:pPr>
              <w:pStyle w:val="22"/>
              <w:bidi w:val="0"/>
              <w:jc w:val="center"/>
              <w:rPr>
                <w:highlight w:val="none"/>
              </w:rPr>
            </w:pPr>
            <w:r>
              <w:rPr>
                <w:highlight w:val="none"/>
              </w:rPr>
              <w:t>编号</w:t>
            </w:r>
          </w:p>
        </w:tc>
        <w:tc>
          <w:tcPr>
            <w:tcW w:w="559" w:type="dxa"/>
            <w:vMerge w:val="restart"/>
            <w:tcBorders>
              <w:bottom w:val="nil"/>
            </w:tcBorders>
            <w:vAlign w:val="center"/>
          </w:tcPr>
          <w:p w14:paraId="0778F949">
            <w:pPr>
              <w:pStyle w:val="22"/>
              <w:bidi w:val="0"/>
              <w:jc w:val="center"/>
              <w:rPr>
                <w:highlight w:val="none"/>
              </w:rPr>
            </w:pPr>
            <w:r>
              <w:rPr>
                <w:highlight w:val="none"/>
              </w:rPr>
              <w:t>纲</w:t>
            </w:r>
          </w:p>
        </w:tc>
        <w:tc>
          <w:tcPr>
            <w:tcW w:w="1557" w:type="dxa"/>
            <w:vMerge w:val="restart"/>
            <w:tcBorders>
              <w:bottom w:val="nil"/>
            </w:tcBorders>
            <w:vAlign w:val="center"/>
          </w:tcPr>
          <w:p w14:paraId="2C9B212D">
            <w:pPr>
              <w:pStyle w:val="22"/>
              <w:bidi w:val="0"/>
              <w:jc w:val="center"/>
              <w:rPr>
                <w:highlight w:val="none"/>
              </w:rPr>
            </w:pPr>
            <w:r>
              <w:rPr>
                <w:highlight w:val="none"/>
              </w:rPr>
              <w:t>中文名</w:t>
            </w:r>
          </w:p>
        </w:tc>
        <w:tc>
          <w:tcPr>
            <w:tcW w:w="1749" w:type="dxa"/>
            <w:vMerge w:val="restart"/>
            <w:tcBorders>
              <w:bottom w:val="nil"/>
            </w:tcBorders>
            <w:vAlign w:val="center"/>
          </w:tcPr>
          <w:p w14:paraId="603DC090">
            <w:pPr>
              <w:pStyle w:val="22"/>
              <w:bidi w:val="0"/>
              <w:jc w:val="center"/>
              <w:rPr>
                <w:highlight w:val="none"/>
              </w:rPr>
            </w:pPr>
            <w:r>
              <w:rPr>
                <w:highlight w:val="none"/>
              </w:rPr>
              <w:t>拉丁名</w:t>
            </w:r>
          </w:p>
        </w:tc>
        <w:tc>
          <w:tcPr>
            <w:tcW w:w="1416" w:type="dxa"/>
            <w:gridSpan w:val="2"/>
            <w:vAlign w:val="center"/>
          </w:tcPr>
          <w:p w14:paraId="115B816D">
            <w:pPr>
              <w:pStyle w:val="22"/>
              <w:bidi w:val="0"/>
              <w:jc w:val="center"/>
              <w:rPr>
                <w:highlight w:val="none"/>
              </w:rPr>
            </w:pPr>
            <w:r>
              <w:rPr>
                <w:highlight w:val="none"/>
              </w:rPr>
              <w:t>保护级别</w:t>
            </w:r>
          </w:p>
        </w:tc>
        <w:tc>
          <w:tcPr>
            <w:tcW w:w="708" w:type="dxa"/>
            <w:vMerge w:val="restart"/>
            <w:tcBorders>
              <w:bottom w:val="nil"/>
            </w:tcBorders>
            <w:vAlign w:val="center"/>
          </w:tcPr>
          <w:p w14:paraId="243C97A2">
            <w:pPr>
              <w:pStyle w:val="22"/>
              <w:bidi w:val="0"/>
              <w:jc w:val="center"/>
              <w:rPr>
                <w:highlight w:val="none"/>
              </w:rPr>
            </w:pPr>
            <w:r>
              <w:rPr>
                <w:highlight w:val="none"/>
              </w:rPr>
              <w:t>濒危等 级</w:t>
            </w:r>
          </w:p>
        </w:tc>
        <w:tc>
          <w:tcPr>
            <w:tcW w:w="709" w:type="dxa"/>
            <w:vMerge w:val="restart"/>
            <w:tcBorders>
              <w:bottom w:val="nil"/>
            </w:tcBorders>
            <w:vAlign w:val="center"/>
          </w:tcPr>
          <w:p w14:paraId="23FF17E1">
            <w:pPr>
              <w:pStyle w:val="22"/>
              <w:bidi w:val="0"/>
              <w:jc w:val="center"/>
              <w:rPr>
                <w:highlight w:val="none"/>
              </w:rPr>
            </w:pPr>
            <w:r>
              <w:rPr>
                <w:highlight w:val="none"/>
              </w:rPr>
              <w:t>中国特 有种</w:t>
            </w:r>
          </w:p>
        </w:tc>
        <w:tc>
          <w:tcPr>
            <w:tcW w:w="1138" w:type="dxa"/>
            <w:gridSpan w:val="2"/>
            <w:vAlign w:val="center"/>
          </w:tcPr>
          <w:p w14:paraId="4058DABE">
            <w:pPr>
              <w:pStyle w:val="22"/>
              <w:bidi w:val="0"/>
              <w:jc w:val="center"/>
              <w:rPr>
                <w:highlight w:val="none"/>
              </w:rPr>
            </w:pPr>
            <w:r>
              <w:rPr>
                <w:highlight w:val="none"/>
              </w:rPr>
              <w:t>数据来源</w:t>
            </w:r>
          </w:p>
        </w:tc>
      </w:tr>
      <w:tr w14:paraId="2D911C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25" w:type="dxa"/>
            <w:vMerge w:val="continue"/>
            <w:tcBorders>
              <w:top w:val="nil"/>
            </w:tcBorders>
            <w:vAlign w:val="center"/>
          </w:tcPr>
          <w:p w14:paraId="3BB83F17">
            <w:pPr>
              <w:pStyle w:val="22"/>
              <w:bidi w:val="0"/>
              <w:jc w:val="center"/>
              <w:rPr>
                <w:highlight w:val="none"/>
              </w:rPr>
            </w:pPr>
          </w:p>
        </w:tc>
        <w:tc>
          <w:tcPr>
            <w:tcW w:w="559" w:type="dxa"/>
            <w:vMerge w:val="continue"/>
            <w:tcBorders>
              <w:top w:val="nil"/>
            </w:tcBorders>
            <w:vAlign w:val="center"/>
          </w:tcPr>
          <w:p w14:paraId="46800BAD">
            <w:pPr>
              <w:pStyle w:val="22"/>
              <w:bidi w:val="0"/>
              <w:jc w:val="center"/>
              <w:rPr>
                <w:highlight w:val="none"/>
              </w:rPr>
            </w:pPr>
          </w:p>
        </w:tc>
        <w:tc>
          <w:tcPr>
            <w:tcW w:w="1557" w:type="dxa"/>
            <w:vMerge w:val="continue"/>
            <w:tcBorders>
              <w:top w:val="nil"/>
            </w:tcBorders>
            <w:vAlign w:val="center"/>
          </w:tcPr>
          <w:p w14:paraId="0D143F6B">
            <w:pPr>
              <w:pStyle w:val="22"/>
              <w:bidi w:val="0"/>
              <w:jc w:val="center"/>
              <w:rPr>
                <w:highlight w:val="none"/>
              </w:rPr>
            </w:pPr>
          </w:p>
        </w:tc>
        <w:tc>
          <w:tcPr>
            <w:tcW w:w="1749" w:type="dxa"/>
            <w:vMerge w:val="continue"/>
            <w:tcBorders>
              <w:top w:val="nil"/>
            </w:tcBorders>
            <w:vAlign w:val="center"/>
          </w:tcPr>
          <w:p w14:paraId="61F95764">
            <w:pPr>
              <w:pStyle w:val="22"/>
              <w:bidi w:val="0"/>
              <w:jc w:val="center"/>
              <w:rPr>
                <w:highlight w:val="none"/>
              </w:rPr>
            </w:pPr>
          </w:p>
        </w:tc>
        <w:tc>
          <w:tcPr>
            <w:tcW w:w="849" w:type="dxa"/>
            <w:vAlign w:val="center"/>
          </w:tcPr>
          <w:p w14:paraId="3954CECF">
            <w:pPr>
              <w:pStyle w:val="22"/>
              <w:bidi w:val="0"/>
              <w:jc w:val="center"/>
              <w:rPr>
                <w:highlight w:val="none"/>
              </w:rPr>
            </w:pPr>
            <w:r>
              <w:rPr>
                <w:highlight w:val="none"/>
              </w:rPr>
              <w:t>国家级</w:t>
            </w:r>
          </w:p>
        </w:tc>
        <w:tc>
          <w:tcPr>
            <w:tcW w:w="567" w:type="dxa"/>
            <w:vAlign w:val="center"/>
          </w:tcPr>
          <w:p w14:paraId="14CB5FA1">
            <w:pPr>
              <w:pStyle w:val="22"/>
              <w:bidi w:val="0"/>
              <w:jc w:val="center"/>
              <w:rPr>
                <w:highlight w:val="none"/>
              </w:rPr>
            </w:pPr>
            <w:r>
              <w:rPr>
                <w:highlight w:val="none"/>
              </w:rPr>
              <w:t>四川</w:t>
            </w:r>
          </w:p>
          <w:p w14:paraId="3240FDF0">
            <w:pPr>
              <w:pStyle w:val="22"/>
              <w:bidi w:val="0"/>
              <w:jc w:val="center"/>
              <w:rPr>
                <w:highlight w:val="none"/>
              </w:rPr>
            </w:pPr>
            <w:r>
              <w:rPr>
                <w:highlight w:val="none"/>
              </w:rPr>
              <w:t>省级</w:t>
            </w:r>
          </w:p>
        </w:tc>
        <w:tc>
          <w:tcPr>
            <w:tcW w:w="708" w:type="dxa"/>
            <w:vMerge w:val="continue"/>
            <w:tcBorders>
              <w:top w:val="nil"/>
            </w:tcBorders>
            <w:vAlign w:val="center"/>
          </w:tcPr>
          <w:p w14:paraId="2D7B62B8">
            <w:pPr>
              <w:pStyle w:val="22"/>
              <w:bidi w:val="0"/>
              <w:jc w:val="center"/>
              <w:rPr>
                <w:highlight w:val="none"/>
              </w:rPr>
            </w:pPr>
          </w:p>
        </w:tc>
        <w:tc>
          <w:tcPr>
            <w:tcW w:w="709" w:type="dxa"/>
            <w:vMerge w:val="continue"/>
            <w:tcBorders>
              <w:top w:val="nil"/>
            </w:tcBorders>
            <w:vAlign w:val="center"/>
          </w:tcPr>
          <w:p w14:paraId="7AD20BE5">
            <w:pPr>
              <w:pStyle w:val="22"/>
              <w:bidi w:val="0"/>
              <w:jc w:val="center"/>
              <w:rPr>
                <w:highlight w:val="none"/>
              </w:rPr>
            </w:pPr>
          </w:p>
        </w:tc>
        <w:tc>
          <w:tcPr>
            <w:tcW w:w="567" w:type="dxa"/>
            <w:vAlign w:val="center"/>
          </w:tcPr>
          <w:p w14:paraId="755AA0CD">
            <w:pPr>
              <w:pStyle w:val="22"/>
              <w:bidi w:val="0"/>
              <w:jc w:val="center"/>
              <w:rPr>
                <w:highlight w:val="none"/>
              </w:rPr>
            </w:pPr>
            <w:r>
              <w:rPr>
                <w:highlight w:val="none"/>
              </w:rPr>
              <w:t>现场</w:t>
            </w:r>
          </w:p>
          <w:p w14:paraId="7BA503E1">
            <w:pPr>
              <w:pStyle w:val="22"/>
              <w:bidi w:val="0"/>
              <w:jc w:val="center"/>
              <w:rPr>
                <w:highlight w:val="none"/>
              </w:rPr>
            </w:pPr>
            <w:r>
              <w:rPr>
                <w:highlight w:val="none"/>
              </w:rPr>
              <w:t>目击</w:t>
            </w:r>
          </w:p>
        </w:tc>
        <w:tc>
          <w:tcPr>
            <w:tcW w:w="571" w:type="dxa"/>
            <w:vAlign w:val="center"/>
          </w:tcPr>
          <w:p w14:paraId="0F68E0A7">
            <w:pPr>
              <w:pStyle w:val="22"/>
              <w:bidi w:val="0"/>
              <w:jc w:val="center"/>
              <w:rPr>
                <w:highlight w:val="none"/>
              </w:rPr>
            </w:pPr>
            <w:r>
              <w:rPr>
                <w:highlight w:val="none"/>
              </w:rPr>
              <w:t>环评</w:t>
            </w:r>
          </w:p>
          <w:p w14:paraId="0DAA2A3F">
            <w:pPr>
              <w:pStyle w:val="22"/>
              <w:bidi w:val="0"/>
              <w:jc w:val="center"/>
              <w:rPr>
                <w:highlight w:val="none"/>
              </w:rPr>
            </w:pPr>
            <w:r>
              <w:rPr>
                <w:highlight w:val="none"/>
              </w:rPr>
              <w:t>报告</w:t>
            </w:r>
          </w:p>
        </w:tc>
      </w:tr>
      <w:tr w14:paraId="264CBF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vAlign w:val="center"/>
          </w:tcPr>
          <w:p w14:paraId="70DEDC6A">
            <w:pPr>
              <w:pStyle w:val="22"/>
              <w:bidi w:val="0"/>
              <w:jc w:val="center"/>
              <w:rPr>
                <w:highlight w:val="none"/>
              </w:rPr>
            </w:pPr>
            <w:r>
              <w:rPr>
                <w:highlight w:val="none"/>
              </w:rPr>
              <w:t>1</w:t>
            </w:r>
          </w:p>
        </w:tc>
        <w:tc>
          <w:tcPr>
            <w:tcW w:w="559" w:type="dxa"/>
            <w:vMerge w:val="restart"/>
            <w:vAlign w:val="center"/>
          </w:tcPr>
          <w:p w14:paraId="23DFCC6B">
            <w:pPr>
              <w:pStyle w:val="22"/>
              <w:bidi w:val="0"/>
              <w:jc w:val="center"/>
              <w:rPr>
                <w:highlight w:val="none"/>
                <w:lang w:val="en-US" w:eastAsia="en-US"/>
              </w:rPr>
            </w:pPr>
            <w:r>
              <w:rPr>
                <w:highlight w:val="none"/>
              </w:rPr>
              <w:t>两栖 纲</w:t>
            </w:r>
          </w:p>
        </w:tc>
        <w:tc>
          <w:tcPr>
            <w:tcW w:w="1557" w:type="dxa"/>
            <w:vAlign w:val="center"/>
          </w:tcPr>
          <w:p w14:paraId="560E83E5">
            <w:pPr>
              <w:pStyle w:val="22"/>
              <w:bidi w:val="0"/>
              <w:jc w:val="center"/>
              <w:rPr>
                <w:highlight w:val="none"/>
              </w:rPr>
            </w:pPr>
            <w:r>
              <w:rPr>
                <w:highlight w:val="none"/>
              </w:rPr>
              <w:t>稻城山溪鲵</w:t>
            </w:r>
          </w:p>
        </w:tc>
        <w:tc>
          <w:tcPr>
            <w:tcW w:w="1749" w:type="dxa"/>
            <w:vAlign w:val="center"/>
          </w:tcPr>
          <w:p w14:paraId="05E0805F">
            <w:pPr>
              <w:pStyle w:val="22"/>
              <w:bidi w:val="0"/>
              <w:jc w:val="center"/>
              <w:rPr>
                <w:i/>
                <w:iCs w:val="0"/>
                <w:highlight w:val="none"/>
              </w:rPr>
            </w:pPr>
            <w:r>
              <w:rPr>
                <w:i/>
                <w:iCs w:val="0"/>
                <w:highlight w:val="none"/>
              </w:rPr>
              <w:t>Batrachuperus</w:t>
            </w:r>
          </w:p>
          <w:p w14:paraId="51EF8F74">
            <w:pPr>
              <w:pStyle w:val="22"/>
              <w:bidi w:val="0"/>
              <w:jc w:val="center"/>
              <w:rPr>
                <w:i/>
                <w:iCs w:val="0"/>
                <w:highlight w:val="none"/>
              </w:rPr>
            </w:pPr>
            <w:r>
              <w:rPr>
                <w:i/>
                <w:iCs w:val="0"/>
                <w:highlight w:val="none"/>
              </w:rPr>
              <w:t>tibetanus</w:t>
            </w:r>
          </w:p>
        </w:tc>
        <w:tc>
          <w:tcPr>
            <w:tcW w:w="849" w:type="dxa"/>
            <w:vAlign w:val="center"/>
          </w:tcPr>
          <w:p w14:paraId="0E1D1A18">
            <w:pPr>
              <w:pStyle w:val="22"/>
              <w:bidi w:val="0"/>
              <w:jc w:val="center"/>
              <w:rPr>
                <w:highlight w:val="none"/>
              </w:rPr>
            </w:pPr>
            <w:r>
              <w:rPr>
                <w:highlight w:val="none"/>
              </w:rPr>
              <w:t>二级</w:t>
            </w:r>
          </w:p>
        </w:tc>
        <w:tc>
          <w:tcPr>
            <w:tcW w:w="567" w:type="dxa"/>
            <w:vAlign w:val="center"/>
          </w:tcPr>
          <w:p w14:paraId="0298DA4C">
            <w:pPr>
              <w:pStyle w:val="22"/>
              <w:bidi w:val="0"/>
              <w:jc w:val="center"/>
              <w:rPr>
                <w:highlight w:val="none"/>
              </w:rPr>
            </w:pPr>
          </w:p>
        </w:tc>
        <w:tc>
          <w:tcPr>
            <w:tcW w:w="708" w:type="dxa"/>
            <w:vAlign w:val="center"/>
          </w:tcPr>
          <w:p w14:paraId="55BEACBC">
            <w:pPr>
              <w:pStyle w:val="22"/>
              <w:bidi w:val="0"/>
              <w:jc w:val="center"/>
              <w:rPr>
                <w:highlight w:val="none"/>
              </w:rPr>
            </w:pPr>
            <w:r>
              <w:rPr>
                <w:highlight w:val="none"/>
              </w:rPr>
              <w:t>VU</w:t>
            </w:r>
          </w:p>
        </w:tc>
        <w:tc>
          <w:tcPr>
            <w:tcW w:w="709" w:type="dxa"/>
            <w:vAlign w:val="center"/>
          </w:tcPr>
          <w:p w14:paraId="6D478987">
            <w:pPr>
              <w:pStyle w:val="22"/>
              <w:bidi w:val="0"/>
              <w:jc w:val="center"/>
              <w:rPr>
                <w:highlight w:val="none"/>
              </w:rPr>
            </w:pPr>
            <w:r>
              <w:rPr>
                <w:highlight w:val="none"/>
              </w:rPr>
              <w:t>√</w:t>
            </w:r>
          </w:p>
        </w:tc>
        <w:tc>
          <w:tcPr>
            <w:tcW w:w="567" w:type="dxa"/>
            <w:vAlign w:val="center"/>
          </w:tcPr>
          <w:p w14:paraId="2192B992">
            <w:pPr>
              <w:pStyle w:val="22"/>
              <w:bidi w:val="0"/>
              <w:jc w:val="center"/>
              <w:rPr>
                <w:highlight w:val="none"/>
              </w:rPr>
            </w:pPr>
          </w:p>
        </w:tc>
        <w:tc>
          <w:tcPr>
            <w:tcW w:w="571" w:type="dxa"/>
            <w:vAlign w:val="center"/>
          </w:tcPr>
          <w:p w14:paraId="4919799F">
            <w:pPr>
              <w:pStyle w:val="22"/>
              <w:bidi w:val="0"/>
              <w:jc w:val="center"/>
              <w:rPr>
                <w:highlight w:val="none"/>
              </w:rPr>
            </w:pPr>
            <w:r>
              <w:rPr>
                <w:highlight w:val="none"/>
              </w:rPr>
              <w:t>√</w:t>
            </w:r>
          </w:p>
        </w:tc>
      </w:tr>
      <w:tr w14:paraId="35B131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1544E459">
            <w:pPr>
              <w:pStyle w:val="22"/>
              <w:bidi w:val="0"/>
              <w:jc w:val="center"/>
              <w:rPr>
                <w:highlight w:val="none"/>
                <w:lang w:val="en-US" w:eastAsia="zh-CN"/>
              </w:rPr>
            </w:pPr>
            <w:r>
              <w:rPr>
                <w:highlight w:val="none"/>
              </w:rPr>
              <w:t>2</w:t>
            </w:r>
          </w:p>
        </w:tc>
        <w:tc>
          <w:tcPr>
            <w:tcW w:w="559" w:type="dxa"/>
            <w:vMerge w:val="continue"/>
            <w:shd w:val="clear" w:color="auto" w:fill="auto"/>
            <w:vAlign w:val="center"/>
          </w:tcPr>
          <w:p w14:paraId="66520FF9">
            <w:pPr>
              <w:pStyle w:val="22"/>
              <w:bidi w:val="0"/>
              <w:jc w:val="center"/>
              <w:rPr>
                <w:highlight w:val="none"/>
                <w:lang w:val="en-US" w:eastAsia="en-US"/>
              </w:rPr>
            </w:pPr>
          </w:p>
        </w:tc>
        <w:tc>
          <w:tcPr>
            <w:tcW w:w="1557" w:type="dxa"/>
            <w:shd w:val="clear" w:color="auto" w:fill="auto"/>
            <w:vAlign w:val="center"/>
          </w:tcPr>
          <w:p w14:paraId="3E4A073B">
            <w:pPr>
              <w:pStyle w:val="22"/>
              <w:bidi w:val="0"/>
              <w:jc w:val="center"/>
              <w:rPr>
                <w:highlight w:val="none"/>
                <w:lang w:val="en-US" w:eastAsia="en-US"/>
              </w:rPr>
            </w:pPr>
            <w:r>
              <w:rPr>
                <w:highlight w:val="none"/>
              </w:rPr>
              <w:t>胸腺齿突蟾</w:t>
            </w:r>
          </w:p>
        </w:tc>
        <w:tc>
          <w:tcPr>
            <w:tcW w:w="1749" w:type="dxa"/>
            <w:shd w:val="clear" w:color="auto" w:fill="auto"/>
            <w:vAlign w:val="center"/>
          </w:tcPr>
          <w:p w14:paraId="68461614">
            <w:pPr>
              <w:pStyle w:val="22"/>
              <w:bidi w:val="0"/>
              <w:jc w:val="center"/>
              <w:rPr>
                <w:i/>
                <w:iCs w:val="0"/>
                <w:highlight w:val="none"/>
                <w:lang w:val="en-US" w:eastAsia="zh-CN"/>
              </w:rPr>
            </w:pPr>
            <w:r>
              <w:rPr>
                <w:i/>
                <w:iCs w:val="0"/>
                <w:highlight w:val="none"/>
              </w:rPr>
              <w:t>Scutiger glandulatus</w:t>
            </w:r>
          </w:p>
        </w:tc>
        <w:tc>
          <w:tcPr>
            <w:tcW w:w="849" w:type="dxa"/>
            <w:shd w:val="clear" w:color="auto" w:fill="auto"/>
            <w:vAlign w:val="center"/>
          </w:tcPr>
          <w:p w14:paraId="013CF64B">
            <w:pPr>
              <w:pStyle w:val="22"/>
              <w:bidi w:val="0"/>
              <w:jc w:val="center"/>
              <w:rPr>
                <w:highlight w:val="none"/>
                <w:lang w:val="en-US" w:eastAsia="zh-CN"/>
              </w:rPr>
            </w:pPr>
          </w:p>
        </w:tc>
        <w:tc>
          <w:tcPr>
            <w:tcW w:w="567" w:type="dxa"/>
            <w:shd w:val="clear" w:color="auto" w:fill="auto"/>
            <w:vAlign w:val="center"/>
          </w:tcPr>
          <w:p w14:paraId="186059CF">
            <w:pPr>
              <w:pStyle w:val="22"/>
              <w:bidi w:val="0"/>
              <w:jc w:val="center"/>
              <w:rPr>
                <w:highlight w:val="none"/>
                <w:lang w:val="en-US" w:eastAsia="zh-CN"/>
              </w:rPr>
            </w:pPr>
          </w:p>
        </w:tc>
        <w:tc>
          <w:tcPr>
            <w:tcW w:w="708" w:type="dxa"/>
            <w:shd w:val="clear" w:color="auto" w:fill="auto"/>
            <w:vAlign w:val="center"/>
          </w:tcPr>
          <w:p w14:paraId="6895B768">
            <w:pPr>
              <w:pStyle w:val="22"/>
              <w:bidi w:val="0"/>
              <w:jc w:val="center"/>
              <w:rPr>
                <w:highlight w:val="none"/>
                <w:lang w:val="en-US" w:eastAsia="zh-CN"/>
              </w:rPr>
            </w:pPr>
            <w:r>
              <w:rPr>
                <w:highlight w:val="none"/>
              </w:rPr>
              <w:t>LC</w:t>
            </w:r>
          </w:p>
        </w:tc>
        <w:tc>
          <w:tcPr>
            <w:tcW w:w="709" w:type="dxa"/>
            <w:shd w:val="clear" w:color="auto" w:fill="auto"/>
            <w:vAlign w:val="center"/>
          </w:tcPr>
          <w:p w14:paraId="11520C66">
            <w:pPr>
              <w:pStyle w:val="22"/>
              <w:bidi w:val="0"/>
              <w:jc w:val="center"/>
              <w:rPr>
                <w:highlight w:val="none"/>
                <w:lang w:val="en-US" w:eastAsia="zh-CN"/>
              </w:rPr>
            </w:pPr>
            <w:r>
              <w:rPr>
                <w:highlight w:val="none"/>
              </w:rPr>
              <w:t>√</w:t>
            </w:r>
          </w:p>
        </w:tc>
        <w:tc>
          <w:tcPr>
            <w:tcW w:w="567" w:type="dxa"/>
            <w:shd w:val="clear" w:color="auto" w:fill="auto"/>
            <w:vAlign w:val="center"/>
          </w:tcPr>
          <w:p w14:paraId="1A34BB76">
            <w:pPr>
              <w:pStyle w:val="22"/>
              <w:bidi w:val="0"/>
              <w:jc w:val="center"/>
              <w:rPr>
                <w:highlight w:val="none"/>
                <w:lang w:val="en-US" w:eastAsia="zh-CN"/>
              </w:rPr>
            </w:pPr>
          </w:p>
        </w:tc>
        <w:tc>
          <w:tcPr>
            <w:tcW w:w="571" w:type="dxa"/>
            <w:shd w:val="clear" w:color="auto" w:fill="auto"/>
            <w:vAlign w:val="center"/>
          </w:tcPr>
          <w:p w14:paraId="365327C3">
            <w:pPr>
              <w:pStyle w:val="22"/>
              <w:bidi w:val="0"/>
              <w:jc w:val="center"/>
              <w:rPr>
                <w:highlight w:val="none"/>
                <w:lang w:val="en-US" w:eastAsia="zh-CN"/>
              </w:rPr>
            </w:pPr>
            <w:r>
              <w:rPr>
                <w:highlight w:val="none"/>
              </w:rPr>
              <w:t>√</w:t>
            </w:r>
          </w:p>
        </w:tc>
      </w:tr>
      <w:tr w14:paraId="015605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03D78172">
            <w:pPr>
              <w:pStyle w:val="22"/>
              <w:bidi w:val="0"/>
              <w:jc w:val="center"/>
              <w:rPr>
                <w:highlight w:val="none"/>
                <w:lang w:val="en-US" w:eastAsia="zh-CN"/>
              </w:rPr>
            </w:pPr>
            <w:r>
              <w:rPr>
                <w:highlight w:val="none"/>
              </w:rPr>
              <w:t>3</w:t>
            </w:r>
          </w:p>
        </w:tc>
        <w:tc>
          <w:tcPr>
            <w:tcW w:w="559" w:type="dxa"/>
            <w:vMerge w:val="continue"/>
            <w:vAlign w:val="center"/>
          </w:tcPr>
          <w:p w14:paraId="4120522B">
            <w:pPr>
              <w:pStyle w:val="22"/>
              <w:bidi w:val="0"/>
              <w:jc w:val="center"/>
              <w:rPr>
                <w:highlight w:val="none"/>
              </w:rPr>
            </w:pPr>
          </w:p>
        </w:tc>
        <w:tc>
          <w:tcPr>
            <w:tcW w:w="1557" w:type="dxa"/>
            <w:shd w:val="clear" w:color="auto" w:fill="auto"/>
            <w:vAlign w:val="center"/>
          </w:tcPr>
          <w:p w14:paraId="741DF01D">
            <w:pPr>
              <w:pStyle w:val="22"/>
              <w:bidi w:val="0"/>
              <w:jc w:val="center"/>
              <w:rPr>
                <w:highlight w:val="none"/>
                <w:lang w:val="en-US" w:eastAsia="en-US"/>
              </w:rPr>
            </w:pPr>
            <w:r>
              <w:rPr>
                <w:highlight w:val="none"/>
              </w:rPr>
              <w:t>西藏蟾蜍</w:t>
            </w:r>
          </w:p>
        </w:tc>
        <w:tc>
          <w:tcPr>
            <w:tcW w:w="1749" w:type="dxa"/>
            <w:shd w:val="clear" w:color="auto" w:fill="auto"/>
            <w:vAlign w:val="center"/>
          </w:tcPr>
          <w:p w14:paraId="3042F2D5">
            <w:pPr>
              <w:pStyle w:val="22"/>
              <w:bidi w:val="0"/>
              <w:jc w:val="center"/>
              <w:rPr>
                <w:i/>
                <w:iCs w:val="0"/>
                <w:highlight w:val="none"/>
                <w:lang w:val="en-US" w:eastAsia="zh-CN"/>
              </w:rPr>
            </w:pPr>
            <w:r>
              <w:rPr>
                <w:i/>
                <w:iCs w:val="0"/>
                <w:highlight w:val="none"/>
              </w:rPr>
              <w:t>Bufo tibetanus</w:t>
            </w:r>
          </w:p>
        </w:tc>
        <w:tc>
          <w:tcPr>
            <w:tcW w:w="849" w:type="dxa"/>
            <w:shd w:val="clear" w:color="auto" w:fill="auto"/>
            <w:vAlign w:val="center"/>
          </w:tcPr>
          <w:p w14:paraId="2D0D753F">
            <w:pPr>
              <w:pStyle w:val="22"/>
              <w:bidi w:val="0"/>
              <w:jc w:val="center"/>
              <w:rPr>
                <w:highlight w:val="none"/>
                <w:lang w:val="en-US" w:eastAsia="zh-CN"/>
              </w:rPr>
            </w:pPr>
          </w:p>
        </w:tc>
        <w:tc>
          <w:tcPr>
            <w:tcW w:w="567" w:type="dxa"/>
            <w:shd w:val="clear" w:color="auto" w:fill="auto"/>
            <w:vAlign w:val="center"/>
          </w:tcPr>
          <w:p w14:paraId="35339E99">
            <w:pPr>
              <w:pStyle w:val="22"/>
              <w:bidi w:val="0"/>
              <w:jc w:val="center"/>
              <w:rPr>
                <w:highlight w:val="none"/>
                <w:lang w:val="en-US" w:eastAsia="zh-CN"/>
              </w:rPr>
            </w:pPr>
          </w:p>
        </w:tc>
        <w:tc>
          <w:tcPr>
            <w:tcW w:w="708" w:type="dxa"/>
            <w:shd w:val="clear" w:color="auto" w:fill="auto"/>
            <w:vAlign w:val="center"/>
          </w:tcPr>
          <w:p w14:paraId="40E56471">
            <w:pPr>
              <w:pStyle w:val="22"/>
              <w:bidi w:val="0"/>
              <w:jc w:val="center"/>
              <w:rPr>
                <w:highlight w:val="none"/>
                <w:lang w:val="en-US" w:eastAsia="zh-CN"/>
              </w:rPr>
            </w:pPr>
            <w:r>
              <w:rPr>
                <w:highlight w:val="none"/>
              </w:rPr>
              <w:t>LC</w:t>
            </w:r>
          </w:p>
        </w:tc>
        <w:tc>
          <w:tcPr>
            <w:tcW w:w="709" w:type="dxa"/>
            <w:shd w:val="clear" w:color="auto" w:fill="auto"/>
            <w:vAlign w:val="center"/>
          </w:tcPr>
          <w:p w14:paraId="7A46F5F5">
            <w:pPr>
              <w:pStyle w:val="22"/>
              <w:bidi w:val="0"/>
              <w:jc w:val="center"/>
              <w:rPr>
                <w:highlight w:val="none"/>
                <w:lang w:val="en-US" w:eastAsia="zh-CN"/>
              </w:rPr>
            </w:pPr>
            <w:r>
              <w:rPr>
                <w:highlight w:val="none"/>
              </w:rPr>
              <w:t>√</w:t>
            </w:r>
          </w:p>
        </w:tc>
        <w:tc>
          <w:tcPr>
            <w:tcW w:w="567" w:type="dxa"/>
            <w:shd w:val="clear" w:color="auto" w:fill="auto"/>
            <w:vAlign w:val="center"/>
          </w:tcPr>
          <w:p w14:paraId="12BECF58">
            <w:pPr>
              <w:pStyle w:val="22"/>
              <w:bidi w:val="0"/>
              <w:jc w:val="center"/>
              <w:rPr>
                <w:highlight w:val="none"/>
                <w:lang w:val="en-US" w:eastAsia="zh-CN"/>
              </w:rPr>
            </w:pPr>
          </w:p>
        </w:tc>
        <w:tc>
          <w:tcPr>
            <w:tcW w:w="571" w:type="dxa"/>
            <w:shd w:val="clear" w:color="auto" w:fill="auto"/>
            <w:vAlign w:val="center"/>
          </w:tcPr>
          <w:p w14:paraId="2F5DFA08">
            <w:pPr>
              <w:pStyle w:val="22"/>
              <w:bidi w:val="0"/>
              <w:jc w:val="center"/>
              <w:rPr>
                <w:highlight w:val="none"/>
                <w:lang w:val="en-US" w:eastAsia="zh-CN"/>
              </w:rPr>
            </w:pPr>
            <w:r>
              <w:rPr>
                <w:highlight w:val="none"/>
              </w:rPr>
              <w:t>√</w:t>
            </w:r>
          </w:p>
        </w:tc>
      </w:tr>
      <w:tr w14:paraId="32D4FD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2282B944">
            <w:pPr>
              <w:pStyle w:val="22"/>
              <w:bidi w:val="0"/>
              <w:jc w:val="center"/>
              <w:rPr>
                <w:highlight w:val="none"/>
                <w:lang w:val="en-US" w:eastAsia="zh-CN"/>
              </w:rPr>
            </w:pPr>
            <w:r>
              <w:rPr>
                <w:highlight w:val="none"/>
              </w:rPr>
              <w:t>4</w:t>
            </w:r>
          </w:p>
        </w:tc>
        <w:tc>
          <w:tcPr>
            <w:tcW w:w="559" w:type="dxa"/>
            <w:vMerge w:val="continue"/>
            <w:vAlign w:val="center"/>
          </w:tcPr>
          <w:p w14:paraId="0DF3739E">
            <w:pPr>
              <w:pStyle w:val="22"/>
              <w:bidi w:val="0"/>
              <w:jc w:val="center"/>
              <w:rPr>
                <w:highlight w:val="none"/>
              </w:rPr>
            </w:pPr>
          </w:p>
        </w:tc>
        <w:tc>
          <w:tcPr>
            <w:tcW w:w="1557" w:type="dxa"/>
            <w:shd w:val="clear" w:color="auto" w:fill="auto"/>
            <w:vAlign w:val="center"/>
          </w:tcPr>
          <w:p w14:paraId="1FA39712">
            <w:pPr>
              <w:pStyle w:val="22"/>
              <w:bidi w:val="0"/>
              <w:jc w:val="center"/>
              <w:rPr>
                <w:highlight w:val="none"/>
                <w:lang w:val="en-US" w:eastAsia="en-US"/>
              </w:rPr>
            </w:pPr>
            <w:r>
              <w:rPr>
                <w:highlight w:val="none"/>
              </w:rPr>
              <w:t>高原林蛙</w:t>
            </w:r>
          </w:p>
        </w:tc>
        <w:tc>
          <w:tcPr>
            <w:tcW w:w="1749" w:type="dxa"/>
            <w:shd w:val="clear" w:color="auto" w:fill="auto"/>
            <w:vAlign w:val="center"/>
          </w:tcPr>
          <w:p w14:paraId="5744F887">
            <w:pPr>
              <w:pStyle w:val="22"/>
              <w:bidi w:val="0"/>
              <w:jc w:val="center"/>
              <w:rPr>
                <w:i/>
                <w:iCs w:val="0"/>
                <w:highlight w:val="none"/>
                <w:lang w:val="en-US" w:eastAsia="zh-CN"/>
              </w:rPr>
            </w:pPr>
            <w:r>
              <w:rPr>
                <w:i/>
                <w:iCs w:val="0"/>
                <w:highlight w:val="none"/>
              </w:rPr>
              <w:t>Rana kukunoris</w:t>
            </w:r>
          </w:p>
        </w:tc>
        <w:tc>
          <w:tcPr>
            <w:tcW w:w="849" w:type="dxa"/>
            <w:shd w:val="clear" w:color="auto" w:fill="auto"/>
            <w:vAlign w:val="center"/>
          </w:tcPr>
          <w:p w14:paraId="1E52E391">
            <w:pPr>
              <w:pStyle w:val="22"/>
              <w:bidi w:val="0"/>
              <w:jc w:val="center"/>
              <w:rPr>
                <w:highlight w:val="none"/>
                <w:lang w:val="en-US" w:eastAsia="zh-CN"/>
              </w:rPr>
            </w:pPr>
          </w:p>
        </w:tc>
        <w:tc>
          <w:tcPr>
            <w:tcW w:w="567" w:type="dxa"/>
            <w:shd w:val="clear" w:color="auto" w:fill="auto"/>
            <w:vAlign w:val="center"/>
          </w:tcPr>
          <w:p w14:paraId="34B90E1D">
            <w:pPr>
              <w:pStyle w:val="22"/>
              <w:bidi w:val="0"/>
              <w:jc w:val="center"/>
              <w:rPr>
                <w:highlight w:val="none"/>
                <w:lang w:val="en-US" w:eastAsia="zh-CN"/>
              </w:rPr>
            </w:pPr>
          </w:p>
        </w:tc>
        <w:tc>
          <w:tcPr>
            <w:tcW w:w="708" w:type="dxa"/>
            <w:shd w:val="clear" w:color="auto" w:fill="auto"/>
            <w:vAlign w:val="center"/>
          </w:tcPr>
          <w:p w14:paraId="7F8C7713">
            <w:pPr>
              <w:pStyle w:val="22"/>
              <w:bidi w:val="0"/>
              <w:jc w:val="center"/>
              <w:rPr>
                <w:highlight w:val="none"/>
                <w:lang w:val="en-US" w:eastAsia="zh-CN"/>
              </w:rPr>
            </w:pPr>
            <w:r>
              <w:rPr>
                <w:highlight w:val="none"/>
              </w:rPr>
              <w:t>LC</w:t>
            </w:r>
          </w:p>
        </w:tc>
        <w:tc>
          <w:tcPr>
            <w:tcW w:w="709" w:type="dxa"/>
            <w:shd w:val="clear" w:color="auto" w:fill="auto"/>
            <w:vAlign w:val="center"/>
          </w:tcPr>
          <w:p w14:paraId="182BFB69">
            <w:pPr>
              <w:pStyle w:val="22"/>
              <w:bidi w:val="0"/>
              <w:jc w:val="center"/>
              <w:rPr>
                <w:highlight w:val="none"/>
                <w:lang w:val="en-US" w:eastAsia="zh-CN"/>
              </w:rPr>
            </w:pPr>
            <w:r>
              <w:rPr>
                <w:highlight w:val="none"/>
              </w:rPr>
              <w:t>√</w:t>
            </w:r>
          </w:p>
        </w:tc>
        <w:tc>
          <w:tcPr>
            <w:tcW w:w="567" w:type="dxa"/>
            <w:shd w:val="clear" w:color="auto" w:fill="auto"/>
            <w:vAlign w:val="center"/>
          </w:tcPr>
          <w:p w14:paraId="241E42D4">
            <w:pPr>
              <w:pStyle w:val="22"/>
              <w:bidi w:val="0"/>
              <w:jc w:val="center"/>
              <w:rPr>
                <w:highlight w:val="none"/>
                <w:lang w:val="en-US" w:eastAsia="zh-CN"/>
              </w:rPr>
            </w:pPr>
            <w:r>
              <w:rPr>
                <w:highlight w:val="none"/>
              </w:rPr>
              <w:t>√</w:t>
            </w:r>
          </w:p>
        </w:tc>
        <w:tc>
          <w:tcPr>
            <w:tcW w:w="571" w:type="dxa"/>
            <w:shd w:val="clear" w:color="auto" w:fill="auto"/>
            <w:vAlign w:val="center"/>
          </w:tcPr>
          <w:p w14:paraId="24980C97">
            <w:pPr>
              <w:pStyle w:val="22"/>
              <w:bidi w:val="0"/>
              <w:jc w:val="center"/>
              <w:rPr>
                <w:highlight w:val="none"/>
                <w:lang w:val="en-US" w:eastAsia="zh-CN"/>
              </w:rPr>
            </w:pPr>
            <w:r>
              <w:rPr>
                <w:highlight w:val="none"/>
              </w:rPr>
              <w:t>√</w:t>
            </w:r>
          </w:p>
        </w:tc>
      </w:tr>
      <w:tr w14:paraId="4EFD10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1E7AC3A9">
            <w:pPr>
              <w:pStyle w:val="22"/>
              <w:bidi w:val="0"/>
              <w:jc w:val="center"/>
              <w:rPr>
                <w:highlight w:val="none"/>
                <w:lang w:val="en-US" w:eastAsia="zh-CN"/>
              </w:rPr>
            </w:pPr>
            <w:r>
              <w:rPr>
                <w:highlight w:val="none"/>
              </w:rPr>
              <w:t>5</w:t>
            </w:r>
          </w:p>
        </w:tc>
        <w:tc>
          <w:tcPr>
            <w:tcW w:w="559" w:type="dxa"/>
            <w:vMerge w:val="continue"/>
            <w:vAlign w:val="center"/>
          </w:tcPr>
          <w:p w14:paraId="07C6AE0C">
            <w:pPr>
              <w:pStyle w:val="22"/>
              <w:bidi w:val="0"/>
              <w:jc w:val="center"/>
              <w:rPr>
                <w:highlight w:val="none"/>
              </w:rPr>
            </w:pPr>
          </w:p>
        </w:tc>
        <w:tc>
          <w:tcPr>
            <w:tcW w:w="1557" w:type="dxa"/>
            <w:shd w:val="clear" w:color="auto" w:fill="auto"/>
            <w:vAlign w:val="center"/>
          </w:tcPr>
          <w:p w14:paraId="6BA210D7">
            <w:pPr>
              <w:pStyle w:val="22"/>
              <w:bidi w:val="0"/>
              <w:jc w:val="center"/>
              <w:rPr>
                <w:highlight w:val="none"/>
                <w:lang w:val="en-US" w:eastAsia="en-US"/>
              </w:rPr>
            </w:pPr>
            <w:r>
              <w:rPr>
                <w:highlight w:val="none"/>
              </w:rPr>
              <w:t>倭蛙</w:t>
            </w:r>
          </w:p>
        </w:tc>
        <w:tc>
          <w:tcPr>
            <w:tcW w:w="1749" w:type="dxa"/>
            <w:shd w:val="clear" w:color="auto" w:fill="auto"/>
            <w:vAlign w:val="center"/>
          </w:tcPr>
          <w:p w14:paraId="67F170DF">
            <w:pPr>
              <w:pStyle w:val="22"/>
              <w:bidi w:val="0"/>
              <w:jc w:val="center"/>
              <w:rPr>
                <w:i/>
                <w:iCs w:val="0"/>
                <w:highlight w:val="none"/>
                <w:lang w:val="en-US" w:eastAsia="zh-CN"/>
              </w:rPr>
            </w:pPr>
            <w:r>
              <w:rPr>
                <w:i/>
                <w:iCs w:val="0"/>
                <w:highlight w:val="none"/>
              </w:rPr>
              <w:t>Nanoranapleskei</w:t>
            </w:r>
          </w:p>
        </w:tc>
        <w:tc>
          <w:tcPr>
            <w:tcW w:w="849" w:type="dxa"/>
            <w:shd w:val="clear" w:color="auto" w:fill="auto"/>
            <w:vAlign w:val="center"/>
          </w:tcPr>
          <w:p w14:paraId="798736D8">
            <w:pPr>
              <w:pStyle w:val="22"/>
              <w:bidi w:val="0"/>
              <w:jc w:val="center"/>
              <w:rPr>
                <w:highlight w:val="none"/>
                <w:lang w:val="en-US" w:eastAsia="zh-CN"/>
              </w:rPr>
            </w:pPr>
          </w:p>
        </w:tc>
        <w:tc>
          <w:tcPr>
            <w:tcW w:w="567" w:type="dxa"/>
            <w:shd w:val="clear" w:color="auto" w:fill="auto"/>
            <w:vAlign w:val="center"/>
          </w:tcPr>
          <w:p w14:paraId="74532BD6">
            <w:pPr>
              <w:pStyle w:val="22"/>
              <w:bidi w:val="0"/>
              <w:jc w:val="center"/>
              <w:rPr>
                <w:highlight w:val="none"/>
                <w:lang w:val="en-US" w:eastAsia="zh-CN"/>
              </w:rPr>
            </w:pPr>
          </w:p>
        </w:tc>
        <w:tc>
          <w:tcPr>
            <w:tcW w:w="708" w:type="dxa"/>
            <w:shd w:val="clear" w:color="auto" w:fill="auto"/>
            <w:vAlign w:val="center"/>
          </w:tcPr>
          <w:p w14:paraId="5DB24190">
            <w:pPr>
              <w:pStyle w:val="22"/>
              <w:bidi w:val="0"/>
              <w:jc w:val="center"/>
              <w:rPr>
                <w:highlight w:val="none"/>
                <w:lang w:val="en-US" w:eastAsia="zh-CN"/>
              </w:rPr>
            </w:pPr>
            <w:r>
              <w:rPr>
                <w:highlight w:val="none"/>
              </w:rPr>
              <w:t>LC</w:t>
            </w:r>
          </w:p>
        </w:tc>
        <w:tc>
          <w:tcPr>
            <w:tcW w:w="709" w:type="dxa"/>
            <w:shd w:val="clear" w:color="auto" w:fill="auto"/>
            <w:vAlign w:val="center"/>
          </w:tcPr>
          <w:p w14:paraId="58200A8D">
            <w:pPr>
              <w:pStyle w:val="22"/>
              <w:bidi w:val="0"/>
              <w:jc w:val="center"/>
              <w:rPr>
                <w:highlight w:val="none"/>
                <w:lang w:val="en-US" w:eastAsia="zh-CN"/>
              </w:rPr>
            </w:pPr>
            <w:r>
              <w:rPr>
                <w:highlight w:val="none"/>
              </w:rPr>
              <w:t>√</w:t>
            </w:r>
          </w:p>
        </w:tc>
        <w:tc>
          <w:tcPr>
            <w:tcW w:w="567" w:type="dxa"/>
            <w:shd w:val="clear" w:color="auto" w:fill="auto"/>
            <w:vAlign w:val="center"/>
          </w:tcPr>
          <w:p w14:paraId="05BC854B">
            <w:pPr>
              <w:pStyle w:val="22"/>
              <w:bidi w:val="0"/>
              <w:jc w:val="center"/>
              <w:rPr>
                <w:highlight w:val="none"/>
                <w:lang w:val="en-US" w:eastAsia="zh-CN"/>
              </w:rPr>
            </w:pPr>
            <w:r>
              <w:rPr>
                <w:highlight w:val="none"/>
              </w:rPr>
              <w:t>√</w:t>
            </w:r>
          </w:p>
        </w:tc>
        <w:tc>
          <w:tcPr>
            <w:tcW w:w="571" w:type="dxa"/>
            <w:shd w:val="clear" w:color="auto" w:fill="auto"/>
            <w:vAlign w:val="center"/>
          </w:tcPr>
          <w:p w14:paraId="6E00EB68">
            <w:pPr>
              <w:pStyle w:val="22"/>
              <w:bidi w:val="0"/>
              <w:jc w:val="center"/>
              <w:rPr>
                <w:highlight w:val="none"/>
                <w:lang w:val="en-US" w:eastAsia="zh-CN"/>
              </w:rPr>
            </w:pPr>
            <w:r>
              <w:rPr>
                <w:highlight w:val="none"/>
              </w:rPr>
              <w:t>√</w:t>
            </w:r>
          </w:p>
        </w:tc>
      </w:tr>
      <w:tr w14:paraId="4E0252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4DBC0800">
            <w:pPr>
              <w:pStyle w:val="22"/>
              <w:bidi w:val="0"/>
              <w:jc w:val="center"/>
              <w:rPr>
                <w:highlight w:val="none"/>
                <w:lang w:val="en-US" w:eastAsia="zh-CN"/>
              </w:rPr>
            </w:pPr>
            <w:r>
              <w:rPr>
                <w:highlight w:val="none"/>
              </w:rPr>
              <w:t>6</w:t>
            </w:r>
          </w:p>
        </w:tc>
        <w:tc>
          <w:tcPr>
            <w:tcW w:w="559" w:type="dxa"/>
            <w:vMerge w:val="restart"/>
            <w:shd w:val="clear" w:color="auto" w:fill="auto"/>
            <w:vAlign w:val="center"/>
          </w:tcPr>
          <w:p w14:paraId="2EA2C409">
            <w:pPr>
              <w:pStyle w:val="22"/>
              <w:bidi w:val="0"/>
              <w:jc w:val="center"/>
              <w:rPr>
                <w:highlight w:val="none"/>
                <w:lang w:val="en-US" w:eastAsia="en-US"/>
              </w:rPr>
            </w:pPr>
            <w:r>
              <w:rPr>
                <w:highlight w:val="none"/>
              </w:rPr>
              <w:t>爬行 纲</w:t>
            </w:r>
          </w:p>
        </w:tc>
        <w:tc>
          <w:tcPr>
            <w:tcW w:w="1557" w:type="dxa"/>
            <w:shd w:val="clear" w:color="auto" w:fill="auto"/>
            <w:vAlign w:val="center"/>
          </w:tcPr>
          <w:p w14:paraId="3D1B7E80">
            <w:pPr>
              <w:pStyle w:val="22"/>
              <w:bidi w:val="0"/>
              <w:jc w:val="center"/>
              <w:rPr>
                <w:highlight w:val="none"/>
                <w:lang w:val="en-US" w:eastAsia="en-US"/>
              </w:rPr>
            </w:pPr>
            <w:r>
              <w:rPr>
                <w:highlight w:val="none"/>
              </w:rPr>
              <w:t>康定滑蜥</w:t>
            </w:r>
          </w:p>
        </w:tc>
        <w:tc>
          <w:tcPr>
            <w:tcW w:w="1749" w:type="dxa"/>
            <w:shd w:val="clear" w:color="auto" w:fill="auto"/>
            <w:vAlign w:val="center"/>
          </w:tcPr>
          <w:p w14:paraId="763834AD">
            <w:pPr>
              <w:pStyle w:val="22"/>
              <w:bidi w:val="0"/>
              <w:jc w:val="center"/>
              <w:rPr>
                <w:i/>
                <w:iCs w:val="0"/>
                <w:highlight w:val="none"/>
                <w:lang w:val="en-US" w:eastAsia="zh-CN"/>
              </w:rPr>
            </w:pPr>
            <w:r>
              <w:rPr>
                <w:i/>
                <w:iCs w:val="0"/>
                <w:highlight w:val="none"/>
              </w:rPr>
              <w:t>Scincellapotanini</w:t>
            </w:r>
          </w:p>
        </w:tc>
        <w:tc>
          <w:tcPr>
            <w:tcW w:w="849" w:type="dxa"/>
            <w:shd w:val="clear" w:color="auto" w:fill="auto"/>
            <w:vAlign w:val="center"/>
          </w:tcPr>
          <w:p w14:paraId="5FF3E378">
            <w:pPr>
              <w:pStyle w:val="22"/>
              <w:bidi w:val="0"/>
              <w:jc w:val="center"/>
              <w:rPr>
                <w:highlight w:val="none"/>
                <w:lang w:val="en-US" w:eastAsia="zh-CN"/>
              </w:rPr>
            </w:pPr>
          </w:p>
        </w:tc>
        <w:tc>
          <w:tcPr>
            <w:tcW w:w="567" w:type="dxa"/>
            <w:shd w:val="clear" w:color="auto" w:fill="auto"/>
            <w:vAlign w:val="center"/>
          </w:tcPr>
          <w:p w14:paraId="41A9E088">
            <w:pPr>
              <w:pStyle w:val="22"/>
              <w:bidi w:val="0"/>
              <w:jc w:val="center"/>
              <w:rPr>
                <w:highlight w:val="none"/>
                <w:lang w:val="en-US" w:eastAsia="zh-CN"/>
              </w:rPr>
            </w:pPr>
          </w:p>
        </w:tc>
        <w:tc>
          <w:tcPr>
            <w:tcW w:w="708" w:type="dxa"/>
            <w:shd w:val="clear" w:color="auto" w:fill="auto"/>
            <w:vAlign w:val="center"/>
          </w:tcPr>
          <w:p w14:paraId="790E2C08">
            <w:pPr>
              <w:pStyle w:val="22"/>
              <w:bidi w:val="0"/>
              <w:jc w:val="center"/>
              <w:rPr>
                <w:highlight w:val="none"/>
                <w:lang w:val="en-US" w:eastAsia="zh-CN"/>
              </w:rPr>
            </w:pPr>
            <w:r>
              <w:rPr>
                <w:highlight w:val="none"/>
              </w:rPr>
              <w:t>LC</w:t>
            </w:r>
          </w:p>
        </w:tc>
        <w:tc>
          <w:tcPr>
            <w:tcW w:w="709" w:type="dxa"/>
            <w:shd w:val="clear" w:color="auto" w:fill="auto"/>
            <w:vAlign w:val="center"/>
          </w:tcPr>
          <w:p w14:paraId="71EB4171">
            <w:pPr>
              <w:pStyle w:val="22"/>
              <w:bidi w:val="0"/>
              <w:jc w:val="center"/>
              <w:rPr>
                <w:highlight w:val="none"/>
                <w:lang w:val="en-US" w:eastAsia="zh-CN"/>
              </w:rPr>
            </w:pPr>
            <w:r>
              <w:rPr>
                <w:highlight w:val="none"/>
              </w:rPr>
              <w:t>√</w:t>
            </w:r>
          </w:p>
        </w:tc>
        <w:tc>
          <w:tcPr>
            <w:tcW w:w="567" w:type="dxa"/>
            <w:shd w:val="clear" w:color="auto" w:fill="auto"/>
            <w:vAlign w:val="center"/>
          </w:tcPr>
          <w:p w14:paraId="4A158490">
            <w:pPr>
              <w:pStyle w:val="22"/>
              <w:bidi w:val="0"/>
              <w:jc w:val="center"/>
              <w:rPr>
                <w:highlight w:val="none"/>
                <w:lang w:val="en-US" w:eastAsia="zh-CN"/>
              </w:rPr>
            </w:pPr>
            <w:r>
              <w:rPr>
                <w:highlight w:val="none"/>
              </w:rPr>
              <w:t>√</w:t>
            </w:r>
          </w:p>
        </w:tc>
        <w:tc>
          <w:tcPr>
            <w:tcW w:w="571" w:type="dxa"/>
            <w:shd w:val="clear" w:color="auto" w:fill="auto"/>
            <w:vAlign w:val="center"/>
          </w:tcPr>
          <w:p w14:paraId="1D558D4B">
            <w:pPr>
              <w:pStyle w:val="22"/>
              <w:bidi w:val="0"/>
              <w:jc w:val="center"/>
              <w:rPr>
                <w:highlight w:val="none"/>
                <w:lang w:val="en-US" w:eastAsia="zh-CN"/>
              </w:rPr>
            </w:pPr>
            <w:r>
              <w:rPr>
                <w:highlight w:val="none"/>
              </w:rPr>
              <w:t>√</w:t>
            </w:r>
          </w:p>
        </w:tc>
      </w:tr>
      <w:tr w14:paraId="578148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5C7C4C6E">
            <w:pPr>
              <w:pStyle w:val="22"/>
              <w:bidi w:val="0"/>
              <w:jc w:val="center"/>
              <w:rPr>
                <w:highlight w:val="none"/>
                <w:lang w:val="en-US" w:eastAsia="zh-CN"/>
              </w:rPr>
            </w:pPr>
            <w:r>
              <w:rPr>
                <w:highlight w:val="none"/>
              </w:rPr>
              <w:t>7</w:t>
            </w:r>
          </w:p>
        </w:tc>
        <w:tc>
          <w:tcPr>
            <w:tcW w:w="559" w:type="dxa"/>
            <w:vMerge w:val="continue"/>
            <w:vAlign w:val="center"/>
          </w:tcPr>
          <w:p w14:paraId="132129D5">
            <w:pPr>
              <w:pStyle w:val="22"/>
              <w:bidi w:val="0"/>
              <w:jc w:val="center"/>
              <w:rPr>
                <w:highlight w:val="none"/>
              </w:rPr>
            </w:pPr>
          </w:p>
        </w:tc>
        <w:tc>
          <w:tcPr>
            <w:tcW w:w="1557" w:type="dxa"/>
            <w:shd w:val="clear" w:color="auto" w:fill="auto"/>
            <w:vAlign w:val="center"/>
          </w:tcPr>
          <w:p w14:paraId="016EEA1C">
            <w:pPr>
              <w:pStyle w:val="22"/>
              <w:bidi w:val="0"/>
              <w:jc w:val="center"/>
              <w:rPr>
                <w:highlight w:val="none"/>
                <w:lang w:val="en-US" w:eastAsia="en-US"/>
              </w:rPr>
            </w:pPr>
            <w:r>
              <w:rPr>
                <w:highlight w:val="none"/>
              </w:rPr>
              <w:t>草绿龙蜥</w:t>
            </w:r>
          </w:p>
        </w:tc>
        <w:tc>
          <w:tcPr>
            <w:tcW w:w="1749" w:type="dxa"/>
            <w:shd w:val="clear" w:color="auto" w:fill="auto"/>
            <w:vAlign w:val="center"/>
          </w:tcPr>
          <w:p w14:paraId="24855E99">
            <w:pPr>
              <w:pStyle w:val="22"/>
              <w:bidi w:val="0"/>
              <w:jc w:val="center"/>
              <w:rPr>
                <w:i/>
                <w:iCs w:val="0"/>
                <w:highlight w:val="none"/>
                <w:lang w:val="en-US" w:eastAsia="zh-CN"/>
              </w:rPr>
            </w:pPr>
            <w:r>
              <w:rPr>
                <w:i/>
                <w:iCs w:val="0"/>
                <w:highlight w:val="none"/>
              </w:rPr>
              <w:t>Diploderma flaviceps</w:t>
            </w:r>
          </w:p>
        </w:tc>
        <w:tc>
          <w:tcPr>
            <w:tcW w:w="849" w:type="dxa"/>
            <w:shd w:val="clear" w:color="auto" w:fill="auto"/>
            <w:vAlign w:val="center"/>
          </w:tcPr>
          <w:p w14:paraId="56AC111B">
            <w:pPr>
              <w:pStyle w:val="22"/>
              <w:bidi w:val="0"/>
              <w:jc w:val="center"/>
              <w:rPr>
                <w:highlight w:val="none"/>
                <w:lang w:val="en-US" w:eastAsia="zh-CN"/>
              </w:rPr>
            </w:pPr>
          </w:p>
        </w:tc>
        <w:tc>
          <w:tcPr>
            <w:tcW w:w="567" w:type="dxa"/>
            <w:shd w:val="clear" w:color="auto" w:fill="auto"/>
            <w:vAlign w:val="center"/>
          </w:tcPr>
          <w:p w14:paraId="1D35AA8D">
            <w:pPr>
              <w:pStyle w:val="22"/>
              <w:bidi w:val="0"/>
              <w:jc w:val="center"/>
              <w:rPr>
                <w:highlight w:val="none"/>
                <w:lang w:val="en-US" w:eastAsia="zh-CN"/>
              </w:rPr>
            </w:pPr>
          </w:p>
        </w:tc>
        <w:tc>
          <w:tcPr>
            <w:tcW w:w="708" w:type="dxa"/>
            <w:shd w:val="clear" w:color="auto" w:fill="auto"/>
            <w:vAlign w:val="center"/>
          </w:tcPr>
          <w:p w14:paraId="6E8C9E17">
            <w:pPr>
              <w:pStyle w:val="22"/>
              <w:bidi w:val="0"/>
              <w:jc w:val="center"/>
              <w:rPr>
                <w:highlight w:val="none"/>
                <w:lang w:val="en-US" w:eastAsia="zh-CN"/>
              </w:rPr>
            </w:pPr>
            <w:r>
              <w:rPr>
                <w:highlight w:val="none"/>
              </w:rPr>
              <w:t>NT</w:t>
            </w:r>
          </w:p>
        </w:tc>
        <w:tc>
          <w:tcPr>
            <w:tcW w:w="709" w:type="dxa"/>
            <w:shd w:val="clear" w:color="auto" w:fill="auto"/>
            <w:vAlign w:val="center"/>
          </w:tcPr>
          <w:p w14:paraId="74547F91">
            <w:pPr>
              <w:pStyle w:val="22"/>
              <w:bidi w:val="0"/>
              <w:jc w:val="center"/>
              <w:rPr>
                <w:highlight w:val="none"/>
                <w:lang w:val="en-US" w:eastAsia="zh-CN"/>
              </w:rPr>
            </w:pPr>
            <w:r>
              <w:rPr>
                <w:highlight w:val="none"/>
              </w:rPr>
              <w:t>√</w:t>
            </w:r>
          </w:p>
        </w:tc>
        <w:tc>
          <w:tcPr>
            <w:tcW w:w="567" w:type="dxa"/>
            <w:shd w:val="clear" w:color="auto" w:fill="auto"/>
            <w:vAlign w:val="center"/>
          </w:tcPr>
          <w:p w14:paraId="37FDDBFD">
            <w:pPr>
              <w:pStyle w:val="22"/>
              <w:bidi w:val="0"/>
              <w:jc w:val="center"/>
              <w:rPr>
                <w:highlight w:val="none"/>
                <w:lang w:val="en-US" w:eastAsia="zh-CN"/>
              </w:rPr>
            </w:pPr>
            <w:r>
              <w:rPr>
                <w:highlight w:val="none"/>
              </w:rPr>
              <w:t>√</w:t>
            </w:r>
          </w:p>
        </w:tc>
        <w:tc>
          <w:tcPr>
            <w:tcW w:w="571" w:type="dxa"/>
            <w:shd w:val="clear" w:color="auto" w:fill="auto"/>
            <w:vAlign w:val="center"/>
          </w:tcPr>
          <w:p w14:paraId="38110BFF">
            <w:pPr>
              <w:pStyle w:val="22"/>
              <w:bidi w:val="0"/>
              <w:jc w:val="center"/>
              <w:rPr>
                <w:highlight w:val="none"/>
                <w:lang w:val="en-US" w:eastAsia="zh-CN"/>
              </w:rPr>
            </w:pPr>
            <w:r>
              <w:rPr>
                <w:highlight w:val="none"/>
              </w:rPr>
              <w:t>√</w:t>
            </w:r>
          </w:p>
        </w:tc>
      </w:tr>
      <w:tr w14:paraId="10D419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2ECBD743">
            <w:pPr>
              <w:pStyle w:val="22"/>
              <w:bidi w:val="0"/>
              <w:jc w:val="center"/>
              <w:rPr>
                <w:highlight w:val="none"/>
                <w:lang w:val="en-US" w:eastAsia="zh-CN"/>
              </w:rPr>
            </w:pPr>
            <w:r>
              <w:rPr>
                <w:highlight w:val="none"/>
              </w:rPr>
              <w:t>8</w:t>
            </w:r>
          </w:p>
        </w:tc>
        <w:tc>
          <w:tcPr>
            <w:tcW w:w="559" w:type="dxa"/>
            <w:vMerge w:val="continue"/>
            <w:vAlign w:val="center"/>
          </w:tcPr>
          <w:p w14:paraId="03725A39">
            <w:pPr>
              <w:pStyle w:val="22"/>
              <w:bidi w:val="0"/>
              <w:jc w:val="center"/>
              <w:rPr>
                <w:highlight w:val="none"/>
              </w:rPr>
            </w:pPr>
          </w:p>
        </w:tc>
        <w:tc>
          <w:tcPr>
            <w:tcW w:w="1557" w:type="dxa"/>
            <w:shd w:val="clear" w:color="auto" w:fill="auto"/>
            <w:vAlign w:val="center"/>
          </w:tcPr>
          <w:p w14:paraId="1F9C59EC">
            <w:pPr>
              <w:pStyle w:val="22"/>
              <w:bidi w:val="0"/>
              <w:jc w:val="center"/>
              <w:rPr>
                <w:highlight w:val="none"/>
                <w:lang w:val="en-US" w:eastAsia="en-US"/>
              </w:rPr>
            </w:pPr>
            <w:r>
              <w:rPr>
                <w:highlight w:val="none"/>
              </w:rPr>
              <w:t>高原蝮</w:t>
            </w:r>
          </w:p>
        </w:tc>
        <w:tc>
          <w:tcPr>
            <w:tcW w:w="1749" w:type="dxa"/>
            <w:shd w:val="clear" w:color="auto" w:fill="auto"/>
            <w:vAlign w:val="center"/>
          </w:tcPr>
          <w:p w14:paraId="05E28EDC">
            <w:pPr>
              <w:pStyle w:val="22"/>
              <w:bidi w:val="0"/>
              <w:jc w:val="center"/>
              <w:rPr>
                <w:i/>
                <w:iCs w:val="0"/>
                <w:highlight w:val="none"/>
                <w:lang w:val="en-US" w:eastAsia="zh-CN"/>
              </w:rPr>
            </w:pPr>
            <w:r>
              <w:rPr>
                <w:i/>
                <w:iCs w:val="0"/>
                <w:highlight w:val="none"/>
              </w:rPr>
              <w:t>Gloydius strauchi</w:t>
            </w:r>
          </w:p>
        </w:tc>
        <w:tc>
          <w:tcPr>
            <w:tcW w:w="849" w:type="dxa"/>
            <w:shd w:val="clear" w:color="auto" w:fill="auto"/>
            <w:vAlign w:val="center"/>
          </w:tcPr>
          <w:p w14:paraId="585896A4">
            <w:pPr>
              <w:pStyle w:val="22"/>
              <w:bidi w:val="0"/>
              <w:jc w:val="center"/>
              <w:rPr>
                <w:highlight w:val="none"/>
                <w:lang w:val="en-US" w:eastAsia="zh-CN"/>
              </w:rPr>
            </w:pPr>
          </w:p>
        </w:tc>
        <w:tc>
          <w:tcPr>
            <w:tcW w:w="567" w:type="dxa"/>
            <w:shd w:val="clear" w:color="auto" w:fill="auto"/>
            <w:vAlign w:val="center"/>
          </w:tcPr>
          <w:p w14:paraId="3328CE05">
            <w:pPr>
              <w:pStyle w:val="22"/>
              <w:bidi w:val="0"/>
              <w:jc w:val="center"/>
              <w:rPr>
                <w:highlight w:val="none"/>
                <w:lang w:val="en-US" w:eastAsia="zh-CN"/>
              </w:rPr>
            </w:pPr>
          </w:p>
        </w:tc>
        <w:tc>
          <w:tcPr>
            <w:tcW w:w="708" w:type="dxa"/>
            <w:shd w:val="clear" w:color="auto" w:fill="auto"/>
            <w:vAlign w:val="center"/>
          </w:tcPr>
          <w:p w14:paraId="13FCEB2F">
            <w:pPr>
              <w:pStyle w:val="22"/>
              <w:bidi w:val="0"/>
              <w:jc w:val="center"/>
              <w:rPr>
                <w:highlight w:val="none"/>
                <w:lang w:val="en-US" w:eastAsia="zh-CN"/>
              </w:rPr>
            </w:pPr>
            <w:r>
              <w:rPr>
                <w:highlight w:val="none"/>
              </w:rPr>
              <w:t>NT</w:t>
            </w:r>
          </w:p>
        </w:tc>
        <w:tc>
          <w:tcPr>
            <w:tcW w:w="709" w:type="dxa"/>
            <w:shd w:val="clear" w:color="auto" w:fill="auto"/>
            <w:vAlign w:val="center"/>
          </w:tcPr>
          <w:p w14:paraId="314F32B5">
            <w:pPr>
              <w:pStyle w:val="22"/>
              <w:bidi w:val="0"/>
              <w:jc w:val="center"/>
              <w:rPr>
                <w:highlight w:val="none"/>
                <w:lang w:val="en-US" w:eastAsia="zh-CN"/>
              </w:rPr>
            </w:pPr>
            <w:r>
              <w:rPr>
                <w:highlight w:val="none"/>
              </w:rPr>
              <w:t>√</w:t>
            </w:r>
          </w:p>
        </w:tc>
        <w:tc>
          <w:tcPr>
            <w:tcW w:w="567" w:type="dxa"/>
            <w:shd w:val="clear" w:color="auto" w:fill="auto"/>
            <w:vAlign w:val="center"/>
          </w:tcPr>
          <w:p w14:paraId="2F7673B2">
            <w:pPr>
              <w:pStyle w:val="22"/>
              <w:bidi w:val="0"/>
              <w:jc w:val="center"/>
              <w:rPr>
                <w:highlight w:val="none"/>
                <w:lang w:val="en-US" w:eastAsia="zh-CN"/>
              </w:rPr>
            </w:pPr>
          </w:p>
        </w:tc>
        <w:tc>
          <w:tcPr>
            <w:tcW w:w="571" w:type="dxa"/>
            <w:shd w:val="clear" w:color="auto" w:fill="auto"/>
            <w:vAlign w:val="center"/>
          </w:tcPr>
          <w:p w14:paraId="19E2F94B">
            <w:pPr>
              <w:pStyle w:val="22"/>
              <w:bidi w:val="0"/>
              <w:jc w:val="center"/>
              <w:rPr>
                <w:highlight w:val="none"/>
                <w:lang w:val="en-US" w:eastAsia="zh-CN"/>
              </w:rPr>
            </w:pPr>
            <w:r>
              <w:rPr>
                <w:highlight w:val="none"/>
              </w:rPr>
              <w:t>√</w:t>
            </w:r>
          </w:p>
        </w:tc>
      </w:tr>
      <w:tr w14:paraId="175F73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36A29DDE">
            <w:pPr>
              <w:pStyle w:val="22"/>
              <w:bidi w:val="0"/>
              <w:jc w:val="center"/>
              <w:rPr>
                <w:highlight w:val="none"/>
                <w:lang w:val="en-US" w:eastAsia="zh-CN"/>
              </w:rPr>
            </w:pPr>
            <w:r>
              <w:rPr>
                <w:highlight w:val="none"/>
              </w:rPr>
              <w:t>9</w:t>
            </w:r>
          </w:p>
        </w:tc>
        <w:tc>
          <w:tcPr>
            <w:tcW w:w="559" w:type="dxa"/>
            <w:vMerge w:val="continue"/>
            <w:vAlign w:val="center"/>
          </w:tcPr>
          <w:p w14:paraId="5FC80BE4">
            <w:pPr>
              <w:pStyle w:val="22"/>
              <w:bidi w:val="0"/>
              <w:jc w:val="center"/>
              <w:rPr>
                <w:highlight w:val="none"/>
              </w:rPr>
            </w:pPr>
          </w:p>
        </w:tc>
        <w:tc>
          <w:tcPr>
            <w:tcW w:w="1557" w:type="dxa"/>
            <w:shd w:val="clear" w:color="auto" w:fill="auto"/>
            <w:vAlign w:val="center"/>
          </w:tcPr>
          <w:p w14:paraId="00B3CA35">
            <w:pPr>
              <w:pStyle w:val="22"/>
              <w:bidi w:val="0"/>
              <w:jc w:val="center"/>
              <w:rPr>
                <w:highlight w:val="none"/>
                <w:lang w:val="en-US" w:eastAsia="en-US"/>
              </w:rPr>
            </w:pPr>
            <w:r>
              <w:rPr>
                <w:highlight w:val="none"/>
              </w:rPr>
              <w:t>黑眉锦蛇</w:t>
            </w:r>
          </w:p>
        </w:tc>
        <w:tc>
          <w:tcPr>
            <w:tcW w:w="1749" w:type="dxa"/>
            <w:shd w:val="clear" w:color="auto" w:fill="auto"/>
            <w:vAlign w:val="center"/>
          </w:tcPr>
          <w:p w14:paraId="1893F3D0">
            <w:pPr>
              <w:pStyle w:val="22"/>
              <w:bidi w:val="0"/>
              <w:jc w:val="center"/>
              <w:rPr>
                <w:i/>
                <w:iCs w:val="0"/>
                <w:highlight w:val="none"/>
                <w:lang w:val="en-US" w:eastAsia="zh-CN"/>
              </w:rPr>
            </w:pPr>
            <w:r>
              <w:rPr>
                <w:i/>
                <w:iCs w:val="0"/>
                <w:highlight w:val="none"/>
              </w:rPr>
              <w:t>Elaphe taeniurus</w:t>
            </w:r>
          </w:p>
        </w:tc>
        <w:tc>
          <w:tcPr>
            <w:tcW w:w="849" w:type="dxa"/>
            <w:shd w:val="clear" w:color="auto" w:fill="auto"/>
            <w:vAlign w:val="center"/>
          </w:tcPr>
          <w:p w14:paraId="7DA912EB">
            <w:pPr>
              <w:pStyle w:val="22"/>
              <w:bidi w:val="0"/>
              <w:jc w:val="center"/>
              <w:rPr>
                <w:highlight w:val="none"/>
                <w:lang w:val="en-US" w:eastAsia="zh-CN"/>
              </w:rPr>
            </w:pPr>
          </w:p>
        </w:tc>
        <w:tc>
          <w:tcPr>
            <w:tcW w:w="567" w:type="dxa"/>
            <w:shd w:val="clear" w:color="auto" w:fill="auto"/>
            <w:vAlign w:val="center"/>
          </w:tcPr>
          <w:p w14:paraId="3F497B35">
            <w:pPr>
              <w:pStyle w:val="22"/>
              <w:bidi w:val="0"/>
              <w:jc w:val="center"/>
              <w:rPr>
                <w:highlight w:val="none"/>
                <w:lang w:val="en-US" w:eastAsia="zh-CN"/>
              </w:rPr>
            </w:pPr>
          </w:p>
        </w:tc>
        <w:tc>
          <w:tcPr>
            <w:tcW w:w="708" w:type="dxa"/>
            <w:shd w:val="clear" w:color="auto" w:fill="auto"/>
            <w:vAlign w:val="center"/>
          </w:tcPr>
          <w:p w14:paraId="645B4D77">
            <w:pPr>
              <w:pStyle w:val="22"/>
              <w:bidi w:val="0"/>
              <w:jc w:val="center"/>
              <w:rPr>
                <w:highlight w:val="none"/>
                <w:lang w:val="en-US" w:eastAsia="zh-CN"/>
              </w:rPr>
            </w:pPr>
            <w:r>
              <w:rPr>
                <w:highlight w:val="none"/>
              </w:rPr>
              <w:t>VU</w:t>
            </w:r>
          </w:p>
        </w:tc>
        <w:tc>
          <w:tcPr>
            <w:tcW w:w="709" w:type="dxa"/>
            <w:shd w:val="clear" w:color="auto" w:fill="auto"/>
            <w:vAlign w:val="center"/>
          </w:tcPr>
          <w:p w14:paraId="386D87DF">
            <w:pPr>
              <w:pStyle w:val="22"/>
              <w:bidi w:val="0"/>
              <w:jc w:val="center"/>
              <w:rPr>
                <w:highlight w:val="none"/>
                <w:lang w:val="en-US" w:eastAsia="zh-CN"/>
              </w:rPr>
            </w:pPr>
          </w:p>
        </w:tc>
        <w:tc>
          <w:tcPr>
            <w:tcW w:w="567" w:type="dxa"/>
            <w:shd w:val="clear" w:color="auto" w:fill="auto"/>
            <w:vAlign w:val="center"/>
          </w:tcPr>
          <w:p w14:paraId="1B5A629C">
            <w:pPr>
              <w:pStyle w:val="22"/>
              <w:bidi w:val="0"/>
              <w:jc w:val="center"/>
              <w:rPr>
                <w:highlight w:val="none"/>
                <w:lang w:val="en-US" w:eastAsia="zh-CN"/>
              </w:rPr>
            </w:pPr>
            <w:r>
              <w:rPr>
                <w:highlight w:val="none"/>
              </w:rPr>
              <w:t>√</w:t>
            </w:r>
          </w:p>
        </w:tc>
        <w:tc>
          <w:tcPr>
            <w:tcW w:w="571" w:type="dxa"/>
            <w:shd w:val="clear" w:color="auto" w:fill="auto"/>
            <w:vAlign w:val="center"/>
          </w:tcPr>
          <w:p w14:paraId="13A3F486">
            <w:pPr>
              <w:pStyle w:val="22"/>
              <w:bidi w:val="0"/>
              <w:jc w:val="center"/>
              <w:rPr>
                <w:highlight w:val="none"/>
                <w:lang w:val="en-US" w:eastAsia="zh-CN"/>
              </w:rPr>
            </w:pPr>
          </w:p>
        </w:tc>
      </w:tr>
      <w:tr w14:paraId="098500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13D44196">
            <w:pPr>
              <w:pStyle w:val="22"/>
              <w:bidi w:val="0"/>
              <w:jc w:val="center"/>
              <w:rPr>
                <w:highlight w:val="none"/>
                <w:lang w:val="en-US" w:eastAsia="zh-CN"/>
              </w:rPr>
            </w:pPr>
            <w:r>
              <w:rPr>
                <w:highlight w:val="none"/>
              </w:rPr>
              <w:t>10</w:t>
            </w:r>
          </w:p>
        </w:tc>
        <w:tc>
          <w:tcPr>
            <w:tcW w:w="559" w:type="dxa"/>
            <w:vMerge w:val="restart"/>
            <w:shd w:val="clear" w:color="auto" w:fill="auto"/>
            <w:vAlign w:val="center"/>
          </w:tcPr>
          <w:p w14:paraId="2226C5CE">
            <w:pPr>
              <w:pStyle w:val="22"/>
              <w:bidi w:val="0"/>
              <w:jc w:val="center"/>
              <w:rPr>
                <w:highlight w:val="none"/>
                <w:lang w:val="en-US" w:eastAsia="en-US"/>
              </w:rPr>
            </w:pPr>
            <w:r>
              <w:rPr>
                <w:highlight w:val="none"/>
              </w:rPr>
              <w:t>鸟纲</w:t>
            </w:r>
          </w:p>
        </w:tc>
        <w:tc>
          <w:tcPr>
            <w:tcW w:w="1557" w:type="dxa"/>
            <w:shd w:val="clear" w:color="auto" w:fill="auto"/>
            <w:vAlign w:val="center"/>
          </w:tcPr>
          <w:p w14:paraId="41FBA89E">
            <w:pPr>
              <w:pStyle w:val="22"/>
              <w:bidi w:val="0"/>
              <w:jc w:val="center"/>
              <w:rPr>
                <w:highlight w:val="none"/>
                <w:lang w:val="en-US" w:eastAsia="en-US"/>
              </w:rPr>
            </w:pPr>
            <w:r>
              <w:rPr>
                <w:highlight w:val="none"/>
              </w:rPr>
              <w:t>普通夜鹰</w:t>
            </w:r>
          </w:p>
        </w:tc>
        <w:tc>
          <w:tcPr>
            <w:tcW w:w="1749" w:type="dxa"/>
            <w:shd w:val="clear" w:color="auto" w:fill="auto"/>
            <w:vAlign w:val="center"/>
          </w:tcPr>
          <w:p w14:paraId="26D32F0A">
            <w:pPr>
              <w:pStyle w:val="22"/>
              <w:bidi w:val="0"/>
              <w:jc w:val="center"/>
              <w:rPr>
                <w:i/>
                <w:iCs w:val="0"/>
                <w:highlight w:val="none"/>
                <w:lang w:val="en-US" w:eastAsia="zh-CN"/>
              </w:rPr>
            </w:pPr>
            <w:r>
              <w:rPr>
                <w:i/>
                <w:iCs w:val="0"/>
                <w:highlight w:val="none"/>
              </w:rPr>
              <w:t>Caprimulgus jotaka</w:t>
            </w:r>
          </w:p>
        </w:tc>
        <w:tc>
          <w:tcPr>
            <w:tcW w:w="849" w:type="dxa"/>
            <w:shd w:val="clear" w:color="auto" w:fill="auto"/>
            <w:vAlign w:val="center"/>
          </w:tcPr>
          <w:p w14:paraId="1470AB06">
            <w:pPr>
              <w:pStyle w:val="22"/>
              <w:bidi w:val="0"/>
              <w:jc w:val="center"/>
              <w:rPr>
                <w:highlight w:val="none"/>
                <w:lang w:val="en-US" w:eastAsia="zh-CN"/>
              </w:rPr>
            </w:pPr>
          </w:p>
        </w:tc>
        <w:tc>
          <w:tcPr>
            <w:tcW w:w="567" w:type="dxa"/>
            <w:shd w:val="clear" w:color="auto" w:fill="auto"/>
            <w:vAlign w:val="center"/>
          </w:tcPr>
          <w:p w14:paraId="37EB2B78">
            <w:pPr>
              <w:pStyle w:val="22"/>
              <w:bidi w:val="0"/>
              <w:jc w:val="center"/>
              <w:rPr>
                <w:highlight w:val="none"/>
                <w:lang w:val="en-US" w:eastAsia="zh-CN"/>
              </w:rPr>
            </w:pPr>
            <w:r>
              <w:rPr>
                <w:highlight w:val="none"/>
              </w:rPr>
              <w:t>√</w:t>
            </w:r>
          </w:p>
        </w:tc>
        <w:tc>
          <w:tcPr>
            <w:tcW w:w="708" w:type="dxa"/>
            <w:shd w:val="clear" w:color="auto" w:fill="auto"/>
            <w:vAlign w:val="center"/>
          </w:tcPr>
          <w:p w14:paraId="0130C0B2">
            <w:pPr>
              <w:pStyle w:val="22"/>
              <w:bidi w:val="0"/>
              <w:jc w:val="center"/>
              <w:rPr>
                <w:highlight w:val="none"/>
                <w:lang w:val="en-US" w:eastAsia="zh-CN"/>
              </w:rPr>
            </w:pPr>
            <w:r>
              <w:rPr>
                <w:highlight w:val="none"/>
              </w:rPr>
              <w:t>LC</w:t>
            </w:r>
          </w:p>
        </w:tc>
        <w:tc>
          <w:tcPr>
            <w:tcW w:w="709" w:type="dxa"/>
            <w:shd w:val="clear" w:color="auto" w:fill="auto"/>
            <w:vAlign w:val="center"/>
          </w:tcPr>
          <w:p w14:paraId="3340A5DD">
            <w:pPr>
              <w:pStyle w:val="22"/>
              <w:bidi w:val="0"/>
              <w:jc w:val="center"/>
              <w:rPr>
                <w:highlight w:val="none"/>
                <w:lang w:val="en-US" w:eastAsia="zh-CN"/>
              </w:rPr>
            </w:pPr>
          </w:p>
        </w:tc>
        <w:tc>
          <w:tcPr>
            <w:tcW w:w="567" w:type="dxa"/>
            <w:shd w:val="clear" w:color="auto" w:fill="auto"/>
            <w:vAlign w:val="center"/>
          </w:tcPr>
          <w:p w14:paraId="435DDDF1">
            <w:pPr>
              <w:pStyle w:val="22"/>
              <w:bidi w:val="0"/>
              <w:jc w:val="center"/>
              <w:rPr>
                <w:highlight w:val="none"/>
                <w:lang w:val="en-US" w:eastAsia="zh-CN"/>
              </w:rPr>
            </w:pPr>
          </w:p>
        </w:tc>
        <w:tc>
          <w:tcPr>
            <w:tcW w:w="571" w:type="dxa"/>
            <w:shd w:val="clear" w:color="auto" w:fill="auto"/>
            <w:vAlign w:val="center"/>
          </w:tcPr>
          <w:p w14:paraId="1DCB0DA6">
            <w:pPr>
              <w:pStyle w:val="22"/>
              <w:bidi w:val="0"/>
              <w:jc w:val="center"/>
              <w:rPr>
                <w:highlight w:val="none"/>
                <w:lang w:val="en-US" w:eastAsia="zh-CN"/>
              </w:rPr>
            </w:pPr>
            <w:r>
              <w:rPr>
                <w:highlight w:val="none"/>
              </w:rPr>
              <w:t>√</w:t>
            </w:r>
          </w:p>
        </w:tc>
      </w:tr>
      <w:tr w14:paraId="25748E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3BAB4F33">
            <w:pPr>
              <w:pStyle w:val="22"/>
              <w:bidi w:val="0"/>
              <w:jc w:val="center"/>
              <w:rPr>
                <w:highlight w:val="none"/>
                <w:lang w:val="en-US" w:eastAsia="zh-CN"/>
              </w:rPr>
            </w:pPr>
            <w:r>
              <w:rPr>
                <w:highlight w:val="none"/>
              </w:rPr>
              <w:t>11</w:t>
            </w:r>
          </w:p>
        </w:tc>
        <w:tc>
          <w:tcPr>
            <w:tcW w:w="559" w:type="dxa"/>
            <w:vMerge w:val="continue"/>
            <w:vAlign w:val="center"/>
          </w:tcPr>
          <w:p w14:paraId="3879D0B5">
            <w:pPr>
              <w:pStyle w:val="22"/>
              <w:bidi w:val="0"/>
              <w:jc w:val="center"/>
              <w:rPr>
                <w:highlight w:val="none"/>
              </w:rPr>
            </w:pPr>
          </w:p>
        </w:tc>
        <w:tc>
          <w:tcPr>
            <w:tcW w:w="1557" w:type="dxa"/>
            <w:shd w:val="clear" w:color="auto" w:fill="auto"/>
            <w:vAlign w:val="center"/>
          </w:tcPr>
          <w:p w14:paraId="108A5FC7">
            <w:pPr>
              <w:pStyle w:val="22"/>
              <w:bidi w:val="0"/>
              <w:jc w:val="center"/>
              <w:rPr>
                <w:highlight w:val="none"/>
                <w:lang w:val="en-US" w:eastAsia="en-US"/>
              </w:rPr>
            </w:pPr>
            <w:r>
              <w:rPr>
                <w:highlight w:val="none"/>
              </w:rPr>
              <w:t>白喉针尾雨燕</w:t>
            </w:r>
          </w:p>
        </w:tc>
        <w:tc>
          <w:tcPr>
            <w:tcW w:w="1749" w:type="dxa"/>
            <w:shd w:val="clear" w:color="auto" w:fill="auto"/>
            <w:vAlign w:val="center"/>
          </w:tcPr>
          <w:p w14:paraId="51FCED35">
            <w:pPr>
              <w:pStyle w:val="22"/>
              <w:bidi w:val="0"/>
              <w:jc w:val="center"/>
              <w:rPr>
                <w:i/>
                <w:iCs w:val="0"/>
                <w:highlight w:val="none"/>
              </w:rPr>
            </w:pPr>
            <w:r>
              <w:rPr>
                <w:i/>
                <w:iCs w:val="0"/>
                <w:highlight w:val="none"/>
              </w:rPr>
              <w:t>Hirundapus</w:t>
            </w:r>
          </w:p>
          <w:p w14:paraId="067FA6AB">
            <w:pPr>
              <w:pStyle w:val="22"/>
              <w:bidi w:val="0"/>
              <w:jc w:val="center"/>
              <w:rPr>
                <w:i/>
                <w:iCs w:val="0"/>
                <w:highlight w:val="none"/>
                <w:lang w:val="en-US" w:eastAsia="zh-CN"/>
              </w:rPr>
            </w:pPr>
            <w:r>
              <w:rPr>
                <w:i/>
                <w:iCs w:val="0"/>
                <w:highlight w:val="none"/>
              </w:rPr>
              <w:t>caudacutus</w:t>
            </w:r>
          </w:p>
        </w:tc>
        <w:tc>
          <w:tcPr>
            <w:tcW w:w="849" w:type="dxa"/>
            <w:shd w:val="clear" w:color="auto" w:fill="auto"/>
            <w:vAlign w:val="center"/>
          </w:tcPr>
          <w:p w14:paraId="707D9BD4">
            <w:pPr>
              <w:pStyle w:val="22"/>
              <w:bidi w:val="0"/>
              <w:jc w:val="center"/>
              <w:rPr>
                <w:highlight w:val="none"/>
                <w:lang w:val="en-US" w:eastAsia="zh-CN"/>
              </w:rPr>
            </w:pPr>
          </w:p>
        </w:tc>
        <w:tc>
          <w:tcPr>
            <w:tcW w:w="567" w:type="dxa"/>
            <w:shd w:val="clear" w:color="auto" w:fill="auto"/>
            <w:vAlign w:val="center"/>
          </w:tcPr>
          <w:p w14:paraId="4F7686F9">
            <w:pPr>
              <w:pStyle w:val="22"/>
              <w:bidi w:val="0"/>
              <w:jc w:val="center"/>
              <w:rPr>
                <w:highlight w:val="none"/>
                <w:lang w:val="en-US" w:eastAsia="zh-CN"/>
              </w:rPr>
            </w:pPr>
            <w:r>
              <w:rPr>
                <w:highlight w:val="none"/>
              </w:rPr>
              <w:t>√</w:t>
            </w:r>
          </w:p>
        </w:tc>
        <w:tc>
          <w:tcPr>
            <w:tcW w:w="708" w:type="dxa"/>
            <w:shd w:val="clear" w:color="auto" w:fill="auto"/>
            <w:vAlign w:val="center"/>
          </w:tcPr>
          <w:p w14:paraId="2EF5D33A">
            <w:pPr>
              <w:pStyle w:val="22"/>
              <w:bidi w:val="0"/>
              <w:jc w:val="center"/>
              <w:rPr>
                <w:highlight w:val="none"/>
                <w:lang w:val="en-US" w:eastAsia="zh-CN"/>
              </w:rPr>
            </w:pPr>
            <w:r>
              <w:rPr>
                <w:highlight w:val="none"/>
              </w:rPr>
              <w:t>LC</w:t>
            </w:r>
          </w:p>
        </w:tc>
        <w:tc>
          <w:tcPr>
            <w:tcW w:w="709" w:type="dxa"/>
            <w:shd w:val="clear" w:color="auto" w:fill="auto"/>
            <w:vAlign w:val="center"/>
          </w:tcPr>
          <w:p w14:paraId="79122E32">
            <w:pPr>
              <w:pStyle w:val="22"/>
              <w:bidi w:val="0"/>
              <w:jc w:val="center"/>
              <w:rPr>
                <w:highlight w:val="none"/>
                <w:lang w:val="en-US" w:eastAsia="zh-CN"/>
              </w:rPr>
            </w:pPr>
          </w:p>
        </w:tc>
        <w:tc>
          <w:tcPr>
            <w:tcW w:w="567" w:type="dxa"/>
            <w:shd w:val="clear" w:color="auto" w:fill="auto"/>
            <w:vAlign w:val="center"/>
          </w:tcPr>
          <w:p w14:paraId="7A69E8D2">
            <w:pPr>
              <w:pStyle w:val="22"/>
              <w:bidi w:val="0"/>
              <w:jc w:val="center"/>
              <w:rPr>
                <w:highlight w:val="none"/>
                <w:lang w:val="en-US" w:eastAsia="zh-CN"/>
              </w:rPr>
            </w:pPr>
          </w:p>
        </w:tc>
        <w:tc>
          <w:tcPr>
            <w:tcW w:w="571" w:type="dxa"/>
            <w:shd w:val="clear" w:color="auto" w:fill="auto"/>
            <w:vAlign w:val="center"/>
          </w:tcPr>
          <w:p w14:paraId="1332218F">
            <w:pPr>
              <w:pStyle w:val="22"/>
              <w:bidi w:val="0"/>
              <w:jc w:val="center"/>
              <w:rPr>
                <w:highlight w:val="none"/>
                <w:lang w:val="en-US" w:eastAsia="zh-CN"/>
              </w:rPr>
            </w:pPr>
            <w:r>
              <w:rPr>
                <w:highlight w:val="none"/>
              </w:rPr>
              <w:t>√</w:t>
            </w:r>
          </w:p>
        </w:tc>
      </w:tr>
      <w:tr w14:paraId="42958A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2B17F80D">
            <w:pPr>
              <w:pStyle w:val="22"/>
              <w:bidi w:val="0"/>
              <w:jc w:val="center"/>
              <w:rPr>
                <w:highlight w:val="none"/>
                <w:lang w:val="en-US" w:eastAsia="zh-CN"/>
              </w:rPr>
            </w:pPr>
            <w:r>
              <w:rPr>
                <w:highlight w:val="none"/>
              </w:rPr>
              <w:t>12</w:t>
            </w:r>
          </w:p>
        </w:tc>
        <w:tc>
          <w:tcPr>
            <w:tcW w:w="559" w:type="dxa"/>
            <w:vMerge w:val="continue"/>
            <w:vAlign w:val="center"/>
          </w:tcPr>
          <w:p w14:paraId="5634914B">
            <w:pPr>
              <w:pStyle w:val="22"/>
              <w:bidi w:val="0"/>
              <w:jc w:val="center"/>
              <w:rPr>
                <w:highlight w:val="none"/>
              </w:rPr>
            </w:pPr>
          </w:p>
        </w:tc>
        <w:tc>
          <w:tcPr>
            <w:tcW w:w="1557" w:type="dxa"/>
            <w:shd w:val="clear" w:color="auto" w:fill="auto"/>
            <w:vAlign w:val="center"/>
          </w:tcPr>
          <w:p w14:paraId="5CD0194D">
            <w:pPr>
              <w:pStyle w:val="22"/>
              <w:bidi w:val="0"/>
              <w:jc w:val="center"/>
              <w:rPr>
                <w:highlight w:val="none"/>
                <w:lang w:val="en-US" w:eastAsia="en-US"/>
              </w:rPr>
            </w:pPr>
            <w:r>
              <w:rPr>
                <w:highlight w:val="none"/>
              </w:rPr>
              <w:t>大鹰鹃</w:t>
            </w:r>
          </w:p>
        </w:tc>
        <w:tc>
          <w:tcPr>
            <w:tcW w:w="1749" w:type="dxa"/>
            <w:shd w:val="clear" w:color="auto" w:fill="auto"/>
            <w:vAlign w:val="center"/>
          </w:tcPr>
          <w:p w14:paraId="4F5DF413">
            <w:pPr>
              <w:pStyle w:val="22"/>
              <w:bidi w:val="0"/>
              <w:jc w:val="center"/>
              <w:rPr>
                <w:i/>
                <w:iCs w:val="0"/>
                <w:highlight w:val="none"/>
              </w:rPr>
            </w:pPr>
            <w:r>
              <w:rPr>
                <w:i/>
                <w:iCs w:val="0"/>
                <w:highlight w:val="none"/>
              </w:rPr>
              <w:t>Hierococcyx</w:t>
            </w:r>
          </w:p>
          <w:p w14:paraId="603765D4">
            <w:pPr>
              <w:pStyle w:val="22"/>
              <w:bidi w:val="0"/>
              <w:jc w:val="center"/>
              <w:rPr>
                <w:i/>
                <w:iCs w:val="0"/>
                <w:highlight w:val="none"/>
                <w:lang w:val="en-US" w:eastAsia="zh-CN"/>
              </w:rPr>
            </w:pPr>
            <w:r>
              <w:rPr>
                <w:i/>
                <w:iCs w:val="0"/>
                <w:highlight w:val="none"/>
              </w:rPr>
              <w:t>sparverioides</w:t>
            </w:r>
          </w:p>
        </w:tc>
        <w:tc>
          <w:tcPr>
            <w:tcW w:w="849" w:type="dxa"/>
            <w:shd w:val="clear" w:color="auto" w:fill="auto"/>
            <w:vAlign w:val="center"/>
          </w:tcPr>
          <w:p w14:paraId="36FCF66C">
            <w:pPr>
              <w:pStyle w:val="22"/>
              <w:bidi w:val="0"/>
              <w:jc w:val="center"/>
              <w:rPr>
                <w:highlight w:val="none"/>
                <w:lang w:val="en-US" w:eastAsia="zh-CN"/>
              </w:rPr>
            </w:pPr>
          </w:p>
        </w:tc>
        <w:tc>
          <w:tcPr>
            <w:tcW w:w="567" w:type="dxa"/>
            <w:shd w:val="clear" w:color="auto" w:fill="auto"/>
            <w:vAlign w:val="center"/>
          </w:tcPr>
          <w:p w14:paraId="0ABAA0B4">
            <w:pPr>
              <w:pStyle w:val="22"/>
              <w:bidi w:val="0"/>
              <w:jc w:val="center"/>
              <w:rPr>
                <w:highlight w:val="none"/>
                <w:lang w:val="en-US" w:eastAsia="zh-CN"/>
              </w:rPr>
            </w:pPr>
            <w:r>
              <w:rPr>
                <w:highlight w:val="none"/>
              </w:rPr>
              <w:t>√</w:t>
            </w:r>
          </w:p>
        </w:tc>
        <w:tc>
          <w:tcPr>
            <w:tcW w:w="708" w:type="dxa"/>
            <w:shd w:val="clear" w:color="auto" w:fill="auto"/>
            <w:vAlign w:val="center"/>
          </w:tcPr>
          <w:p w14:paraId="30E04DB1">
            <w:pPr>
              <w:pStyle w:val="22"/>
              <w:bidi w:val="0"/>
              <w:jc w:val="center"/>
              <w:rPr>
                <w:highlight w:val="none"/>
                <w:lang w:val="en-US" w:eastAsia="zh-CN"/>
              </w:rPr>
            </w:pPr>
            <w:r>
              <w:rPr>
                <w:highlight w:val="none"/>
              </w:rPr>
              <w:t>LC</w:t>
            </w:r>
          </w:p>
        </w:tc>
        <w:tc>
          <w:tcPr>
            <w:tcW w:w="709" w:type="dxa"/>
            <w:shd w:val="clear" w:color="auto" w:fill="auto"/>
            <w:vAlign w:val="center"/>
          </w:tcPr>
          <w:p w14:paraId="3B75FD56">
            <w:pPr>
              <w:pStyle w:val="22"/>
              <w:bidi w:val="0"/>
              <w:jc w:val="center"/>
              <w:rPr>
                <w:highlight w:val="none"/>
                <w:lang w:val="en-US" w:eastAsia="zh-CN"/>
              </w:rPr>
            </w:pPr>
          </w:p>
        </w:tc>
        <w:tc>
          <w:tcPr>
            <w:tcW w:w="567" w:type="dxa"/>
            <w:shd w:val="clear" w:color="auto" w:fill="auto"/>
            <w:vAlign w:val="center"/>
          </w:tcPr>
          <w:p w14:paraId="0FA0991C">
            <w:pPr>
              <w:pStyle w:val="22"/>
              <w:bidi w:val="0"/>
              <w:jc w:val="center"/>
              <w:rPr>
                <w:highlight w:val="none"/>
                <w:lang w:val="en-US" w:eastAsia="zh-CN"/>
              </w:rPr>
            </w:pPr>
            <w:r>
              <w:rPr>
                <w:highlight w:val="none"/>
              </w:rPr>
              <w:t>√</w:t>
            </w:r>
          </w:p>
        </w:tc>
        <w:tc>
          <w:tcPr>
            <w:tcW w:w="571" w:type="dxa"/>
            <w:shd w:val="clear" w:color="auto" w:fill="auto"/>
            <w:vAlign w:val="center"/>
          </w:tcPr>
          <w:p w14:paraId="78B2FFF3">
            <w:pPr>
              <w:pStyle w:val="22"/>
              <w:bidi w:val="0"/>
              <w:jc w:val="center"/>
              <w:rPr>
                <w:highlight w:val="none"/>
                <w:lang w:val="en-US" w:eastAsia="zh-CN"/>
              </w:rPr>
            </w:pPr>
          </w:p>
        </w:tc>
      </w:tr>
      <w:tr w14:paraId="69722F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31E5EAA6">
            <w:pPr>
              <w:pStyle w:val="22"/>
              <w:bidi w:val="0"/>
              <w:jc w:val="center"/>
              <w:rPr>
                <w:highlight w:val="none"/>
                <w:lang w:val="en-US" w:eastAsia="zh-CN"/>
              </w:rPr>
            </w:pPr>
            <w:r>
              <w:rPr>
                <w:highlight w:val="none"/>
              </w:rPr>
              <w:t>13</w:t>
            </w:r>
          </w:p>
        </w:tc>
        <w:tc>
          <w:tcPr>
            <w:tcW w:w="559" w:type="dxa"/>
            <w:vMerge w:val="continue"/>
            <w:vAlign w:val="center"/>
          </w:tcPr>
          <w:p w14:paraId="3D8F8E60">
            <w:pPr>
              <w:pStyle w:val="22"/>
              <w:bidi w:val="0"/>
              <w:jc w:val="center"/>
              <w:rPr>
                <w:highlight w:val="none"/>
              </w:rPr>
            </w:pPr>
          </w:p>
        </w:tc>
        <w:tc>
          <w:tcPr>
            <w:tcW w:w="1557" w:type="dxa"/>
            <w:shd w:val="clear" w:color="auto" w:fill="auto"/>
            <w:vAlign w:val="center"/>
          </w:tcPr>
          <w:p w14:paraId="2D444457">
            <w:pPr>
              <w:pStyle w:val="22"/>
              <w:bidi w:val="0"/>
              <w:jc w:val="center"/>
              <w:rPr>
                <w:highlight w:val="none"/>
                <w:lang w:val="en-US" w:eastAsia="en-US"/>
              </w:rPr>
            </w:pPr>
            <w:r>
              <w:rPr>
                <w:highlight w:val="none"/>
              </w:rPr>
              <w:t>绿鹭</w:t>
            </w:r>
          </w:p>
        </w:tc>
        <w:tc>
          <w:tcPr>
            <w:tcW w:w="1749" w:type="dxa"/>
            <w:shd w:val="clear" w:color="auto" w:fill="auto"/>
            <w:vAlign w:val="center"/>
          </w:tcPr>
          <w:p w14:paraId="3F4387FA">
            <w:pPr>
              <w:pStyle w:val="22"/>
              <w:bidi w:val="0"/>
              <w:jc w:val="center"/>
              <w:rPr>
                <w:i/>
                <w:iCs w:val="0"/>
                <w:highlight w:val="none"/>
                <w:lang w:val="en-US" w:eastAsia="zh-CN"/>
              </w:rPr>
            </w:pPr>
            <w:r>
              <w:rPr>
                <w:i/>
                <w:iCs w:val="0"/>
                <w:highlight w:val="none"/>
              </w:rPr>
              <w:t>Butorides striata</w:t>
            </w:r>
          </w:p>
        </w:tc>
        <w:tc>
          <w:tcPr>
            <w:tcW w:w="849" w:type="dxa"/>
            <w:shd w:val="clear" w:color="auto" w:fill="auto"/>
            <w:vAlign w:val="center"/>
          </w:tcPr>
          <w:p w14:paraId="64D58D45">
            <w:pPr>
              <w:pStyle w:val="22"/>
              <w:bidi w:val="0"/>
              <w:jc w:val="center"/>
              <w:rPr>
                <w:highlight w:val="none"/>
                <w:lang w:val="en-US" w:eastAsia="zh-CN"/>
              </w:rPr>
            </w:pPr>
          </w:p>
        </w:tc>
        <w:tc>
          <w:tcPr>
            <w:tcW w:w="567" w:type="dxa"/>
            <w:shd w:val="clear" w:color="auto" w:fill="auto"/>
            <w:vAlign w:val="center"/>
          </w:tcPr>
          <w:p w14:paraId="1D8B44D1">
            <w:pPr>
              <w:pStyle w:val="22"/>
              <w:bidi w:val="0"/>
              <w:jc w:val="center"/>
              <w:rPr>
                <w:highlight w:val="none"/>
                <w:lang w:val="en-US" w:eastAsia="zh-CN"/>
              </w:rPr>
            </w:pPr>
            <w:r>
              <w:rPr>
                <w:highlight w:val="none"/>
              </w:rPr>
              <w:t>√</w:t>
            </w:r>
          </w:p>
        </w:tc>
        <w:tc>
          <w:tcPr>
            <w:tcW w:w="708" w:type="dxa"/>
            <w:shd w:val="clear" w:color="auto" w:fill="auto"/>
            <w:vAlign w:val="center"/>
          </w:tcPr>
          <w:p w14:paraId="63B88BAF">
            <w:pPr>
              <w:pStyle w:val="22"/>
              <w:bidi w:val="0"/>
              <w:jc w:val="center"/>
              <w:rPr>
                <w:highlight w:val="none"/>
                <w:lang w:val="en-US" w:eastAsia="zh-CN"/>
              </w:rPr>
            </w:pPr>
            <w:r>
              <w:rPr>
                <w:highlight w:val="none"/>
              </w:rPr>
              <w:t>LC</w:t>
            </w:r>
          </w:p>
        </w:tc>
        <w:tc>
          <w:tcPr>
            <w:tcW w:w="709" w:type="dxa"/>
            <w:shd w:val="clear" w:color="auto" w:fill="auto"/>
            <w:vAlign w:val="center"/>
          </w:tcPr>
          <w:p w14:paraId="6EF2ED54">
            <w:pPr>
              <w:pStyle w:val="22"/>
              <w:bidi w:val="0"/>
              <w:jc w:val="center"/>
              <w:rPr>
                <w:highlight w:val="none"/>
                <w:lang w:val="en-US" w:eastAsia="zh-CN"/>
              </w:rPr>
            </w:pPr>
          </w:p>
        </w:tc>
        <w:tc>
          <w:tcPr>
            <w:tcW w:w="567" w:type="dxa"/>
            <w:shd w:val="clear" w:color="auto" w:fill="auto"/>
            <w:vAlign w:val="center"/>
          </w:tcPr>
          <w:p w14:paraId="76419489">
            <w:pPr>
              <w:pStyle w:val="22"/>
              <w:bidi w:val="0"/>
              <w:jc w:val="center"/>
              <w:rPr>
                <w:highlight w:val="none"/>
                <w:lang w:val="en-US" w:eastAsia="zh-CN"/>
              </w:rPr>
            </w:pPr>
            <w:r>
              <w:rPr>
                <w:highlight w:val="none"/>
              </w:rPr>
              <w:t>√</w:t>
            </w:r>
          </w:p>
        </w:tc>
        <w:tc>
          <w:tcPr>
            <w:tcW w:w="571" w:type="dxa"/>
            <w:shd w:val="clear" w:color="auto" w:fill="auto"/>
            <w:vAlign w:val="center"/>
          </w:tcPr>
          <w:p w14:paraId="01B30C8F">
            <w:pPr>
              <w:pStyle w:val="22"/>
              <w:bidi w:val="0"/>
              <w:jc w:val="center"/>
              <w:rPr>
                <w:highlight w:val="none"/>
                <w:lang w:val="en-US" w:eastAsia="zh-CN"/>
              </w:rPr>
            </w:pPr>
          </w:p>
        </w:tc>
      </w:tr>
      <w:tr w14:paraId="1F94B5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2CEB8161">
            <w:pPr>
              <w:pStyle w:val="22"/>
              <w:bidi w:val="0"/>
              <w:jc w:val="center"/>
              <w:rPr>
                <w:highlight w:val="none"/>
                <w:lang w:val="en-US" w:eastAsia="zh-CN"/>
              </w:rPr>
            </w:pPr>
            <w:r>
              <w:rPr>
                <w:highlight w:val="none"/>
              </w:rPr>
              <w:t>14</w:t>
            </w:r>
          </w:p>
        </w:tc>
        <w:tc>
          <w:tcPr>
            <w:tcW w:w="559" w:type="dxa"/>
            <w:vMerge w:val="continue"/>
            <w:vAlign w:val="center"/>
          </w:tcPr>
          <w:p w14:paraId="46FAA294">
            <w:pPr>
              <w:pStyle w:val="22"/>
              <w:bidi w:val="0"/>
              <w:jc w:val="center"/>
              <w:rPr>
                <w:highlight w:val="none"/>
              </w:rPr>
            </w:pPr>
          </w:p>
        </w:tc>
        <w:tc>
          <w:tcPr>
            <w:tcW w:w="1557" w:type="dxa"/>
            <w:shd w:val="clear" w:color="auto" w:fill="auto"/>
            <w:vAlign w:val="center"/>
          </w:tcPr>
          <w:p w14:paraId="6AB66D9E">
            <w:pPr>
              <w:pStyle w:val="22"/>
              <w:bidi w:val="0"/>
              <w:jc w:val="center"/>
              <w:rPr>
                <w:highlight w:val="none"/>
                <w:lang w:val="en-US" w:eastAsia="en-US"/>
              </w:rPr>
            </w:pPr>
            <w:r>
              <w:rPr>
                <w:highlight w:val="none"/>
              </w:rPr>
              <w:t>普通鸬鹚</w:t>
            </w:r>
          </w:p>
        </w:tc>
        <w:tc>
          <w:tcPr>
            <w:tcW w:w="1749" w:type="dxa"/>
            <w:shd w:val="clear" w:color="auto" w:fill="auto"/>
            <w:vAlign w:val="center"/>
          </w:tcPr>
          <w:p w14:paraId="46397FA9">
            <w:pPr>
              <w:pStyle w:val="22"/>
              <w:bidi w:val="0"/>
              <w:jc w:val="center"/>
              <w:rPr>
                <w:i/>
                <w:iCs w:val="0"/>
                <w:highlight w:val="none"/>
                <w:lang w:val="en-US" w:eastAsia="zh-CN"/>
              </w:rPr>
            </w:pPr>
            <w:r>
              <w:rPr>
                <w:i/>
                <w:iCs w:val="0"/>
                <w:highlight w:val="none"/>
              </w:rPr>
              <w:t>Phalacrocorax carbo</w:t>
            </w:r>
          </w:p>
        </w:tc>
        <w:tc>
          <w:tcPr>
            <w:tcW w:w="849" w:type="dxa"/>
            <w:shd w:val="clear" w:color="auto" w:fill="auto"/>
            <w:vAlign w:val="center"/>
          </w:tcPr>
          <w:p w14:paraId="59B61129">
            <w:pPr>
              <w:pStyle w:val="22"/>
              <w:bidi w:val="0"/>
              <w:jc w:val="center"/>
              <w:rPr>
                <w:highlight w:val="none"/>
                <w:lang w:val="en-US" w:eastAsia="zh-CN"/>
              </w:rPr>
            </w:pPr>
          </w:p>
        </w:tc>
        <w:tc>
          <w:tcPr>
            <w:tcW w:w="567" w:type="dxa"/>
            <w:shd w:val="clear" w:color="auto" w:fill="auto"/>
            <w:vAlign w:val="center"/>
          </w:tcPr>
          <w:p w14:paraId="7EB00CE0">
            <w:pPr>
              <w:pStyle w:val="22"/>
              <w:bidi w:val="0"/>
              <w:jc w:val="center"/>
              <w:rPr>
                <w:highlight w:val="none"/>
                <w:lang w:val="en-US" w:eastAsia="zh-CN"/>
              </w:rPr>
            </w:pPr>
            <w:r>
              <w:rPr>
                <w:highlight w:val="none"/>
              </w:rPr>
              <w:t>√</w:t>
            </w:r>
          </w:p>
        </w:tc>
        <w:tc>
          <w:tcPr>
            <w:tcW w:w="708" w:type="dxa"/>
            <w:shd w:val="clear" w:color="auto" w:fill="auto"/>
            <w:vAlign w:val="center"/>
          </w:tcPr>
          <w:p w14:paraId="1ACE33CE">
            <w:pPr>
              <w:pStyle w:val="22"/>
              <w:bidi w:val="0"/>
              <w:jc w:val="center"/>
              <w:rPr>
                <w:highlight w:val="none"/>
                <w:lang w:val="en-US" w:eastAsia="zh-CN"/>
              </w:rPr>
            </w:pPr>
            <w:r>
              <w:rPr>
                <w:highlight w:val="none"/>
              </w:rPr>
              <w:t>LC</w:t>
            </w:r>
          </w:p>
        </w:tc>
        <w:tc>
          <w:tcPr>
            <w:tcW w:w="709" w:type="dxa"/>
            <w:shd w:val="clear" w:color="auto" w:fill="auto"/>
            <w:vAlign w:val="center"/>
          </w:tcPr>
          <w:p w14:paraId="6DDA596E">
            <w:pPr>
              <w:pStyle w:val="22"/>
              <w:bidi w:val="0"/>
              <w:jc w:val="center"/>
              <w:rPr>
                <w:highlight w:val="none"/>
                <w:lang w:val="en-US" w:eastAsia="zh-CN"/>
              </w:rPr>
            </w:pPr>
          </w:p>
        </w:tc>
        <w:tc>
          <w:tcPr>
            <w:tcW w:w="567" w:type="dxa"/>
            <w:shd w:val="clear" w:color="auto" w:fill="auto"/>
            <w:vAlign w:val="center"/>
          </w:tcPr>
          <w:p w14:paraId="3950A62F">
            <w:pPr>
              <w:pStyle w:val="22"/>
              <w:bidi w:val="0"/>
              <w:jc w:val="center"/>
              <w:rPr>
                <w:highlight w:val="none"/>
                <w:lang w:val="en-US" w:eastAsia="zh-CN"/>
              </w:rPr>
            </w:pPr>
            <w:r>
              <w:rPr>
                <w:highlight w:val="none"/>
              </w:rPr>
              <w:t>√</w:t>
            </w:r>
          </w:p>
        </w:tc>
        <w:tc>
          <w:tcPr>
            <w:tcW w:w="571" w:type="dxa"/>
            <w:shd w:val="clear" w:color="auto" w:fill="auto"/>
            <w:vAlign w:val="center"/>
          </w:tcPr>
          <w:p w14:paraId="4A6F73B2">
            <w:pPr>
              <w:pStyle w:val="22"/>
              <w:bidi w:val="0"/>
              <w:jc w:val="center"/>
              <w:rPr>
                <w:highlight w:val="none"/>
                <w:lang w:val="en-US" w:eastAsia="zh-CN"/>
              </w:rPr>
            </w:pPr>
          </w:p>
        </w:tc>
      </w:tr>
      <w:tr w14:paraId="4286FF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1A35F674">
            <w:pPr>
              <w:pStyle w:val="22"/>
              <w:bidi w:val="0"/>
              <w:jc w:val="center"/>
              <w:rPr>
                <w:highlight w:val="none"/>
                <w:lang w:val="en-US" w:eastAsia="zh-CN"/>
              </w:rPr>
            </w:pPr>
            <w:r>
              <w:rPr>
                <w:highlight w:val="none"/>
              </w:rPr>
              <w:t>15</w:t>
            </w:r>
          </w:p>
        </w:tc>
        <w:tc>
          <w:tcPr>
            <w:tcW w:w="559" w:type="dxa"/>
            <w:vMerge w:val="continue"/>
            <w:vAlign w:val="center"/>
          </w:tcPr>
          <w:p w14:paraId="36801D12">
            <w:pPr>
              <w:pStyle w:val="22"/>
              <w:bidi w:val="0"/>
              <w:jc w:val="center"/>
              <w:rPr>
                <w:highlight w:val="none"/>
              </w:rPr>
            </w:pPr>
          </w:p>
        </w:tc>
        <w:tc>
          <w:tcPr>
            <w:tcW w:w="1557" w:type="dxa"/>
            <w:shd w:val="clear" w:color="auto" w:fill="auto"/>
            <w:vAlign w:val="center"/>
          </w:tcPr>
          <w:p w14:paraId="7647A4B2">
            <w:pPr>
              <w:pStyle w:val="22"/>
              <w:bidi w:val="0"/>
              <w:jc w:val="center"/>
              <w:rPr>
                <w:highlight w:val="none"/>
                <w:lang w:val="en-US" w:eastAsia="en-US"/>
              </w:rPr>
            </w:pPr>
            <w:r>
              <w:rPr>
                <w:highlight w:val="none"/>
              </w:rPr>
              <w:t>普通鵟</w:t>
            </w:r>
          </w:p>
        </w:tc>
        <w:tc>
          <w:tcPr>
            <w:tcW w:w="1749" w:type="dxa"/>
            <w:shd w:val="clear" w:color="auto" w:fill="auto"/>
            <w:vAlign w:val="center"/>
          </w:tcPr>
          <w:p w14:paraId="4EC2D994">
            <w:pPr>
              <w:pStyle w:val="22"/>
              <w:bidi w:val="0"/>
              <w:jc w:val="center"/>
              <w:rPr>
                <w:i/>
                <w:iCs w:val="0"/>
                <w:highlight w:val="none"/>
                <w:lang w:val="en-US" w:eastAsia="zh-CN"/>
              </w:rPr>
            </w:pPr>
            <w:r>
              <w:rPr>
                <w:i/>
                <w:iCs w:val="0"/>
                <w:highlight w:val="none"/>
              </w:rPr>
              <w:t>Buteo japonicus</w:t>
            </w:r>
          </w:p>
        </w:tc>
        <w:tc>
          <w:tcPr>
            <w:tcW w:w="849" w:type="dxa"/>
            <w:shd w:val="clear" w:color="auto" w:fill="auto"/>
            <w:vAlign w:val="center"/>
          </w:tcPr>
          <w:p w14:paraId="246B6D26">
            <w:pPr>
              <w:pStyle w:val="22"/>
              <w:bidi w:val="0"/>
              <w:jc w:val="center"/>
              <w:rPr>
                <w:highlight w:val="none"/>
                <w:lang w:val="en-US" w:eastAsia="en-US"/>
              </w:rPr>
            </w:pPr>
            <w:r>
              <w:rPr>
                <w:highlight w:val="none"/>
              </w:rPr>
              <w:t>二级</w:t>
            </w:r>
          </w:p>
        </w:tc>
        <w:tc>
          <w:tcPr>
            <w:tcW w:w="567" w:type="dxa"/>
            <w:shd w:val="clear" w:color="auto" w:fill="auto"/>
            <w:vAlign w:val="center"/>
          </w:tcPr>
          <w:p w14:paraId="3C246010">
            <w:pPr>
              <w:pStyle w:val="22"/>
              <w:bidi w:val="0"/>
              <w:jc w:val="center"/>
              <w:rPr>
                <w:highlight w:val="none"/>
                <w:lang w:val="en-US" w:eastAsia="zh-CN"/>
              </w:rPr>
            </w:pPr>
          </w:p>
        </w:tc>
        <w:tc>
          <w:tcPr>
            <w:tcW w:w="708" w:type="dxa"/>
            <w:shd w:val="clear" w:color="auto" w:fill="auto"/>
            <w:vAlign w:val="center"/>
          </w:tcPr>
          <w:p w14:paraId="29B44882">
            <w:pPr>
              <w:pStyle w:val="22"/>
              <w:bidi w:val="0"/>
              <w:jc w:val="center"/>
              <w:rPr>
                <w:highlight w:val="none"/>
                <w:lang w:val="en-US" w:eastAsia="zh-CN"/>
              </w:rPr>
            </w:pPr>
            <w:r>
              <w:rPr>
                <w:highlight w:val="none"/>
              </w:rPr>
              <w:t>LC</w:t>
            </w:r>
          </w:p>
        </w:tc>
        <w:tc>
          <w:tcPr>
            <w:tcW w:w="709" w:type="dxa"/>
            <w:shd w:val="clear" w:color="auto" w:fill="auto"/>
            <w:vAlign w:val="center"/>
          </w:tcPr>
          <w:p w14:paraId="4F475030">
            <w:pPr>
              <w:pStyle w:val="22"/>
              <w:bidi w:val="0"/>
              <w:jc w:val="center"/>
              <w:rPr>
                <w:highlight w:val="none"/>
                <w:lang w:val="en-US" w:eastAsia="zh-CN"/>
              </w:rPr>
            </w:pPr>
          </w:p>
        </w:tc>
        <w:tc>
          <w:tcPr>
            <w:tcW w:w="567" w:type="dxa"/>
            <w:shd w:val="clear" w:color="auto" w:fill="auto"/>
            <w:vAlign w:val="center"/>
          </w:tcPr>
          <w:p w14:paraId="05E65945">
            <w:pPr>
              <w:pStyle w:val="22"/>
              <w:bidi w:val="0"/>
              <w:jc w:val="center"/>
              <w:rPr>
                <w:highlight w:val="none"/>
                <w:lang w:val="en-US" w:eastAsia="zh-CN"/>
              </w:rPr>
            </w:pPr>
          </w:p>
        </w:tc>
        <w:tc>
          <w:tcPr>
            <w:tcW w:w="571" w:type="dxa"/>
            <w:shd w:val="clear" w:color="auto" w:fill="auto"/>
            <w:vAlign w:val="center"/>
          </w:tcPr>
          <w:p w14:paraId="5AC4F7B6">
            <w:pPr>
              <w:pStyle w:val="22"/>
              <w:bidi w:val="0"/>
              <w:jc w:val="center"/>
              <w:rPr>
                <w:highlight w:val="none"/>
                <w:lang w:val="en-US" w:eastAsia="zh-CN"/>
              </w:rPr>
            </w:pPr>
            <w:r>
              <w:rPr>
                <w:highlight w:val="none"/>
              </w:rPr>
              <w:t>√</w:t>
            </w:r>
          </w:p>
        </w:tc>
      </w:tr>
      <w:tr w14:paraId="1017C2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0703C92F">
            <w:pPr>
              <w:pStyle w:val="22"/>
              <w:bidi w:val="0"/>
              <w:jc w:val="center"/>
              <w:rPr>
                <w:highlight w:val="none"/>
                <w:lang w:val="en-US" w:eastAsia="zh-CN"/>
              </w:rPr>
            </w:pPr>
            <w:r>
              <w:rPr>
                <w:highlight w:val="none"/>
              </w:rPr>
              <w:t>16</w:t>
            </w:r>
          </w:p>
        </w:tc>
        <w:tc>
          <w:tcPr>
            <w:tcW w:w="559" w:type="dxa"/>
            <w:vMerge w:val="continue"/>
            <w:vAlign w:val="center"/>
          </w:tcPr>
          <w:p w14:paraId="458E94D5">
            <w:pPr>
              <w:pStyle w:val="22"/>
              <w:bidi w:val="0"/>
              <w:jc w:val="center"/>
              <w:rPr>
                <w:highlight w:val="none"/>
              </w:rPr>
            </w:pPr>
          </w:p>
        </w:tc>
        <w:tc>
          <w:tcPr>
            <w:tcW w:w="1557" w:type="dxa"/>
            <w:shd w:val="clear" w:color="auto" w:fill="auto"/>
            <w:vAlign w:val="center"/>
          </w:tcPr>
          <w:p w14:paraId="647CA5BA">
            <w:pPr>
              <w:pStyle w:val="22"/>
              <w:bidi w:val="0"/>
              <w:jc w:val="center"/>
              <w:rPr>
                <w:highlight w:val="none"/>
                <w:lang w:val="en-US" w:eastAsia="en-US"/>
              </w:rPr>
            </w:pPr>
            <w:r>
              <w:rPr>
                <w:highlight w:val="none"/>
              </w:rPr>
              <w:t>黄腹山雀</w:t>
            </w:r>
          </w:p>
        </w:tc>
        <w:tc>
          <w:tcPr>
            <w:tcW w:w="1749" w:type="dxa"/>
            <w:shd w:val="clear" w:color="auto" w:fill="auto"/>
            <w:vAlign w:val="center"/>
          </w:tcPr>
          <w:p w14:paraId="00C41268">
            <w:pPr>
              <w:pStyle w:val="22"/>
              <w:bidi w:val="0"/>
              <w:jc w:val="center"/>
              <w:rPr>
                <w:i/>
                <w:iCs w:val="0"/>
                <w:highlight w:val="none"/>
              </w:rPr>
            </w:pPr>
            <w:r>
              <w:rPr>
                <w:i/>
                <w:iCs w:val="0"/>
                <w:highlight w:val="none"/>
              </w:rPr>
              <w:t>Pardaliparus</w:t>
            </w:r>
          </w:p>
          <w:p w14:paraId="76F87148">
            <w:pPr>
              <w:pStyle w:val="22"/>
              <w:bidi w:val="0"/>
              <w:jc w:val="center"/>
              <w:rPr>
                <w:i/>
                <w:iCs w:val="0"/>
                <w:highlight w:val="none"/>
                <w:lang w:val="en-US" w:eastAsia="zh-CN"/>
              </w:rPr>
            </w:pPr>
            <w:r>
              <w:rPr>
                <w:i/>
                <w:iCs w:val="0"/>
                <w:highlight w:val="none"/>
              </w:rPr>
              <w:t>venustulus</w:t>
            </w:r>
          </w:p>
        </w:tc>
        <w:tc>
          <w:tcPr>
            <w:tcW w:w="849" w:type="dxa"/>
            <w:shd w:val="clear" w:color="auto" w:fill="auto"/>
            <w:vAlign w:val="center"/>
          </w:tcPr>
          <w:p w14:paraId="03F81728">
            <w:pPr>
              <w:pStyle w:val="22"/>
              <w:bidi w:val="0"/>
              <w:jc w:val="center"/>
              <w:rPr>
                <w:highlight w:val="none"/>
                <w:lang w:val="en-US" w:eastAsia="zh-CN"/>
              </w:rPr>
            </w:pPr>
          </w:p>
        </w:tc>
        <w:tc>
          <w:tcPr>
            <w:tcW w:w="567" w:type="dxa"/>
            <w:shd w:val="clear" w:color="auto" w:fill="auto"/>
            <w:vAlign w:val="center"/>
          </w:tcPr>
          <w:p w14:paraId="68F14F47">
            <w:pPr>
              <w:pStyle w:val="22"/>
              <w:bidi w:val="0"/>
              <w:jc w:val="center"/>
              <w:rPr>
                <w:highlight w:val="none"/>
                <w:lang w:val="en-US" w:eastAsia="zh-CN"/>
              </w:rPr>
            </w:pPr>
          </w:p>
        </w:tc>
        <w:tc>
          <w:tcPr>
            <w:tcW w:w="708" w:type="dxa"/>
            <w:shd w:val="clear" w:color="auto" w:fill="auto"/>
            <w:vAlign w:val="center"/>
          </w:tcPr>
          <w:p w14:paraId="59EFCF11">
            <w:pPr>
              <w:pStyle w:val="22"/>
              <w:bidi w:val="0"/>
              <w:jc w:val="center"/>
              <w:rPr>
                <w:highlight w:val="none"/>
                <w:lang w:val="en-US" w:eastAsia="zh-CN"/>
              </w:rPr>
            </w:pPr>
            <w:r>
              <w:rPr>
                <w:highlight w:val="none"/>
              </w:rPr>
              <w:t>LC</w:t>
            </w:r>
          </w:p>
        </w:tc>
        <w:tc>
          <w:tcPr>
            <w:tcW w:w="709" w:type="dxa"/>
            <w:shd w:val="clear" w:color="auto" w:fill="auto"/>
            <w:vAlign w:val="center"/>
          </w:tcPr>
          <w:p w14:paraId="320DB5FA">
            <w:pPr>
              <w:pStyle w:val="22"/>
              <w:bidi w:val="0"/>
              <w:jc w:val="center"/>
              <w:rPr>
                <w:highlight w:val="none"/>
                <w:lang w:val="en-US" w:eastAsia="zh-CN"/>
              </w:rPr>
            </w:pPr>
            <w:r>
              <w:rPr>
                <w:highlight w:val="none"/>
              </w:rPr>
              <w:t>√</w:t>
            </w:r>
          </w:p>
        </w:tc>
        <w:tc>
          <w:tcPr>
            <w:tcW w:w="567" w:type="dxa"/>
            <w:shd w:val="clear" w:color="auto" w:fill="auto"/>
            <w:vAlign w:val="center"/>
          </w:tcPr>
          <w:p w14:paraId="4261A227">
            <w:pPr>
              <w:pStyle w:val="22"/>
              <w:bidi w:val="0"/>
              <w:jc w:val="center"/>
              <w:rPr>
                <w:highlight w:val="none"/>
                <w:lang w:val="en-US" w:eastAsia="zh-CN"/>
              </w:rPr>
            </w:pPr>
          </w:p>
        </w:tc>
        <w:tc>
          <w:tcPr>
            <w:tcW w:w="571" w:type="dxa"/>
            <w:shd w:val="clear" w:color="auto" w:fill="auto"/>
            <w:vAlign w:val="center"/>
          </w:tcPr>
          <w:p w14:paraId="4FDD367C">
            <w:pPr>
              <w:pStyle w:val="22"/>
              <w:bidi w:val="0"/>
              <w:jc w:val="center"/>
              <w:rPr>
                <w:highlight w:val="none"/>
                <w:lang w:val="en-US" w:eastAsia="zh-CN"/>
              </w:rPr>
            </w:pPr>
            <w:r>
              <w:rPr>
                <w:highlight w:val="none"/>
              </w:rPr>
              <w:t>√</w:t>
            </w:r>
          </w:p>
        </w:tc>
      </w:tr>
      <w:tr w14:paraId="091E90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5A25F3DB">
            <w:pPr>
              <w:pStyle w:val="22"/>
              <w:bidi w:val="0"/>
              <w:jc w:val="center"/>
              <w:rPr>
                <w:highlight w:val="none"/>
                <w:lang w:val="en-US" w:eastAsia="zh-CN"/>
              </w:rPr>
            </w:pPr>
            <w:r>
              <w:rPr>
                <w:highlight w:val="none"/>
              </w:rPr>
              <w:t>17</w:t>
            </w:r>
          </w:p>
        </w:tc>
        <w:tc>
          <w:tcPr>
            <w:tcW w:w="559" w:type="dxa"/>
            <w:vMerge w:val="continue"/>
            <w:vAlign w:val="center"/>
          </w:tcPr>
          <w:p w14:paraId="6ECAC0BC">
            <w:pPr>
              <w:pStyle w:val="22"/>
              <w:bidi w:val="0"/>
              <w:jc w:val="center"/>
              <w:rPr>
                <w:highlight w:val="none"/>
              </w:rPr>
            </w:pPr>
          </w:p>
        </w:tc>
        <w:tc>
          <w:tcPr>
            <w:tcW w:w="1557" w:type="dxa"/>
            <w:shd w:val="clear" w:color="auto" w:fill="auto"/>
            <w:vAlign w:val="center"/>
          </w:tcPr>
          <w:p w14:paraId="43A9902B">
            <w:pPr>
              <w:pStyle w:val="22"/>
              <w:bidi w:val="0"/>
              <w:jc w:val="center"/>
              <w:rPr>
                <w:highlight w:val="none"/>
                <w:lang w:val="en-US" w:eastAsia="en-US"/>
              </w:rPr>
            </w:pPr>
            <w:r>
              <w:rPr>
                <w:highlight w:val="none"/>
              </w:rPr>
              <w:t>地山雀</w:t>
            </w:r>
          </w:p>
        </w:tc>
        <w:tc>
          <w:tcPr>
            <w:tcW w:w="1749" w:type="dxa"/>
            <w:shd w:val="clear" w:color="auto" w:fill="auto"/>
            <w:vAlign w:val="center"/>
          </w:tcPr>
          <w:p w14:paraId="6F645C73">
            <w:pPr>
              <w:pStyle w:val="22"/>
              <w:bidi w:val="0"/>
              <w:jc w:val="center"/>
              <w:rPr>
                <w:i/>
                <w:iCs w:val="0"/>
                <w:highlight w:val="none"/>
              </w:rPr>
            </w:pPr>
            <w:r>
              <w:rPr>
                <w:i/>
                <w:iCs w:val="0"/>
                <w:highlight w:val="none"/>
              </w:rPr>
              <w:t>Pseudopodoces</w:t>
            </w:r>
          </w:p>
          <w:p w14:paraId="151E6530">
            <w:pPr>
              <w:pStyle w:val="22"/>
              <w:bidi w:val="0"/>
              <w:jc w:val="center"/>
              <w:rPr>
                <w:i/>
                <w:iCs w:val="0"/>
                <w:highlight w:val="none"/>
                <w:lang w:val="en-US" w:eastAsia="zh-CN"/>
              </w:rPr>
            </w:pPr>
            <w:r>
              <w:rPr>
                <w:i/>
                <w:iCs w:val="0"/>
                <w:highlight w:val="none"/>
              </w:rPr>
              <w:t>humilis</w:t>
            </w:r>
          </w:p>
        </w:tc>
        <w:tc>
          <w:tcPr>
            <w:tcW w:w="849" w:type="dxa"/>
            <w:shd w:val="clear" w:color="auto" w:fill="auto"/>
            <w:vAlign w:val="center"/>
          </w:tcPr>
          <w:p w14:paraId="64362895">
            <w:pPr>
              <w:pStyle w:val="22"/>
              <w:bidi w:val="0"/>
              <w:jc w:val="center"/>
              <w:rPr>
                <w:highlight w:val="none"/>
                <w:lang w:val="en-US" w:eastAsia="zh-CN"/>
              </w:rPr>
            </w:pPr>
          </w:p>
        </w:tc>
        <w:tc>
          <w:tcPr>
            <w:tcW w:w="567" w:type="dxa"/>
            <w:shd w:val="clear" w:color="auto" w:fill="auto"/>
            <w:vAlign w:val="center"/>
          </w:tcPr>
          <w:p w14:paraId="069C7546">
            <w:pPr>
              <w:pStyle w:val="22"/>
              <w:bidi w:val="0"/>
              <w:jc w:val="center"/>
              <w:rPr>
                <w:highlight w:val="none"/>
                <w:lang w:val="en-US" w:eastAsia="zh-CN"/>
              </w:rPr>
            </w:pPr>
          </w:p>
        </w:tc>
        <w:tc>
          <w:tcPr>
            <w:tcW w:w="708" w:type="dxa"/>
            <w:shd w:val="clear" w:color="auto" w:fill="auto"/>
            <w:vAlign w:val="center"/>
          </w:tcPr>
          <w:p w14:paraId="10FF4FA7">
            <w:pPr>
              <w:pStyle w:val="22"/>
              <w:bidi w:val="0"/>
              <w:jc w:val="center"/>
              <w:rPr>
                <w:highlight w:val="none"/>
                <w:lang w:val="en-US" w:eastAsia="zh-CN"/>
              </w:rPr>
            </w:pPr>
            <w:r>
              <w:rPr>
                <w:highlight w:val="none"/>
              </w:rPr>
              <w:t>LC</w:t>
            </w:r>
          </w:p>
        </w:tc>
        <w:tc>
          <w:tcPr>
            <w:tcW w:w="709" w:type="dxa"/>
            <w:shd w:val="clear" w:color="auto" w:fill="auto"/>
            <w:vAlign w:val="center"/>
          </w:tcPr>
          <w:p w14:paraId="5F0E5BC6">
            <w:pPr>
              <w:pStyle w:val="22"/>
              <w:bidi w:val="0"/>
              <w:jc w:val="center"/>
              <w:rPr>
                <w:highlight w:val="none"/>
                <w:lang w:val="en-US" w:eastAsia="zh-CN"/>
              </w:rPr>
            </w:pPr>
            <w:r>
              <w:rPr>
                <w:highlight w:val="none"/>
              </w:rPr>
              <w:t>√</w:t>
            </w:r>
          </w:p>
        </w:tc>
        <w:tc>
          <w:tcPr>
            <w:tcW w:w="567" w:type="dxa"/>
            <w:shd w:val="clear" w:color="auto" w:fill="auto"/>
            <w:vAlign w:val="center"/>
          </w:tcPr>
          <w:p w14:paraId="01B3D4BB">
            <w:pPr>
              <w:pStyle w:val="22"/>
              <w:bidi w:val="0"/>
              <w:jc w:val="center"/>
              <w:rPr>
                <w:highlight w:val="none"/>
                <w:lang w:val="en-US" w:eastAsia="zh-CN"/>
              </w:rPr>
            </w:pPr>
            <w:r>
              <w:rPr>
                <w:highlight w:val="none"/>
              </w:rPr>
              <w:t>√</w:t>
            </w:r>
          </w:p>
        </w:tc>
        <w:tc>
          <w:tcPr>
            <w:tcW w:w="571" w:type="dxa"/>
            <w:shd w:val="clear" w:color="auto" w:fill="auto"/>
            <w:vAlign w:val="center"/>
          </w:tcPr>
          <w:p w14:paraId="1A02A1D1">
            <w:pPr>
              <w:pStyle w:val="22"/>
              <w:bidi w:val="0"/>
              <w:jc w:val="center"/>
              <w:rPr>
                <w:highlight w:val="none"/>
                <w:lang w:val="en-US" w:eastAsia="zh-CN"/>
              </w:rPr>
            </w:pPr>
            <w:r>
              <w:rPr>
                <w:highlight w:val="none"/>
              </w:rPr>
              <w:t>√</w:t>
            </w:r>
          </w:p>
        </w:tc>
      </w:tr>
      <w:tr w14:paraId="75EF17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6AD108C7">
            <w:pPr>
              <w:pStyle w:val="22"/>
              <w:bidi w:val="0"/>
              <w:jc w:val="center"/>
              <w:rPr>
                <w:highlight w:val="none"/>
                <w:lang w:val="en-US" w:eastAsia="zh-CN"/>
              </w:rPr>
            </w:pPr>
            <w:r>
              <w:rPr>
                <w:highlight w:val="none"/>
              </w:rPr>
              <w:t>18</w:t>
            </w:r>
          </w:p>
        </w:tc>
        <w:tc>
          <w:tcPr>
            <w:tcW w:w="559" w:type="dxa"/>
            <w:vMerge w:val="continue"/>
            <w:vAlign w:val="center"/>
          </w:tcPr>
          <w:p w14:paraId="0D483296">
            <w:pPr>
              <w:pStyle w:val="22"/>
              <w:bidi w:val="0"/>
              <w:jc w:val="center"/>
              <w:rPr>
                <w:highlight w:val="none"/>
              </w:rPr>
            </w:pPr>
          </w:p>
        </w:tc>
        <w:tc>
          <w:tcPr>
            <w:tcW w:w="1557" w:type="dxa"/>
            <w:shd w:val="clear" w:color="auto" w:fill="auto"/>
            <w:vAlign w:val="center"/>
          </w:tcPr>
          <w:p w14:paraId="10F17E53">
            <w:pPr>
              <w:pStyle w:val="22"/>
              <w:bidi w:val="0"/>
              <w:jc w:val="center"/>
              <w:rPr>
                <w:highlight w:val="none"/>
                <w:lang w:val="en-US" w:eastAsia="en-US"/>
              </w:rPr>
            </w:pPr>
            <w:r>
              <w:rPr>
                <w:highlight w:val="none"/>
              </w:rPr>
              <w:t>凤头雀莺</w:t>
            </w:r>
          </w:p>
        </w:tc>
        <w:tc>
          <w:tcPr>
            <w:tcW w:w="1749" w:type="dxa"/>
            <w:shd w:val="clear" w:color="auto" w:fill="auto"/>
            <w:vAlign w:val="center"/>
          </w:tcPr>
          <w:p w14:paraId="63DE403C">
            <w:pPr>
              <w:pStyle w:val="22"/>
              <w:bidi w:val="0"/>
              <w:jc w:val="center"/>
              <w:rPr>
                <w:i/>
                <w:iCs w:val="0"/>
                <w:highlight w:val="none"/>
                <w:lang w:val="en-US" w:eastAsia="zh-CN"/>
              </w:rPr>
            </w:pPr>
            <w:r>
              <w:rPr>
                <w:i/>
                <w:iCs w:val="0"/>
                <w:highlight w:val="none"/>
              </w:rPr>
              <w:t>Leptopoecile elegans</w:t>
            </w:r>
          </w:p>
        </w:tc>
        <w:tc>
          <w:tcPr>
            <w:tcW w:w="849" w:type="dxa"/>
            <w:shd w:val="clear" w:color="auto" w:fill="auto"/>
            <w:vAlign w:val="center"/>
          </w:tcPr>
          <w:p w14:paraId="68D75FB8">
            <w:pPr>
              <w:pStyle w:val="22"/>
              <w:bidi w:val="0"/>
              <w:jc w:val="center"/>
              <w:rPr>
                <w:highlight w:val="none"/>
                <w:lang w:val="en-US" w:eastAsia="zh-CN"/>
              </w:rPr>
            </w:pPr>
          </w:p>
        </w:tc>
        <w:tc>
          <w:tcPr>
            <w:tcW w:w="567" w:type="dxa"/>
            <w:shd w:val="clear" w:color="auto" w:fill="auto"/>
            <w:vAlign w:val="center"/>
          </w:tcPr>
          <w:p w14:paraId="39161A8E">
            <w:pPr>
              <w:pStyle w:val="22"/>
              <w:bidi w:val="0"/>
              <w:jc w:val="center"/>
              <w:rPr>
                <w:highlight w:val="none"/>
                <w:lang w:val="en-US" w:eastAsia="zh-CN"/>
              </w:rPr>
            </w:pPr>
          </w:p>
        </w:tc>
        <w:tc>
          <w:tcPr>
            <w:tcW w:w="708" w:type="dxa"/>
            <w:shd w:val="clear" w:color="auto" w:fill="auto"/>
            <w:vAlign w:val="center"/>
          </w:tcPr>
          <w:p w14:paraId="507B7BEB">
            <w:pPr>
              <w:pStyle w:val="22"/>
              <w:bidi w:val="0"/>
              <w:jc w:val="center"/>
              <w:rPr>
                <w:highlight w:val="none"/>
                <w:lang w:val="en-US" w:eastAsia="zh-CN"/>
              </w:rPr>
            </w:pPr>
            <w:r>
              <w:rPr>
                <w:highlight w:val="none"/>
              </w:rPr>
              <w:t>NT</w:t>
            </w:r>
          </w:p>
        </w:tc>
        <w:tc>
          <w:tcPr>
            <w:tcW w:w="709" w:type="dxa"/>
            <w:shd w:val="clear" w:color="auto" w:fill="auto"/>
            <w:vAlign w:val="center"/>
          </w:tcPr>
          <w:p w14:paraId="1DF3788C">
            <w:pPr>
              <w:pStyle w:val="22"/>
              <w:bidi w:val="0"/>
              <w:jc w:val="center"/>
              <w:rPr>
                <w:highlight w:val="none"/>
                <w:lang w:val="en-US" w:eastAsia="zh-CN"/>
              </w:rPr>
            </w:pPr>
            <w:r>
              <w:rPr>
                <w:highlight w:val="none"/>
              </w:rPr>
              <w:t>√</w:t>
            </w:r>
          </w:p>
        </w:tc>
        <w:tc>
          <w:tcPr>
            <w:tcW w:w="567" w:type="dxa"/>
            <w:shd w:val="clear" w:color="auto" w:fill="auto"/>
            <w:vAlign w:val="center"/>
          </w:tcPr>
          <w:p w14:paraId="2D3A8FA8">
            <w:pPr>
              <w:pStyle w:val="22"/>
              <w:bidi w:val="0"/>
              <w:jc w:val="center"/>
              <w:rPr>
                <w:highlight w:val="none"/>
                <w:lang w:val="en-US" w:eastAsia="zh-CN"/>
              </w:rPr>
            </w:pPr>
          </w:p>
        </w:tc>
        <w:tc>
          <w:tcPr>
            <w:tcW w:w="571" w:type="dxa"/>
            <w:shd w:val="clear" w:color="auto" w:fill="auto"/>
            <w:vAlign w:val="center"/>
          </w:tcPr>
          <w:p w14:paraId="345B85EF">
            <w:pPr>
              <w:pStyle w:val="22"/>
              <w:bidi w:val="0"/>
              <w:jc w:val="center"/>
              <w:rPr>
                <w:highlight w:val="none"/>
                <w:lang w:val="en-US" w:eastAsia="zh-CN"/>
              </w:rPr>
            </w:pPr>
            <w:r>
              <w:rPr>
                <w:highlight w:val="none"/>
              </w:rPr>
              <w:t>√</w:t>
            </w:r>
          </w:p>
        </w:tc>
      </w:tr>
      <w:tr w14:paraId="5AB599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33126382">
            <w:pPr>
              <w:pStyle w:val="22"/>
              <w:bidi w:val="0"/>
              <w:jc w:val="center"/>
              <w:rPr>
                <w:highlight w:val="none"/>
                <w:lang w:val="en-US" w:eastAsia="zh-CN"/>
              </w:rPr>
            </w:pPr>
            <w:r>
              <w:rPr>
                <w:highlight w:val="none"/>
              </w:rPr>
              <w:t>19</w:t>
            </w:r>
          </w:p>
        </w:tc>
        <w:tc>
          <w:tcPr>
            <w:tcW w:w="559" w:type="dxa"/>
            <w:vMerge w:val="continue"/>
            <w:vAlign w:val="center"/>
          </w:tcPr>
          <w:p w14:paraId="2B46B0B2">
            <w:pPr>
              <w:pStyle w:val="22"/>
              <w:bidi w:val="0"/>
              <w:jc w:val="center"/>
              <w:rPr>
                <w:highlight w:val="none"/>
              </w:rPr>
            </w:pPr>
          </w:p>
        </w:tc>
        <w:tc>
          <w:tcPr>
            <w:tcW w:w="1557" w:type="dxa"/>
            <w:shd w:val="clear" w:color="auto" w:fill="auto"/>
            <w:vAlign w:val="center"/>
          </w:tcPr>
          <w:p w14:paraId="56D1C3F5">
            <w:pPr>
              <w:pStyle w:val="22"/>
              <w:bidi w:val="0"/>
              <w:jc w:val="center"/>
              <w:rPr>
                <w:highlight w:val="none"/>
                <w:lang w:val="en-US" w:eastAsia="en-US"/>
              </w:rPr>
            </w:pPr>
            <w:r>
              <w:rPr>
                <w:highlight w:val="none"/>
              </w:rPr>
              <w:t>眼纹噪鹛</w:t>
            </w:r>
          </w:p>
        </w:tc>
        <w:tc>
          <w:tcPr>
            <w:tcW w:w="1749" w:type="dxa"/>
            <w:shd w:val="clear" w:color="auto" w:fill="auto"/>
            <w:vAlign w:val="center"/>
          </w:tcPr>
          <w:p w14:paraId="3D9B6701">
            <w:pPr>
              <w:pStyle w:val="22"/>
              <w:bidi w:val="0"/>
              <w:jc w:val="center"/>
              <w:rPr>
                <w:i/>
                <w:iCs w:val="0"/>
                <w:highlight w:val="none"/>
              </w:rPr>
            </w:pPr>
            <w:r>
              <w:rPr>
                <w:i/>
                <w:iCs w:val="0"/>
                <w:highlight w:val="none"/>
              </w:rPr>
              <w:t>Ianthocincla</w:t>
            </w:r>
          </w:p>
          <w:p w14:paraId="46AFFF9A">
            <w:pPr>
              <w:pStyle w:val="22"/>
              <w:bidi w:val="0"/>
              <w:jc w:val="center"/>
              <w:rPr>
                <w:i/>
                <w:iCs w:val="0"/>
                <w:highlight w:val="none"/>
                <w:lang w:val="en-US" w:eastAsia="zh-CN"/>
              </w:rPr>
            </w:pPr>
            <w:r>
              <w:rPr>
                <w:i/>
                <w:iCs w:val="0"/>
                <w:highlight w:val="none"/>
              </w:rPr>
              <w:t>ocellatus</w:t>
            </w:r>
          </w:p>
        </w:tc>
        <w:tc>
          <w:tcPr>
            <w:tcW w:w="849" w:type="dxa"/>
            <w:shd w:val="clear" w:color="auto" w:fill="auto"/>
            <w:vAlign w:val="center"/>
          </w:tcPr>
          <w:p w14:paraId="6D56B0CF">
            <w:pPr>
              <w:pStyle w:val="22"/>
              <w:bidi w:val="0"/>
              <w:jc w:val="center"/>
              <w:rPr>
                <w:highlight w:val="none"/>
                <w:lang w:val="en-US" w:eastAsia="en-US"/>
              </w:rPr>
            </w:pPr>
            <w:r>
              <w:rPr>
                <w:highlight w:val="none"/>
              </w:rPr>
              <w:t>二级</w:t>
            </w:r>
          </w:p>
        </w:tc>
        <w:tc>
          <w:tcPr>
            <w:tcW w:w="567" w:type="dxa"/>
            <w:shd w:val="clear" w:color="auto" w:fill="auto"/>
            <w:vAlign w:val="center"/>
          </w:tcPr>
          <w:p w14:paraId="2986BA44">
            <w:pPr>
              <w:pStyle w:val="22"/>
              <w:bidi w:val="0"/>
              <w:jc w:val="center"/>
              <w:rPr>
                <w:highlight w:val="none"/>
                <w:lang w:val="en-US" w:eastAsia="zh-CN"/>
              </w:rPr>
            </w:pPr>
          </w:p>
        </w:tc>
        <w:tc>
          <w:tcPr>
            <w:tcW w:w="708" w:type="dxa"/>
            <w:shd w:val="clear" w:color="auto" w:fill="auto"/>
            <w:vAlign w:val="center"/>
          </w:tcPr>
          <w:p w14:paraId="136753DC">
            <w:pPr>
              <w:pStyle w:val="22"/>
              <w:bidi w:val="0"/>
              <w:jc w:val="center"/>
              <w:rPr>
                <w:highlight w:val="none"/>
                <w:lang w:val="en-US" w:eastAsia="zh-CN"/>
              </w:rPr>
            </w:pPr>
            <w:r>
              <w:rPr>
                <w:highlight w:val="none"/>
              </w:rPr>
              <w:t>NT</w:t>
            </w:r>
          </w:p>
        </w:tc>
        <w:tc>
          <w:tcPr>
            <w:tcW w:w="709" w:type="dxa"/>
            <w:shd w:val="clear" w:color="auto" w:fill="auto"/>
            <w:vAlign w:val="center"/>
          </w:tcPr>
          <w:p w14:paraId="2817394B">
            <w:pPr>
              <w:pStyle w:val="22"/>
              <w:bidi w:val="0"/>
              <w:jc w:val="center"/>
              <w:rPr>
                <w:highlight w:val="none"/>
                <w:lang w:val="en-US" w:eastAsia="zh-CN"/>
              </w:rPr>
            </w:pPr>
          </w:p>
        </w:tc>
        <w:tc>
          <w:tcPr>
            <w:tcW w:w="567" w:type="dxa"/>
            <w:shd w:val="clear" w:color="auto" w:fill="auto"/>
            <w:vAlign w:val="center"/>
          </w:tcPr>
          <w:p w14:paraId="6867241D">
            <w:pPr>
              <w:pStyle w:val="22"/>
              <w:bidi w:val="0"/>
              <w:jc w:val="center"/>
              <w:rPr>
                <w:highlight w:val="none"/>
                <w:lang w:val="en-US" w:eastAsia="zh-CN"/>
              </w:rPr>
            </w:pPr>
          </w:p>
        </w:tc>
        <w:tc>
          <w:tcPr>
            <w:tcW w:w="571" w:type="dxa"/>
            <w:shd w:val="clear" w:color="auto" w:fill="auto"/>
            <w:vAlign w:val="center"/>
          </w:tcPr>
          <w:p w14:paraId="1FDBEEB8">
            <w:pPr>
              <w:pStyle w:val="22"/>
              <w:bidi w:val="0"/>
              <w:jc w:val="center"/>
              <w:rPr>
                <w:highlight w:val="none"/>
                <w:lang w:val="en-US" w:eastAsia="zh-CN"/>
              </w:rPr>
            </w:pPr>
            <w:r>
              <w:rPr>
                <w:highlight w:val="none"/>
              </w:rPr>
              <w:t>√</w:t>
            </w:r>
          </w:p>
        </w:tc>
      </w:tr>
      <w:tr w14:paraId="494E39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40B37E4C">
            <w:pPr>
              <w:pStyle w:val="22"/>
              <w:bidi w:val="0"/>
              <w:jc w:val="center"/>
              <w:rPr>
                <w:highlight w:val="none"/>
                <w:lang w:val="en-US" w:eastAsia="zh-CN"/>
              </w:rPr>
            </w:pPr>
            <w:r>
              <w:rPr>
                <w:highlight w:val="none"/>
              </w:rPr>
              <w:t>20</w:t>
            </w:r>
          </w:p>
        </w:tc>
        <w:tc>
          <w:tcPr>
            <w:tcW w:w="559" w:type="dxa"/>
            <w:vMerge w:val="restart"/>
            <w:shd w:val="clear" w:color="auto" w:fill="auto"/>
            <w:vAlign w:val="center"/>
          </w:tcPr>
          <w:p w14:paraId="7A7DA810">
            <w:pPr>
              <w:pStyle w:val="22"/>
              <w:bidi w:val="0"/>
              <w:jc w:val="center"/>
              <w:rPr>
                <w:highlight w:val="none"/>
                <w:lang w:val="en-US" w:eastAsia="en-US"/>
              </w:rPr>
            </w:pPr>
            <w:r>
              <w:rPr>
                <w:highlight w:val="none"/>
              </w:rPr>
              <w:t>哺乳 纲</w:t>
            </w:r>
          </w:p>
        </w:tc>
        <w:tc>
          <w:tcPr>
            <w:tcW w:w="1557" w:type="dxa"/>
            <w:shd w:val="clear" w:color="auto" w:fill="auto"/>
            <w:vAlign w:val="center"/>
          </w:tcPr>
          <w:p w14:paraId="4528E600">
            <w:pPr>
              <w:pStyle w:val="22"/>
              <w:bidi w:val="0"/>
              <w:jc w:val="center"/>
              <w:rPr>
                <w:highlight w:val="none"/>
                <w:lang w:val="en-US" w:eastAsia="en-US"/>
              </w:rPr>
            </w:pPr>
            <w:r>
              <w:rPr>
                <w:highlight w:val="none"/>
              </w:rPr>
              <w:t>猕猴</w:t>
            </w:r>
          </w:p>
        </w:tc>
        <w:tc>
          <w:tcPr>
            <w:tcW w:w="1749" w:type="dxa"/>
            <w:shd w:val="clear" w:color="auto" w:fill="auto"/>
            <w:vAlign w:val="center"/>
          </w:tcPr>
          <w:p w14:paraId="7D4F1838">
            <w:pPr>
              <w:pStyle w:val="22"/>
              <w:bidi w:val="0"/>
              <w:jc w:val="center"/>
              <w:rPr>
                <w:i/>
                <w:iCs w:val="0"/>
                <w:highlight w:val="none"/>
                <w:lang w:val="en-US" w:eastAsia="zh-CN"/>
              </w:rPr>
            </w:pPr>
            <w:r>
              <w:rPr>
                <w:i/>
                <w:iCs w:val="0"/>
                <w:highlight w:val="none"/>
              </w:rPr>
              <w:t>Macaca mulatta</w:t>
            </w:r>
          </w:p>
        </w:tc>
        <w:tc>
          <w:tcPr>
            <w:tcW w:w="849" w:type="dxa"/>
            <w:shd w:val="clear" w:color="auto" w:fill="auto"/>
            <w:vAlign w:val="center"/>
          </w:tcPr>
          <w:p w14:paraId="645C34BD">
            <w:pPr>
              <w:pStyle w:val="22"/>
              <w:bidi w:val="0"/>
              <w:jc w:val="center"/>
              <w:rPr>
                <w:highlight w:val="none"/>
                <w:lang w:val="en-US" w:eastAsia="en-US"/>
              </w:rPr>
            </w:pPr>
            <w:r>
              <w:rPr>
                <w:highlight w:val="none"/>
              </w:rPr>
              <w:t>二级</w:t>
            </w:r>
          </w:p>
        </w:tc>
        <w:tc>
          <w:tcPr>
            <w:tcW w:w="567" w:type="dxa"/>
            <w:shd w:val="clear" w:color="auto" w:fill="auto"/>
            <w:vAlign w:val="center"/>
          </w:tcPr>
          <w:p w14:paraId="00F353D7">
            <w:pPr>
              <w:pStyle w:val="22"/>
              <w:bidi w:val="0"/>
              <w:jc w:val="center"/>
              <w:rPr>
                <w:highlight w:val="none"/>
                <w:lang w:val="en-US" w:eastAsia="zh-CN"/>
              </w:rPr>
            </w:pPr>
          </w:p>
        </w:tc>
        <w:tc>
          <w:tcPr>
            <w:tcW w:w="708" w:type="dxa"/>
            <w:shd w:val="clear" w:color="auto" w:fill="auto"/>
            <w:vAlign w:val="center"/>
          </w:tcPr>
          <w:p w14:paraId="583F886B">
            <w:pPr>
              <w:pStyle w:val="22"/>
              <w:bidi w:val="0"/>
              <w:jc w:val="center"/>
              <w:rPr>
                <w:highlight w:val="none"/>
                <w:lang w:val="en-US" w:eastAsia="zh-CN"/>
              </w:rPr>
            </w:pPr>
            <w:r>
              <w:rPr>
                <w:highlight w:val="none"/>
              </w:rPr>
              <w:t>LC</w:t>
            </w:r>
          </w:p>
        </w:tc>
        <w:tc>
          <w:tcPr>
            <w:tcW w:w="709" w:type="dxa"/>
            <w:shd w:val="clear" w:color="auto" w:fill="auto"/>
            <w:vAlign w:val="center"/>
          </w:tcPr>
          <w:p w14:paraId="58CED30A">
            <w:pPr>
              <w:pStyle w:val="22"/>
              <w:bidi w:val="0"/>
              <w:jc w:val="center"/>
              <w:rPr>
                <w:highlight w:val="none"/>
                <w:lang w:val="en-US" w:eastAsia="zh-CN"/>
              </w:rPr>
            </w:pPr>
          </w:p>
        </w:tc>
        <w:tc>
          <w:tcPr>
            <w:tcW w:w="567" w:type="dxa"/>
            <w:shd w:val="clear" w:color="auto" w:fill="auto"/>
            <w:vAlign w:val="center"/>
          </w:tcPr>
          <w:p w14:paraId="51A72409">
            <w:pPr>
              <w:pStyle w:val="22"/>
              <w:bidi w:val="0"/>
              <w:jc w:val="center"/>
              <w:rPr>
                <w:highlight w:val="none"/>
                <w:lang w:val="en-US" w:eastAsia="zh-CN"/>
              </w:rPr>
            </w:pPr>
          </w:p>
        </w:tc>
        <w:tc>
          <w:tcPr>
            <w:tcW w:w="571" w:type="dxa"/>
            <w:shd w:val="clear" w:color="auto" w:fill="auto"/>
            <w:vAlign w:val="center"/>
          </w:tcPr>
          <w:p w14:paraId="21C07105">
            <w:pPr>
              <w:pStyle w:val="22"/>
              <w:bidi w:val="0"/>
              <w:jc w:val="center"/>
              <w:rPr>
                <w:highlight w:val="none"/>
                <w:lang w:val="en-US" w:eastAsia="zh-CN"/>
              </w:rPr>
            </w:pPr>
            <w:r>
              <w:rPr>
                <w:highlight w:val="none"/>
              </w:rPr>
              <w:t>√</w:t>
            </w:r>
          </w:p>
        </w:tc>
      </w:tr>
      <w:tr w14:paraId="7D911B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1AA566E8">
            <w:pPr>
              <w:pStyle w:val="22"/>
              <w:bidi w:val="0"/>
              <w:jc w:val="center"/>
              <w:rPr>
                <w:highlight w:val="none"/>
                <w:lang w:val="en-US" w:eastAsia="zh-CN"/>
              </w:rPr>
            </w:pPr>
            <w:r>
              <w:rPr>
                <w:highlight w:val="none"/>
              </w:rPr>
              <w:t>21</w:t>
            </w:r>
          </w:p>
        </w:tc>
        <w:tc>
          <w:tcPr>
            <w:tcW w:w="559" w:type="dxa"/>
            <w:vMerge w:val="continue"/>
            <w:vAlign w:val="center"/>
          </w:tcPr>
          <w:p w14:paraId="20E2FAD4">
            <w:pPr>
              <w:pStyle w:val="22"/>
              <w:bidi w:val="0"/>
              <w:jc w:val="center"/>
              <w:rPr>
                <w:highlight w:val="none"/>
              </w:rPr>
            </w:pPr>
          </w:p>
        </w:tc>
        <w:tc>
          <w:tcPr>
            <w:tcW w:w="1557" w:type="dxa"/>
            <w:shd w:val="clear" w:color="auto" w:fill="auto"/>
            <w:vAlign w:val="center"/>
          </w:tcPr>
          <w:p w14:paraId="7ADC3CF4">
            <w:pPr>
              <w:pStyle w:val="22"/>
              <w:bidi w:val="0"/>
              <w:jc w:val="center"/>
              <w:rPr>
                <w:highlight w:val="none"/>
                <w:lang w:val="en-US" w:eastAsia="en-US"/>
              </w:rPr>
            </w:pPr>
            <w:r>
              <w:rPr>
                <w:highlight w:val="none"/>
              </w:rPr>
              <w:t>川西鼠兔</w:t>
            </w:r>
          </w:p>
        </w:tc>
        <w:tc>
          <w:tcPr>
            <w:tcW w:w="1749" w:type="dxa"/>
            <w:shd w:val="clear" w:color="auto" w:fill="auto"/>
            <w:vAlign w:val="center"/>
          </w:tcPr>
          <w:p w14:paraId="3C2C651D">
            <w:pPr>
              <w:pStyle w:val="22"/>
              <w:bidi w:val="0"/>
              <w:jc w:val="center"/>
              <w:rPr>
                <w:i/>
                <w:iCs w:val="0"/>
                <w:highlight w:val="none"/>
                <w:lang w:val="en-US" w:eastAsia="zh-CN"/>
              </w:rPr>
            </w:pPr>
            <w:r>
              <w:rPr>
                <w:i/>
                <w:iCs w:val="0"/>
                <w:highlight w:val="none"/>
              </w:rPr>
              <w:t>Ochotona gloveri</w:t>
            </w:r>
          </w:p>
        </w:tc>
        <w:tc>
          <w:tcPr>
            <w:tcW w:w="849" w:type="dxa"/>
            <w:shd w:val="clear" w:color="auto" w:fill="auto"/>
            <w:vAlign w:val="center"/>
          </w:tcPr>
          <w:p w14:paraId="3ED1F621">
            <w:pPr>
              <w:pStyle w:val="22"/>
              <w:bidi w:val="0"/>
              <w:jc w:val="center"/>
              <w:rPr>
                <w:highlight w:val="none"/>
                <w:lang w:val="en-US" w:eastAsia="zh-CN"/>
              </w:rPr>
            </w:pPr>
          </w:p>
        </w:tc>
        <w:tc>
          <w:tcPr>
            <w:tcW w:w="567" w:type="dxa"/>
            <w:shd w:val="clear" w:color="auto" w:fill="auto"/>
            <w:vAlign w:val="center"/>
          </w:tcPr>
          <w:p w14:paraId="281C85D2">
            <w:pPr>
              <w:pStyle w:val="22"/>
              <w:bidi w:val="0"/>
              <w:jc w:val="center"/>
              <w:rPr>
                <w:highlight w:val="none"/>
                <w:lang w:val="en-US" w:eastAsia="zh-CN"/>
              </w:rPr>
            </w:pPr>
          </w:p>
        </w:tc>
        <w:tc>
          <w:tcPr>
            <w:tcW w:w="708" w:type="dxa"/>
            <w:shd w:val="clear" w:color="auto" w:fill="auto"/>
            <w:vAlign w:val="center"/>
          </w:tcPr>
          <w:p w14:paraId="7E085B4D">
            <w:pPr>
              <w:pStyle w:val="22"/>
              <w:bidi w:val="0"/>
              <w:jc w:val="center"/>
              <w:rPr>
                <w:highlight w:val="none"/>
                <w:lang w:val="en-US" w:eastAsia="zh-CN"/>
              </w:rPr>
            </w:pPr>
            <w:r>
              <w:rPr>
                <w:highlight w:val="none"/>
              </w:rPr>
              <w:t>LC</w:t>
            </w:r>
          </w:p>
        </w:tc>
        <w:tc>
          <w:tcPr>
            <w:tcW w:w="709" w:type="dxa"/>
            <w:shd w:val="clear" w:color="auto" w:fill="auto"/>
            <w:vAlign w:val="center"/>
          </w:tcPr>
          <w:p w14:paraId="3B1D4D5B">
            <w:pPr>
              <w:pStyle w:val="22"/>
              <w:bidi w:val="0"/>
              <w:jc w:val="center"/>
              <w:rPr>
                <w:highlight w:val="none"/>
                <w:lang w:val="en-US" w:eastAsia="zh-CN"/>
              </w:rPr>
            </w:pPr>
            <w:r>
              <w:rPr>
                <w:highlight w:val="none"/>
              </w:rPr>
              <w:t>√</w:t>
            </w:r>
          </w:p>
        </w:tc>
        <w:tc>
          <w:tcPr>
            <w:tcW w:w="567" w:type="dxa"/>
            <w:shd w:val="clear" w:color="auto" w:fill="auto"/>
            <w:vAlign w:val="center"/>
          </w:tcPr>
          <w:p w14:paraId="1B7F0F43">
            <w:pPr>
              <w:pStyle w:val="22"/>
              <w:bidi w:val="0"/>
              <w:jc w:val="center"/>
              <w:rPr>
                <w:highlight w:val="none"/>
                <w:lang w:val="en-US" w:eastAsia="zh-CN"/>
              </w:rPr>
            </w:pPr>
            <w:r>
              <w:rPr>
                <w:highlight w:val="none"/>
              </w:rPr>
              <w:t>√</w:t>
            </w:r>
          </w:p>
        </w:tc>
        <w:tc>
          <w:tcPr>
            <w:tcW w:w="571" w:type="dxa"/>
            <w:shd w:val="clear" w:color="auto" w:fill="auto"/>
            <w:vAlign w:val="center"/>
          </w:tcPr>
          <w:p w14:paraId="45A30BFD">
            <w:pPr>
              <w:pStyle w:val="22"/>
              <w:bidi w:val="0"/>
              <w:jc w:val="center"/>
              <w:rPr>
                <w:highlight w:val="none"/>
                <w:lang w:val="en-US" w:eastAsia="zh-CN"/>
              </w:rPr>
            </w:pPr>
          </w:p>
        </w:tc>
      </w:tr>
      <w:tr w14:paraId="754B1D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359DB149">
            <w:pPr>
              <w:pStyle w:val="22"/>
              <w:bidi w:val="0"/>
              <w:jc w:val="center"/>
              <w:rPr>
                <w:highlight w:val="none"/>
                <w:lang w:val="en-US" w:eastAsia="zh-CN"/>
              </w:rPr>
            </w:pPr>
            <w:r>
              <w:rPr>
                <w:highlight w:val="none"/>
              </w:rPr>
              <w:t>22</w:t>
            </w:r>
          </w:p>
        </w:tc>
        <w:tc>
          <w:tcPr>
            <w:tcW w:w="559" w:type="dxa"/>
            <w:vMerge w:val="continue"/>
            <w:vAlign w:val="center"/>
          </w:tcPr>
          <w:p w14:paraId="442512DE">
            <w:pPr>
              <w:pStyle w:val="22"/>
              <w:bidi w:val="0"/>
              <w:jc w:val="center"/>
              <w:rPr>
                <w:highlight w:val="none"/>
              </w:rPr>
            </w:pPr>
          </w:p>
        </w:tc>
        <w:tc>
          <w:tcPr>
            <w:tcW w:w="1557" w:type="dxa"/>
            <w:shd w:val="clear" w:color="auto" w:fill="auto"/>
            <w:vAlign w:val="center"/>
          </w:tcPr>
          <w:p w14:paraId="0A64339F">
            <w:pPr>
              <w:pStyle w:val="22"/>
              <w:bidi w:val="0"/>
              <w:jc w:val="center"/>
              <w:rPr>
                <w:highlight w:val="none"/>
                <w:lang w:val="en-US" w:eastAsia="en-US"/>
              </w:rPr>
            </w:pPr>
            <w:r>
              <w:rPr>
                <w:highlight w:val="none"/>
              </w:rPr>
              <w:t>川西白腹鼠</w:t>
            </w:r>
          </w:p>
        </w:tc>
        <w:tc>
          <w:tcPr>
            <w:tcW w:w="1749" w:type="dxa"/>
            <w:shd w:val="clear" w:color="auto" w:fill="auto"/>
            <w:vAlign w:val="center"/>
          </w:tcPr>
          <w:p w14:paraId="451ADA44">
            <w:pPr>
              <w:pStyle w:val="22"/>
              <w:bidi w:val="0"/>
              <w:jc w:val="center"/>
              <w:rPr>
                <w:i/>
                <w:iCs w:val="0"/>
                <w:highlight w:val="none"/>
                <w:lang w:val="en-US" w:eastAsia="zh-CN"/>
              </w:rPr>
            </w:pPr>
            <w:r>
              <w:rPr>
                <w:i/>
                <w:iCs w:val="0"/>
                <w:highlight w:val="none"/>
              </w:rPr>
              <w:t>Niviventer excelsior</w:t>
            </w:r>
          </w:p>
        </w:tc>
        <w:tc>
          <w:tcPr>
            <w:tcW w:w="849" w:type="dxa"/>
            <w:shd w:val="clear" w:color="auto" w:fill="auto"/>
            <w:vAlign w:val="center"/>
          </w:tcPr>
          <w:p w14:paraId="3701C50C">
            <w:pPr>
              <w:pStyle w:val="22"/>
              <w:bidi w:val="0"/>
              <w:jc w:val="center"/>
              <w:rPr>
                <w:highlight w:val="none"/>
                <w:lang w:val="en-US" w:eastAsia="zh-CN"/>
              </w:rPr>
            </w:pPr>
          </w:p>
        </w:tc>
        <w:tc>
          <w:tcPr>
            <w:tcW w:w="567" w:type="dxa"/>
            <w:shd w:val="clear" w:color="auto" w:fill="auto"/>
            <w:vAlign w:val="center"/>
          </w:tcPr>
          <w:p w14:paraId="1347666F">
            <w:pPr>
              <w:pStyle w:val="22"/>
              <w:bidi w:val="0"/>
              <w:jc w:val="center"/>
              <w:rPr>
                <w:highlight w:val="none"/>
                <w:lang w:val="en-US" w:eastAsia="zh-CN"/>
              </w:rPr>
            </w:pPr>
          </w:p>
        </w:tc>
        <w:tc>
          <w:tcPr>
            <w:tcW w:w="708" w:type="dxa"/>
            <w:shd w:val="clear" w:color="auto" w:fill="auto"/>
            <w:vAlign w:val="center"/>
          </w:tcPr>
          <w:p w14:paraId="732620F1">
            <w:pPr>
              <w:pStyle w:val="22"/>
              <w:bidi w:val="0"/>
              <w:jc w:val="center"/>
              <w:rPr>
                <w:highlight w:val="none"/>
                <w:lang w:val="en-US" w:eastAsia="zh-CN"/>
              </w:rPr>
            </w:pPr>
            <w:r>
              <w:rPr>
                <w:highlight w:val="none"/>
              </w:rPr>
              <w:t>LC</w:t>
            </w:r>
          </w:p>
        </w:tc>
        <w:tc>
          <w:tcPr>
            <w:tcW w:w="709" w:type="dxa"/>
            <w:shd w:val="clear" w:color="auto" w:fill="auto"/>
            <w:vAlign w:val="center"/>
          </w:tcPr>
          <w:p w14:paraId="75A4E49E">
            <w:pPr>
              <w:pStyle w:val="22"/>
              <w:bidi w:val="0"/>
              <w:jc w:val="center"/>
              <w:rPr>
                <w:highlight w:val="none"/>
                <w:lang w:val="en-US" w:eastAsia="zh-CN"/>
              </w:rPr>
            </w:pPr>
            <w:r>
              <w:rPr>
                <w:highlight w:val="none"/>
              </w:rPr>
              <w:t>√</w:t>
            </w:r>
          </w:p>
        </w:tc>
        <w:tc>
          <w:tcPr>
            <w:tcW w:w="567" w:type="dxa"/>
            <w:shd w:val="clear" w:color="auto" w:fill="auto"/>
            <w:vAlign w:val="center"/>
          </w:tcPr>
          <w:p w14:paraId="5DF08796">
            <w:pPr>
              <w:pStyle w:val="22"/>
              <w:bidi w:val="0"/>
              <w:jc w:val="center"/>
              <w:rPr>
                <w:highlight w:val="none"/>
                <w:lang w:val="en-US" w:eastAsia="zh-CN"/>
              </w:rPr>
            </w:pPr>
          </w:p>
        </w:tc>
        <w:tc>
          <w:tcPr>
            <w:tcW w:w="571" w:type="dxa"/>
            <w:shd w:val="clear" w:color="auto" w:fill="auto"/>
            <w:vAlign w:val="center"/>
          </w:tcPr>
          <w:p w14:paraId="1E628186">
            <w:pPr>
              <w:pStyle w:val="22"/>
              <w:bidi w:val="0"/>
              <w:jc w:val="center"/>
              <w:rPr>
                <w:highlight w:val="none"/>
                <w:lang w:val="en-US" w:eastAsia="zh-CN"/>
              </w:rPr>
            </w:pPr>
            <w:r>
              <w:rPr>
                <w:highlight w:val="none"/>
              </w:rPr>
              <w:t>√</w:t>
            </w:r>
          </w:p>
        </w:tc>
      </w:tr>
      <w:tr w14:paraId="5D543B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42F9E161">
            <w:pPr>
              <w:pStyle w:val="22"/>
              <w:bidi w:val="0"/>
              <w:jc w:val="center"/>
              <w:rPr>
                <w:highlight w:val="none"/>
                <w:lang w:val="en-US" w:eastAsia="zh-CN"/>
              </w:rPr>
            </w:pPr>
            <w:r>
              <w:rPr>
                <w:highlight w:val="none"/>
              </w:rPr>
              <w:t>23</w:t>
            </w:r>
          </w:p>
        </w:tc>
        <w:tc>
          <w:tcPr>
            <w:tcW w:w="559" w:type="dxa"/>
            <w:vMerge w:val="continue"/>
            <w:vAlign w:val="center"/>
          </w:tcPr>
          <w:p w14:paraId="2403234A">
            <w:pPr>
              <w:pStyle w:val="22"/>
              <w:bidi w:val="0"/>
              <w:jc w:val="center"/>
              <w:rPr>
                <w:highlight w:val="none"/>
              </w:rPr>
            </w:pPr>
          </w:p>
        </w:tc>
        <w:tc>
          <w:tcPr>
            <w:tcW w:w="1557" w:type="dxa"/>
            <w:shd w:val="clear" w:color="auto" w:fill="auto"/>
            <w:vAlign w:val="center"/>
          </w:tcPr>
          <w:p w14:paraId="5A2BCD43">
            <w:pPr>
              <w:pStyle w:val="22"/>
              <w:bidi w:val="0"/>
              <w:jc w:val="center"/>
              <w:rPr>
                <w:highlight w:val="none"/>
                <w:lang w:val="en-US" w:eastAsia="en-US"/>
              </w:rPr>
            </w:pPr>
            <w:r>
              <w:rPr>
                <w:highlight w:val="none"/>
              </w:rPr>
              <w:t>高原松田鼠</w:t>
            </w:r>
          </w:p>
        </w:tc>
        <w:tc>
          <w:tcPr>
            <w:tcW w:w="1749" w:type="dxa"/>
            <w:shd w:val="clear" w:color="auto" w:fill="auto"/>
            <w:vAlign w:val="center"/>
          </w:tcPr>
          <w:p w14:paraId="757DDDD0">
            <w:pPr>
              <w:pStyle w:val="22"/>
              <w:bidi w:val="0"/>
              <w:jc w:val="center"/>
              <w:rPr>
                <w:i/>
                <w:iCs w:val="0"/>
                <w:highlight w:val="none"/>
                <w:lang w:val="en-US" w:eastAsia="zh-CN"/>
              </w:rPr>
            </w:pPr>
            <w:r>
              <w:rPr>
                <w:i/>
                <w:iCs w:val="0"/>
                <w:highlight w:val="none"/>
              </w:rPr>
              <w:t>Neodon irene</w:t>
            </w:r>
          </w:p>
        </w:tc>
        <w:tc>
          <w:tcPr>
            <w:tcW w:w="849" w:type="dxa"/>
            <w:shd w:val="clear" w:color="auto" w:fill="auto"/>
            <w:vAlign w:val="center"/>
          </w:tcPr>
          <w:p w14:paraId="040023B6">
            <w:pPr>
              <w:pStyle w:val="22"/>
              <w:bidi w:val="0"/>
              <w:jc w:val="center"/>
              <w:rPr>
                <w:highlight w:val="none"/>
                <w:lang w:val="en-US" w:eastAsia="zh-CN"/>
              </w:rPr>
            </w:pPr>
          </w:p>
        </w:tc>
        <w:tc>
          <w:tcPr>
            <w:tcW w:w="567" w:type="dxa"/>
            <w:shd w:val="clear" w:color="auto" w:fill="auto"/>
            <w:vAlign w:val="center"/>
          </w:tcPr>
          <w:p w14:paraId="3A68F0CC">
            <w:pPr>
              <w:pStyle w:val="22"/>
              <w:bidi w:val="0"/>
              <w:jc w:val="center"/>
              <w:rPr>
                <w:highlight w:val="none"/>
                <w:lang w:val="en-US" w:eastAsia="zh-CN"/>
              </w:rPr>
            </w:pPr>
          </w:p>
        </w:tc>
        <w:tc>
          <w:tcPr>
            <w:tcW w:w="708" w:type="dxa"/>
            <w:shd w:val="clear" w:color="auto" w:fill="auto"/>
            <w:vAlign w:val="center"/>
          </w:tcPr>
          <w:p w14:paraId="7EB4CFB1">
            <w:pPr>
              <w:pStyle w:val="22"/>
              <w:bidi w:val="0"/>
              <w:jc w:val="center"/>
              <w:rPr>
                <w:highlight w:val="none"/>
                <w:lang w:val="en-US" w:eastAsia="zh-CN"/>
              </w:rPr>
            </w:pPr>
            <w:r>
              <w:rPr>
                <w:highlight w:val="none"/>
              </w:rPr>
              <w:t>LC</w:t>
            </w:r>
          </w:p>
        </w:tc>
        <w:tc>
          <w:tcPr>
            <w:tcW w:w="709" w:type="dxa"/>
            <w:shd w:val="clear" w:color="auto" w:fill="auto"/>
            <w:vAlign w:val="center"/>
          </w:tcPr>
          <w:p w14:paraId="1F31204B">
            <w:pPr>
              <w:pStyle w:val="22"/>
              <w:bidi w:val="0"/>
              <w:jc w:val="center"/>
              <w:rPr>
                <w:highlight w:val="none"/>
                <w:lang w:val="en-US" w:eastAsia="zh-CN"/>
              </w:rPr>
            </w:pPr>
            <w:r>
              <w:rPr>
                <w:highlight w:val="none"/>
              </w:rPr>
              <w:t>√</w:t>
            </w:r>
          </w:p>
        </w:tc>
        <w:tc>
          <w:tcPr>
            <w:tcW w:w="567" w:type="dxa"/>
            <w:shd w:val="clear" w:color="auto" w:fill="auto"/>
            <w:vAlign w:val="center"/>
          </w:tcPr>
          <w:p w14:paraId="6F9FDB57">
            <w:pPr>
              <w:pStyle w:val="22"/>
              <w:bidi w:val="0"/>
              <w:jc w:val="center"/>
              <w:rPr>
                <w:highlight w:val="none"/>
                <w:lang w:val="en-US" w:eastAsia="zh-CN"/>
              </w:rPr>
            </w:pPr>
          </w:p>
        </w:tc>
        <w:tc>
          <w:tcPr>
            <w:tcW w:w="571" w:type="dxa"/>
            <w:shd w:val="clear" w:color="auto" w:fill="auto"/>
            <w:vAlign w:val="center"/>
          </w:tcPr>
          <w:p w14:paraId="237A3BBC">
            <w:pPr>
              <w:pStyle w:val="22"/>
              <w:bidi w:val="0"/>
              <w:jc w:val="center"/>
              <w:rPr>
                <w:highlight w:val="none"/>
                <w:lang w:val="en-US" w:eastAsia="zh-CN"/>
              </w:rPr>
            </w:pPr>
            <w:r>
              <w:rPr>
                <w:highlight w:val="none"/>
              </w:rPr>
              <w:t>√</w:t>
            </w:r>
          </w:p>
        </w:tc>
      </w:tr>
      <w:tr w14:paraId="58EC77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0254B9DE">
            <w:pPr>
              <w:pStyle w:val="22"/>
              <w:bidi w:val="0"/>
              <w:jc w:val="center"/>
              <w:rPr>
                <w:highlight w:val="none"/>
                <w:lang w:val="en-US" w:eastAsia="zh-CN"/>
              </w:rPr>
            </w:pPr>
            <w:r>
              <w:rPr>
                <w:highlight w:val="none"/>
              </w:rPr>
              <w:t>24</w:t>
            </w:r>
          </w:p>
        </w:tc>
        <w:tc>
          <w:tcPr>
            <w:tcW w:w="559" w:type="dxa"/>
            <w:vMerge w:val="continue"/>
            <w:vAlign w:val="center"/>
          </w:tcPr>
          <w:p w14:paraId="0C020B9B">
            <w:pPr>
              <w:pStyle w:val="22"/>
              <w:bidi w:val="0"/>
              <w:jc w:val="center"/>
              <w:rPr>
                <w:highlight w:val="none"/>
              </w:rPr>
            </w:pPr>
          </w:p>
        </w:tc>
        <w:tc>
          <w:tcPr>
            <w:tcW w:w="1557" w:type="dxa"/>
            <w:shd w:val="clear" w:color="auto" w:fill="auto"/>
            <w:vAlign w:val="center"/>
          </w:tcPr>
          <w:p w14:paraId="14A03EAF">
            <w:pPr>
              <w:pStyle w:val="22"/>
              <w:bidi w:val="0"/>
              <w:jc w:val="center"/>
              <w:rPr>
                <w:highlight w:val="none"/>
                <w:lang w:val="en-US" w:eastAsia="en-US"/>
              </w:rPr>
            </w:pPr>
            <w:r>
              <w:rPr>
                <w:highlight w:val="none"/>
              </w:rPr>
              <w:t>沟牙鼯鼠</w:t>
            </w:r>
          </w:p>
        </w:tc>
        <w:tc>
          <w:tcPr>
            <w:tcW w:w="1749" w:type="dxa"/>
            <w:shd w:val="clear" w:color="auto" w:fill="auto"/>
            <w:vAlign w:val="center"/>
          </w:tcPr>
          <w:p w14:paraId="79D42E2D">
            <w:pPr>
              <w:pStyle w:val="22"/>
              <w:bidi w:val="0"/>
              <w:jc w:val="center"/>
              <w:rPr>
                <w:i/>
                <w:iCs w:val="0"/>
                <w:highlight w:val="none"/>
                <w:lang w:val="en-US" w:eastAsia="zh-CN"/>
              </w:rPr>
            </w:pPr>
            <w:r>
              <w:rPr>
                <w:i/>
                <w:iCs w:val="0"/>
                <w:highlight w:val="none"/>
              </w:rPr>
              <w:t>Aeretes melanopterus</w:t>
            </w:r>
          </w:p>
        </w:tc>
        <w:tc>
          <w:tcPr>
            <w:tcW w:w="849" w:type="dxa"/>
            <w:shd w:val="clear" w:color="auto" w:fill="auto"/>
            <w:vAlign w:val="center"/>
          </w:tcPr>
          <w:p w14:paraId="26CFE1DD">
            <w:pPr>
              <w:pStyle w:val="22"/>
              <w:bidi w:val="0"/>
              <w:jc w:val="center"/>
              <w:rPr>
                <w:highlight w:val="none"/>
                <w:lang w:val="en-US" w:eastAsia="zh-CN"/>
              </w:rPr>
            </w:pPr>
          </w:p>
        </w:tc>
        <w:tc>
          <w:tcPr>
            <w:tcW w:w="567" w:type="dxa"/>
            <w:shd w:val="clear" w:color="auto" w:fill="auto"/>
            <w:vAlign w:val="center"/>
          </w:tcPr>
          <w:p w14:paraId="25ACF5BA">
            <w:pPr>
              <w:pStyle w:val="22"/>
              <w:bidi w:val="0"/>
              <w:jc w:val="center"/>
              <w:rPr>
                <w:highlight w:val="none"/>
                <w:lang w:val="en-US" w:eastAsia="zh-CN"/>
              </w:rPr>
            </w:pPr>
            <w:r>
              <w:rPr>
                <w:highlight w:val="none"/>
              </w:rPr>
              <w:t>√</w:t>
            </w:r>
          </w:p>
        </w:tc>
        <w:tc>
          <w:tcPr>
            <w:tcW w:w="708" w:type="dxa"/>
            <w:shd w:val="clear" w:color="auto" w:fill="auto"/>
            <w:vAlign w:val="center"/>
          </w:tcPr>
          <w:p w14:paraId="3DC3155A">
            <w:pPr>
              <w:pStyle w:val="22"/>
              <w:bidi w:val="0"/>
              <w:jc w:val="center"/>
              <w:rPr>
                <w:highlight w:val="none"/>
                <w:lang w:val="en-US" w:eastAsia="zh-CN"/>
              </w:rPr>
            </w:pPr>
            <w:r>
              <w:rPr>
                <w:highlight w:val="none"/>
              </w:rPr>
              <w:t>NT</w:t>
            </w:r>
          </w:p>
        </w:tc>
        <w:tc>
          <w:tcPr>
            <w:tcW w:w="709" w:type="dxa"/>
            <w:shd w:val="clear" w:color="auto" w:fill="auto"/>
            <w:vAlign w:val="center"/>
          </w:tcPr>
          <w:p w14:paraId="77E4BF9B">
            <w:pPr>
              <w:pStyle w:val="22"/>
              <w:bidi w:val="0"/>
              <w:jc w:val="center"/>
              <w:rPr>
                <w:highlight w:val="none"/>
                <w:lang w:val="en-US" w:eastAsia="zh-CN"/>
              </w:rPr>
            </w:pPr>
            <w:r>
              <w:rPr>
                <w:highlight w:val="none"/>
              </w:rPr>
              <w:t>√</w:t>
            </w:r>
          </w:p>
        </w:tc>
        <w:tc>
          <w:tcPr>
            <w:tcW w:w="567" w:type="dxa"/>
            <w:shd w:val="clear" w:color="auto" w:fill="auto"/>
            <w:vAlign w:val="center"/>
          </w:tcPr>
          <w:p w14:paraId="3F0927B6">
            <w:pPr>
              <w:pStyle w:val="22"/>
              <w:bidi w:val="0"/>
              <w:jc w:val="center"/>
              <w:rPr>
                <w:highlight w:val="none"/>
                <w:lang w:val="en-US" w:eastAsia="zh-CN"/>
              </w:rPr>
            </w:pPr>
          </w:p>
        </w:tc>
        <w:tc>
          <w:tcPr>
            <w:tcW w:w="571" w:type="dxa"/>
            <w:shd w:val="clear" w:color="auto" w:fill="auto"/>
            <w:vAlign w:val="center"/>
          </w:tcPr>
          <w:p w14:paraId="5D9FAF1E">
            <w:pPr>
              <w:pStyle w:val="22"/>
              <w:bidi w:val="0"/>
              <w:jc w:val="center"/>
              <w:rPr>
                <w:highlight w:val="none"/>
                <w:lang w:val="en-US" w:eastAsia="zh-CN"/>
              </w:rPr>
            </w:pPr>
            <w:r>
              <w:rPr>
                <w:highlight w:val="none"/>
              </w:rPr>
              <w:t>√</w:t>
            </w:r>
          </w:p>
        </w:tc>
      </w:tr>
      <w:tr w14:paraId="3372EF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4B1D91CE">
            <w:pPr>
              <w:pStyle w:val="22"/>
              <w:bidi w:val="0"/>
              <w:jc w:val="center"/>
              <w:rPr>
                <w:highlight w:val="none"/>
                <w:lang w:val="en-US" w:eastAsia="zh-CN"/>
              </w:rPr>
            </w:pPr>
            <w:r>
              <w:rPr>
                <w:highlight w:val="none"/>
              </w:rPr>
              <w:t>25</w:t>
            </w:r>
          </w:p>
        </w:tc>
        <w:tc>
          <w:tcPr>
            <w:tcW w:w="559" w:type="dxa"/>
            <w:vMerge w:val="continue"/>
            <w:vAlign w:val="center"/>
          </w:tcPr>
          <w:p w14:paraId="123503AE">
            <w:pPr>
              <w:pStyle w:val="22"/>
              <w:bidi w:val="0"/>
              <w:jc w:val="center"/>
              <w:rPr>
                <w:highlight w:val="none"/>
              </w:rPr>
            </w:pPr>
          </w:p>
        </w:tc>
        <w:tc>
          <w:tcPr>
            <w:tcW w:w="1557" w:type="dxa"/>
            <w:shd w:val="clear" w:color="auto" w:fill="auto"/>
            <w:vAlign w:val="center"/>
          </w:tcPr>
          <w:p w14:paraId="35741339">
            <w:pPr>
              <w:pStyle w:val="22"/>
              <w:bidi w:val="0"/>
              <w:jc w:val="center"/>
              <w:rPr>
                <w:highlight w:val="none"/>
                <w:lang w:val="en-US" w:eastAsia="en-US"/>
              </w:rPr>
            </w:pPr>
            <w:r>
              <w:rPr>
                <w:highlight w:val="none"/>
              </w:rPr>
              <w:t>岩松鼠</w:t>
            </w:r>
          </w:p>
        </w:tc>
        <w:tc>
          <w:tcPr>
            <w:tcW w:w="1749" w:type="dxa"/>
            <w:shd w:val="clear" w:color="auto" w:fill="auto"/>
            <w:vAlign w:val="center"/>
          </w:tcPr>
          <w:p w14:paraId="07C62ED7">
            <w:pPr>
              <w:pStyle w:val="22"/>
              <w:bidi w:val="0"/>
              <w:jc w:val="center"/>
              <w:rPr>
                <w:i/>
                <w:iCs w:val="0"/>
                <w:highlight w:val="none"/>
              </w:rPr>
            </w:pPr>
            <w:r>
              <w:rPr>
                <w:i/>
                <w:iCs w:val="0"/>
                <w:highlight w:val="none"/>
              </w:rPr>
              <w:t>Sciurotamias</w:t>
            </w:r>
          </w:p>
          <w:p w14:paraId="5A9CDF44">
            <w:pPr>
              <w:pStyle w:val="22"/>
              <w:bidi w:val="0"/>
              <w:jc w:val="center"/>
              <w:rPr>
                <w:i/>
                <w:iCs w:val="0"/>
                <w:highlight w:val="none"/>
                <w:lang w:val="en-US" w:eastAsia="zh-CN"/>
              </w:rPr>
            </w:pPr>
            <w:r>
              <w:rPr>
                <w:i/>
                <w:iCs w:val="0"/>
                <w:highlight w:val="none"/>
              </w:rPr>
              <w:t>davidianus</w:t>
            </w:r>
          </w:p>
        </w:tc>
        <w:tc>
          <w:tcPr>
            <w:tcW w:w="849" w:type="dxa"/>
            <w:shd w:val="clear" w:color="auto" w:fill="auto"/>
            <w:vAlign w:val="center"/>
          </w:tcPr>
          <w:p w14:paraId="013FD988">
            <w:pPr>
              <w:pStyle w:val="22"/>
              <w:bidi w:val="0"/>
              <w:jc w:val="center"/>
              <w:rPr>
                <w:highlight w:val="none"/>
                <w:lang w:val="en-US" w:eastAsia="zh-CN"/>
              </w:rPr>
            </w:pPr>
          </w:p>
        </w:tc>
        <w:tc>
          <w:tcPr>
            <w:tcW w:w="567" w:type="dxa"/>
            <w:shd w:val="clear" w:color="auto" w:fill="auto"/>
            <w:vAlign w:val="center"/>
          </w:tcPr>
          <w:p w14:paraId="1FFE1C69">
            <w:pPr>
              <w:pStyle w:val="22"/>
              <w:bidi w:val="0"/>
              <w:jc w:val="center"/>
              <w:rPr>
                <w:highlight w:val="none"/>
                <w:lang w:val="en-US" w:eastAsia="zh-CN"/>
              </w:rPr>
            </w:pPr>
          </w:p>
        </w:tc>
        <w:tc>
          <w:tcPr>
            <w:tcW w:w="708" w:type="dxa"/>
            <w:shd w:val="clear" w:color="auto" w:fill="auto"/>
            <w:vAlign w:val="center"/>
          </w:tcPr>
          <w:p w14:paraId="56B3CC64">
            <w:pPr>
              <w:pStyle w:val="22"/>
              <w:bidi w:val="0"/>
              <w:jc w:val="center"/>
              <w:rPr>
                <w:highlight w:val="none"/>
                <w:lang w:val="en-US" w:eastAsia="zh-CN"/>
              </w:rPr>
            </w:pPr>
            <w:r>
              <w:rPr>
                <w:highlight w:val="none"/>
              </w:rPr>
              <w:t>LC</w:t>
            </w:r>
          </w:p>
        </w:tc>
        <w:tc>
          <w:tcPr>
            <w:tcW w:w="709" w:type="dxa"/>
            <w:shd w:val="clear" w:color="auto" w:fill="auto"/>
            <w:vAlign w:val="center"/>
          </w:tcPr>
          <w:p w14:paraId="48CBE16D">
            <w:pPr>
              <w:pStyle w:val="22"/>
              <w:bidi w:val="0"/>
              <w:jc w:val="center"/>
              <w:rPr>
                <w:highlight w:val="none"/>
                <w:lang w:val="en-US" w:eastAsia="zh-CN"/>
              </w:rPr>
            </w:pPr>
            <w:r>
              <w:rPr>
                <w:highlight w:val="none"/>
              </w:rPr>
              <w:t>√</w:t>
            </w:r>
          </w:p>
        </w:tc>
        <w:tc>
          <w:tcPr>
            <w:tcW w:w="567" w:type="dxa"/>
            <w:shd w:val="clear" w:color="auto" w:fill="auto"/>
            <w:vAlign w:val="center"/>
          </w:tcPr>
          <w:p w14:paraId="67B92789">
            <w:pPr>
              <w:pStyle w:val="22"/>
              <w:bidi w:val="0"/>
              <w:jc w:val="center"/>
              <w:rPr>
                <w:highlight w:val="none"/>
                <w:lang w:val="en-US" w:eastAsia="zh-CN"/>
              </w:rPr>
            </w:pPr>
            <w:r>
              <w:rPr>
                <w:highlight w:val="none"/>
              </w:rPr>
              <w:t>√</w:t>
            </w:r>
          </w:p>
        </w:tc>
        <w:tc>
          <w:tcPr>
            <w:tcW w:w="571" w:type="dxa"/>
            <w:shd w:val="clear" w:color="auto" w:fill="auto"/>
            <w:vAlign w:val="center"/>
          </w:tcPr>
          <w:p w14:paraId="5F554432">
            <w:pPr>
              <w:pStyle w:val="22"/>
              <w:bidi w:val="0"/>
              <w:jc w:val="center"/>
              <w:rPr>
                <w:highlight w:val="none"/>
                <w:lang w:val="en-US" w:eastAsia="zh-CN"/>
              </w:rPr>
            </w:pPr>
          </w:p>
        </w:tc>
      </w:tr>
      <w:tr w14:paraId="57740C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7B7785B0">
            <w:pPr>
              <w:pStyle w:val="22"/>
              <w:bidi w:val="0"/>
              <w:jc w:val="center"/>
              <w:rPr>
                <w:highlight w:val="none"/>
                <w:lang w:val="en-US" w:eastAsia="zh-CN"/>
              </w:rPr>
            </w:pPr>
            <w:r>
              <w:rPr>
                <w:highlight w:val="none"/>
              </w:rPr>
              <w:t>26</w:t>
            </w:r>
          </w:p>
        </w:tc>
        <w:tc>
          <w:tcPr>
            <w:tcW w:w="559" w:type="dxa"/>
            <w:vMerge w:val="continue"/>
            <w:vAlign w:val="center"/>
          </w:tcPr>
          <w:p w14:paraId="65070CA4">
            <w:pPr>
              <w:pStyle w:val="22"/>
              <w:bidi w:val="0"/>
              <w:jc w:val="center"/>
              <w:rPr>
                <w:highlight w:val="none"/>
              </w:rPr>
            </w:pPr>
          </w:p>
        </w:tc>
        <w:tc>
          <w:tcPr>
            <w:tcW w:w="1557" w:type="dxa"/>
            <w:shd w:val="clear" w:color="auto" w:fill="auto"/>
            <w:vAlign w:val="center"/>
          </w:tcPr>
          <w:p w14:paraId="5B63A319">
            <w:pPr>
              <w:pStyle w:val="22"/>
              <w:bidi w:val="0"/>
              <w:jc w:val="center"/>
              <w:rPr>
                <w:highlight w:val="none"/>
                <w:lang w:val="en-US" w:eastAsia="en-US"/>
              </w:rPr>
            </w:pPr>
            <w:r>
              <w:rPr>
                <w:highlight w:val="none"/>
              </w:rPr>
              <w:t>中华鬣羚</w:t>
            </w:r>
          </w:p>
        </w:tc>
        <w:tc>
          <w:tcPr>
            <w:tcW w:w="1749" w:type="dxa"/>
            <w:shd w:val="clear" w:color="auto" w:fill="auto"/>
            <w:vAlign w:val="center"/>
          </w:tcPr>
          <w:p w14:paraId="608302D7">
            <w:pPr>
              <w:pStyle w:val="22"/>
              <w:bidi w:val="0"/>
              <w:jc w:val="center"/>
              <w:rPr>
                <w:i/>
                <w:iCs w:val="0"/>
                <w:highlight w:val="none"/>
              </w:rPr>
            </w:pPr>
            <w:r>
              <w:rPr>
                <w:i/>
                <w:iCs w:val="0"/>
                <w:highlight w:val="none"/>
              </w:rPr>
              <w:t>Capricornis</w:t>
            </w:r>
          </w:p>
          <w:p w14:paraId="20655E32">
            <w:pPr>
              <w:pStyle w:val="22"/>
              <w:bidi w:val="0"/>
              <w:jc w:val="center"/>
              <w:rPr>
                <w:i/>
                <w:iCs w:val="0"/>
                <w:highlight w:val="none"/>
                <w:lang w:val="en-US" w:eastAsia="zh-CN"/>
              </w:rPr>
            </w:pPr>
            <w:r>
              <w:rPr>
                <w:i/>
                <w:iCs w:val="0"/>
                <w:highlight w:val="none"/>
              </w:rPr>
              <w:t>milneedwardsii</w:t>
            </w:r>
          </w:p>
        </w:tc>
        <w:tc>
          <w:tcPr>
            <w:tcW w:w="849" w:type="dxa"/>
            <w:shd w:val="clear" w:color="auto" w:fill="auto"/>
            <w:vAlign w:val="center"/>
          </w:tcPr>
          <w:p w14:paraId="789BC3ED">
            <w:pPr>
              <w:pStyle w:val="22"/>
              <w:bidi w:val="0"/>
              <w:jc w:val="center"/>
              <w:rPr>
                <w:highlight w:val="none"/>
                <w:lang w:val="en-US" w:eastAsia="en-US"/>
              </w:rPr>
            </w:pPr>
            <w:r>
              <w:rPr>
                <w:highlight w:val="none"/>
              </w:rPr>
              <w:t>二级</w:t>
            </w:r>
          </w:p>
        </w:tc>
        <w:tc>
          <w:tcPr>
            <w:tcW w:w="567" w:type="dxa"/>
            <w:shd w:val="clear" w:color="auto" w:fill="auto"/>
            <w:vAlign w:val="center"/>
          </w:tcPr>
          <w:p w14:paraId="75055BB6">
            <w:pPr>
              <w:pStyle w:val="22"/>
              <w:bidi w:val="0"/>
              <w:jc w:val="center"/>
              <w:rPr>
                <w:highlight w:val="none"/>
                <w:lang w:val="en-US" w:eastAsia="zh-CN"/>
              </w:rPr>
            </w:pPr>
          </w:p>
        </w:tc>
        <w:tc>
          <w:tcPr>
            <w:tcW w:w="708" w:type="dxa"/>
            <w:shd w:val="clear" w:color="auto" w:fill="auto"/>
            <w:vAlign w:val="center"/>
          </w:tcPr>
          <w:p w14:paraId="7B20B8EA">
            <w:pPr>
              <w:pStyle w:val="22"/>
              <w:bidi w:val="0"/>
              <w:jc w:val="center"/>
              <w:rPr>
                <w:highlight w:val="none"/>
                <w:lang w:val="en-US" w:eastAsia="zh-CN"/>
              </w:rPr>
            </w:pPr>
            <w:r>
              <w:rPr>
                <w:highlight w:val="none"/>
              </w:rPr>
              <w:t>VU</w:t>
            </w:r>
          </w:p>
        </w:tc>
        <w:tc>
          <w:tcPr>
            <w:tcW w:w="709" w:type="dxa"/>
            <w:shd w:val="clear" w:color="auto" w:fill="auto"/>
            <w:vAlign w:val="center"/>
          </w:tcPr>
          <w:p w14:paraId="3F7466C5">
            <w:pPr>
              <w:pStyle w:val="22"/>
              <w:bidi w:val="0"/>
              <w:jc w:val="center"/>
              <w:rPr>
                <w:highlight w:val="none"/>
                <w:lang w:val="en-US" w:eastAsia="zh-CN"/>
              </w:rPr>
            </w:pPr>
          </w:p>
        </w:tc>
        <w:tc>
          <w:tcPr>
            <w:tcW w:w="567" w:type="dxa"/>
            <w:shd w:val="clear" w:color="auto" w:fill="auto"/>
            <w:vAlign w:val="center"/>
          </w:tcPr>
          <w:p w14:paraId="7C3F1FAF">
            <w:pPr>
              <w:pStyle w:val="22"/>
              <w:bidi w:val="0"/>
              <w:jc w:val="center"/>
              <w:rPr>
                <w:highlight w:val="none"/>
                <w:lang w:val="en-US" w:eastAsia="zh-CN"/>
              </w:rPr>
            </w:pPr>
          </w:p>
        </w:tc>
        <w:tc>
          <w:tcPr>
            <w:tcW w:w="571" w:type="dxa"/>
            <w:shd w:val="clear" w:color="auto" w:fill="auto"/>
            <w:vAlign w:val="center"/>
          </w:tcPr>
          <w:p w14:paraId="4914495B">
            <w:pPr>
              <w:pStyle w:val="22"/>
              <w:bidi w:val="0"/>
              <w:jc w:val="center"/>
              <w:rPr>
                <w:highlight w:val="none"/>
                <w:lang w:val="en-US" w:eastAsia="zh-CN"/>
              </w:rPr>
            </w:pPr>
            <w:r>
              <w:rPr>
                <w:highlight w:val="none"/>
              </w:rPr>
              <w:t>√</w:t>
            </w:r>
          </w:p>
        </w:tc>
      </w:tr>
      <w:tr w14:paraId="758DDC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51064DC2">
            <w:pPr>
              <w:pStyle w:val="22"/>
              <w:bidi w:val="0"/>
              <w:jc w:val="center"/>
              <w:rPr>
                <w:highlight w:val="none"/>
                <w:lang w:val="en-US" w:eastAsia="zh-CN"/>
              </w:rPr>
            </w:pPr>
            <w:r>
              <w:rPr>
                <w:highlight w:val="none"/>
              </w:rPr>
              <w:t>27</w:t>
            </w:r>
          </w:p>
        </w:tc>
        <w:tc>
          <w:tcPr>
            <w:tcW w:w="559" w:type="dxa"/>
            <w:vMerge w:val="continue"/>
            <w:vAlign w:val="center"/>
          </w:tcPr>
          <w:p w14:paraId="3F8D9C4F">
            <w:pPr>
              <w:pStyle w:val="22"/>
              <w:bidi w:val="0"/>
              <w:jc w:val="center"/>
              <w:rPr>
                <w:highlight w:val="none"/>
              </w:rPr>
            </w:pPr>
          </w:p>
        </w:tc>
        <w:tc>
          <w:tcPr>
            <w:tcW w:w="1557" w:type="dxa"/>
            <w:shd w:val="clear" w:color="auto" w:fill="auto"/>
            <w:vAlign w:val="center"/>
          </w:tcPr>
          <w:p w14:paraId="4C537F27">
            <w:pPr>
              <w:pStyle w:val="22"/>
              <w:bidi w:val="0"/>
              <w:jc w:val="center"/>
              <w:rPr>
                <w:highlight w:val="none"/>
                <w:lang w:val="en-US" w:eastAsia="en-US"/>
              </w:rPr>
            </w:pPr>
            <w:r>
              <w:rPr>
                <w:highlight w:val="none"/>
              </w:rPr>
              <w:t>狼</w:t>
            </w:r>
          </w:p>
        </w:tc>
        <w:tc>
          <w:tcPr>
            <w:tcW w:w="1749" w:type="dxa"/>
            <w:shd w:val="clear" w:color="auto" w:fill="auto"/>
            <w:vAlign w:val="center"/>
          </w:tcPr>
          <w:p w14:paraId="4499DD41">
            <w:pPr>
              <w:pStyle w:val="22"/>
              <w:bidi w:val="0"/>
              <w:jc w:val="center"/>
              <w:rPr>
                <w:i/>
                <w:iCs w:val="0"/>
                <w:highlight w:val="none"/>
                <w:lang w:val="en-US" w:eastAsia="zh-CN"/>
              </w:rPr>
            </w:pPr>
            <w:r>
              <w:rPr>
                <w:i/>
                <w:iCs w:val="0"/>
                <w:highlight w:val="none"/>
              </w:rPr>
              <w:t>Canis lupus</w:t>
            </w:r>
          </w:p>
        </w:tc>
        <w:tc>
          <w:tcPr>
            <w:tcW w:w="849" w:type="dxa"/>
            <w:shd w:val="clear" w:color="auto" w:fill="auto"/>
            <w:vAlign w:val="center"/>
          </w:tcPr>
          <w:p w14:paraId="4DC96107">
            <w:pPr>
              <w:pStyle w:val="22"/>
              <w:bidi w:val="0"/>
              <w:jc w:val="center"/>
              <w:rPr>
                <w:highlight w:val="none"/>
                <w:lang w:val="en-US" w:eastAsia="en-US"/>
              </w:rPr>
            </w:pPr>
            <w:r>
              <w:rPr>
                <w:highlight w:val="none"/>
              </w:rPr>
              <w:t>二级</w:t>
            </w:r>
          </w:p>
        </w:tc>
        <w:tc>
          <w:tcPr>
            <w:tcW w:w="567" w:type="dxa"/>
            <w:shd w:val="clear" w:color="auto" w:fill="auto"/>
            <w:vAlign w:val="center"/>
          </w:tcPr>
          <w:p w14:paraId="5E1B1409">
            <w:pPr>
              <w:pStyle w:val="22"/>
              <w:bidi w:val="0"/>
              <w:jc w:val="center"/>
              <w:rPr>
                <w:highlight w:val="none"/>
                <w:lang w:val="en-US" w:eastAsia="zh-CN"/>
              </w:rPr>
            </w:pPr>
          </w:p>
        </w:tc>
        <w:tc>
          <w:tcPr>
            <w:tcW w:w="708" w:type="dxa"/>
            <w:shd w:val="clear" w:color="auto" w:fill="auto"/>
            <w:vAlign w:val="center"/>
          </w:tcPr>
          <w:p w14:paraId="11748EFC">
            <w:pPr>
              <w:pStyle w:val="22"/>
              <w:bidi w:val="0"/>
              <w:jc w:val="center"/>
              <w:rPr>
                <w:highlight w:val="none"/>
                <w:lang w:val="en-US" w:eastAsia="zh-CN"/>
              </w:rPr>
            </w:pPr>
            <w:r>
              <w:rPr>
                <w:highlight w:val="none"/>
              </w:rPr>
              <w:t>NT</w:t>
            </w:r>
          </w:p>
        </w:tc>
        <w:tc>
          <w:tcPr>
            <w:tcW w:w="709" w:type="dxa"/>
            <w:shd w:val="clear" w:color="auto" w:fill="auto"/>
            <w:vAlign w:val="center"/>
          </w:tcPr>
          <w:p w14:paraId="2B2ECE85">
            <w:pPr>
              <w:pStyle w:val="22"/>
              <w:bidi w:val="0"/>
              <w:jc w:val="center"/>
              <w:rPr>
                <w:highlight w:val="none"/>
                <w:lang w:val="en-US" w:eastAsia="zh-CN"/>
              </w:rPr>
            </w:pPr>
          </w:p>
        </w:tc>
        <w:tc>
          <w:tcPr>
            <w:tcW w:w="567" w:type="dxa"/>
            <w:shd w:val="clear" w:color="auto" w:fill="auto"/>
            <w:vAlign w:val="center"/>
          </w:tcPr>
          <w:p w14:paraId="0AC03511">
            <w:pPr>
              <w:pStyle w:val="22"/>
              <w:bidi w:val="0"/>
              <w:jc w:val="center"/>
              <w:rPr>
                <w:highlight w:val="none"/>
                <w:lang w:val="en-US" w:eastAsia="zh-CN"/>
              </w:rPr>
            </w:pPr>
          </w:p>
        </w:tc>
        <w:tc>
          <w:tcPr>
            <w:tcW w:w="571" w:type="dxa"/>
            <w:shd w:val="clear" w:color="auto" w:fill="auto"/>
            <w:vAlign w:val="center"/>
          </w:tcPr>
          <w:p w14:paraId="19C261F9">
            <w:pPr>
              <w:pStyle w:val="22"/>
              <w:bidi w:val="0"/>
              <w:jc w:val="center"/>
              <w:rPr>
                <w:highlight w:val="none"/>
                <w:lang w:val="en-US" w:eastAsia="zh-CN"/>
              </w:rPr>
            </w:pPr>
            <w:r>
              <w:rPr>
                <w:highlight w:val="none"/>
              </w:rPr>
              <w:t>√</w:t>
            </w:r>
          </w:p>
        </w:tc>
      </w:tr>
      <w:tr w14:paraId="7C68A4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7514E888">
            <w:pPr>
              <w:pStyle w:val="22"/>
              <w:bidi w:val="0"/>
              <w:jc w:val="center"/>
              <w:rPr>
                <w:highlight w:val="none"/>
                <w:lang w:val="en-US" w:eastAsia="zh-CN"/>
              </w:rPr>
            </w:pPr>
            <w:r>
              <w:rPr>
                <w:highlight w:val="none"/>
              </w:rPr>
              <w:t>28</w:t>
            </w:r>
          </w:p>
        </w:tc>
        <w:tc>
          <w:tcPr>
            <w:tcW w:w="559" w:type="dxa"/>
            <w:vMerge w:val="continue"/>
            <w:vAlign w:val="center"/>
          </w:tcPr>
          <w:p w14:paraId="2C36589A">
            <w:pPr>
              <w:pStyle w:val="22"/>
              <w:bidi w:val="0"/>
              <w:jc w:val="center"/>
              <w:rPr>
                <w:highlight w:val="none"/>
              </w:rPr>
            </w:pPr>
          </w:p>
        </w:tc>
        <w:tc>
          <w:tcPr>
            <w:tcW w:w="1557" w:type="dxa"/>
            <w:shd w:val="clear" w:color="auto" w:fill="auto"/>
            <w:vAlign w:val="center"/>
          </w:tcPr>
          <w:p w14:paraId="173D8DD7">
            <w:pPr>
              <w:pStyle w:val="22"/>
              <w:bidi w:val="0"/>
              <w:jc w:val="center"/>
              <w:rPr>
                <w:highlight w:val="none"/>
                <w:lang w:val="en-US" w:eastAsia="en-US"/>
              </w:rPr>
            </w:pPr>
            <w:r>
              <w:rPr>
                <w:highlight w:val="none"/>
              </w:rPr>
              <w:t>藏狐</w:t>
            </w:r>
          </w:p>
        </w:tc>
        <w:tc>
          <w:tcPr>
            <w:tcW w:w="1749" w:type="dxa"/>
            <w:shd w:val="clear" w:color="auto" w:fill="auto"/>
            <w:vAlign w:val="center"/>
          </w:tcPr>
          <w:p w14:paraId="40FB49CF">
            <w:pPr>
              <w:pStyle w:val="22"/>
              <w:bidi w:val="0"/>
              <w:jc w:val="center"/>
              <w:rPr>
                <w:i/>
                <w:iCs w:val="0"/>
                <w:highlight w:val="none"/>
              </w:rPr>
            </w:pPr>
            <w:r>
              <w:rPr>
                <w:i/>
                <w:iCs w:val="0"/>
                <w:highlight w:val="none"/>
              </w:rPr>
              <w:t>Elaphodus</w:t>
            </w:r>
          </w:p>
          <w:p w14:paraId="5EDDC101">
            <w:pPr>
              <w:pStyle w:val="22"/>
              <w:bidi w:val="0"/>
              <w:jc w:val="center"/>
              <w:rPr>
                <w:i/>
                <w:iCs w:val="0"/>
                <w:highlight w:val="none"/>
                <w:lang w:val="en-US" w:eastAsia="zh-CN"/>
              </w:rPr>
            </w:pPr>
            <w:r>
              <w:rPr>
                <w:i/>
                <w:iCs w:val="0"/>
                <w:highlight w:val="none"/>
              </w:rPr>
              <w:t>cephalophus</w:t>
            </w:r>
          </w:p>
        </w:tc>
        <w:tc>
          <w:tcPr>
            <w:tcW w:w="849" w:type="dxa"/>
            <w:shd w:val="clear" w:color="auto" w:fill="auto"/>
            <w:vAlign w:val="center"/>
          </w:tcPr>
          <w:p w14:paraId="58F5E52D">
            <w:pPr>
              <w:pStyle w:val="22"/>
              <w:bidi w:val="0"/>
              <w:jc w:val="center"/>
              <w:rPr>
                <w:highlight w:val="none"/>
                <w:lang w:val="en-US" w:eastAsia="en-US"/>
              </w:rPr>
            </w:pPr>
            <w:r>
              <w:rPr>
                <w:highlight w:val="none"/>
              </w:rPr>
              <w:t>二级</w:t>
            </w:r>
          </w:p>
        </w:tc>
        <w:tc>
          <w:tcPr>
            <w:tcW w:w="567" w:type="dxa"/>
            <w:shd w:val="clear" w:color="auto" w:fill="auto"/>
            <w:vAlign w:val="center"/>
          </w:tcPr>
          <w:p w14:paraId="434CD97A">
            <w:pPr>
              <w:pStyle w:val="22"/>
              <w:bidi w:val="0"/>
              <w:jc w:val="center"/>
              <w:rPr>
                <w:highlight w:val="none"/>
                <w:lang w:val="en-US" w:eastAsia="zh-CN"/>
              </w:rPr>
            </w:pPr>
          </w:p>
        </w:tc>
        <w:tc>
          <w:tcPr>
            <w:tcW w:w="708" w:type="dxa"/>
            <w:shd w:val="clear" w:color="auto" w:fill="auto"/>
            <w:vAlign w:val="center"/>
          </w:tcPr>
          <w:p w14:paraId="0D731534">
            <w:pPr>
              <w:pStyle w:val="22"/>
              <w:bidi w:val="0"/>
              <w:jc w:val="center"/>
              <w:rPr>
                <w:highlight w:val="none"/>
                <w:lang w:val="en-US" w:eastAsia="zh-CN"/>
              </w:rPr>
            </w:pPr>
            <w:r>
              <w:rPr>
                <w:highlight w:val="none"/>
              </w:rPr>
              <w:t>VU</w:t>
            </w:r>
          </w:p>
        </w:tc>
        <w:tc>
          <w:tcPr>
            <w:tcW w:w="709" w:type="dxa"/>
            <w:shd w:val="clear" w:color="auto" w:fill="auto"/>
            <w:vAlign w:val="center"/>
          </w:tcPr>
          <w:p w14:paraId="266A1661">
            <w:pPr>
              <w:pStyle w:val="22"/>
              <w:bidi w:val="0"/>
              <w:jc w:val="center"/>
              <w:rPr>
                <w:highlight w:val="none"/>
                <w:lang w:val="en-US" w:eastAsia="zh-CN"/>
              </w:rPr>
            </w:pPr>
          </w:p>
        </w:tc>
        <w:tc>
          <w:tcPr>
            <w:tcW w:w="567" w:type="dxa"/>
            <w:shd w:val="clear" w:color="auto" w:fill="auto"/>
            <w:vAlign w:val="center"/>
          </w:tcPr>
          <w:p w14:paraId="635B2598">
            <w:pPr>
              <w:pStyle w:val="22"/>
              <w:bidi w:val="0"/>
              <w:jc w:val="center"/>
              <w:rPr>
                <w:highlight w:val="none"/>
                <w:lang w:val="en-US" w:eastAsia="zh-CN"/>
              </w:rPr>
            </w:pPr>
            <w:r>
              <w:rPr>
                <w:highlight w:val="none"/>
              </w:rPr>
              <w:t>√</w:t>
            </w:r>
          </w:p>
        </w:tc>
        <w:tc>
          <w:tcPr>
            <w:tcW w:w="571" w:type="dxa"/>
            <w:shd w:val="clear" w:color="auto" w:fill="auto"/>
            <w:vAlign w:val="center"/>
          </w:tcPr>
          <w:p w14:paraId="1A9A3A58">
            <w:pPr>
              <w:pStyle w:val="22"/>
              <w:bidi w:val="0"/>
              <w:jc w:val="center"/>
              <w:rPr>
                <w:highlight w:val="none"/>
                <w:lang w:val="en-US" w:eastAsia="zh-CN"/>
              </w:rPr>
            </w:pPr>
            <w:r>
              <w:rPr>
                <w:highlight w:val="none"/>
              </w:rPr>
              <w:t>√</w:t>
            </w:r>
          </w:p>
        </w:tc>
      </w:tr>
      <w:tr w14:paraId="5B7839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525" w:type="dxa"/>
            <w:shd w:val="clear" w:color="auto" w:fill="auto"/>
            <w:vAlign w:val="center"/>
          </w:tcPr>
          <w:p w14:paraId="11B0DBB8">
            <w:pPr>
              <w:pStyle w:val="22"/>
              <w:bidi w:val="0"/>
              <w:jc w:val="center"/>
              <w:rPr>
                <w:highlight w:val="none"/>
                <w:lang w:val="en-US" w:eastAsia="zh-CN"/>
              </w:rPr>
            </w:pPr>
            <w:r>
              <w:rPr>
                <w:highlight w:val="none"/>
              </w:rPr>
              <w:t>29</w:t>
            </w:r>
          </w:p>
        </w:tc>
        <w:tc>
          <w:tcPr>
            <w:tcW w:w="559" w:type="dxa"/>
            <w:vMerge w:val="continue"/>
            <w:vAlign w:val="center"/>
          </w:tcPr>
          <w:p w14:paraId="6FE575DE">
            <w:pPr>
              <w:pStyle w:val="22"/>
              <w:bidi w:val="0"/>
              <w:jc w:val="center"/>
              <w:rPr>
                <w:highlight w:val="none"/>
              </w:rPr>
            </w:pPr>
          </w:p>
        </w:tc>
        <w:tc>
          <w:tcPr>
            <w:tcW w:w="1557" w:type="dxa"/>
            <w:shd w:val="clear" w:color="auto" w:fill="auto"/>
            <w:vAlign w:val="center"/>
          </w:tcPr>
          <w:p w14:paraId="58BB5CC0">
            <w:pPr>
              <w:pStyle w:val="22"/>
              <w:bidi w:val="0"/>
              <w:jc w:val="center"/>
              <w:rPr>
                <w:highlight w:val="none"/>
                <w:lang w:val="en-US" w:eastAsia="en-US"/>
              </w:rPr>
            </w:pPr>
            <w:r>
              <w:rPr>
                <w:highlight w:val="none"/>
              </w:rPr>
              <w:t>赤狐</w:t>
            </w:r>
          </w:p>
        </w:tc>
        <w:tc>
          <w:tcPr>
            <w:tcW w:w="1749" w:type="dxa"/>
            <w:shd w:val="clear" w:color="auto" w:fill="auto"/>
            <w:vAlign w:val="center"/>
          </w:tcPr>
          <w:p w14:paraId="43E6C235">
            <w:pPr>
              <w:pStyle w:val="22"/>
              <w:bidi w:val="0"/>
              <w:jc w:val="center"/>
              <w:rPr>
                <w:i/>
                <w:iCs w:val="0"/>
                <w:highlight w:val="none"/>
                <w:lang w:val="en-US" w:eastAsia="zh-CN"/>
              </w:rPr>
            </w:pPr>
            <w:r>
              <w:rPr>
                <w:i/>
                <w:iCs w:val="0"/>
                <w:highlight w:val="none"/>
              </w:rPr>
              <w:t>Vulpes vulpes</w:t>
            </w:r>
          </w:p>
        </w:tc>
        <w:tc>
          <w:tcPr>
            <w:tcW w:w="849" w:type="dxa"/>
            <w:shd w:val="clear" w:color="auto" w:fill="auto"/>
            <w:vAlign w:val="center"/>
          </w:tcPr>
          <w:p w14:paraId="7DC0966B">
            <w:pPr>
              <w:pStyle w:val="22"/>
              <w:bidi w:val="0"/>
              <w:jc w:val="center"/>
              <w:rPr>
                <w:highlight w:val="none"/>
                <w:lang w:val="en-US" w:eastAsia="en-US"/>
              </w:rPr>
            </w:pPr>
            <w:r>
              <w:rPr>
                <w:highlight w:val="none"/>
              </w:rPr>
              <w:t>二级</w:t>
            </w:r>
          </w:p>
        </w:tc>
        <w:tc>
          <w:tcPr>
            <w:tcW w:w="567" w:type="dxa"/>
            <w:shd w:val="clear" w:color="auto" w:fill="auto"/>
            <w:vAlign w:val="center"/>
          </w:tcPr>
          <w:p w14:paraId="5AF482D9">
            <w:pPr>
              <w:pStyle w:val="22"/>
              <w:bidi w:val="0"/>
              <w:jc w:val="center"/>
              <w:rPr>
                <w:highlight w:val="none"/>
                <w:lang w:val="en-US" w:eastAsia="zh-CN"/>
              </w:rPr>
            </w:pPr>
          </w:p>
        </w:tc>
        <w:tc>
          <w:tcPr>
            <w:tcW w:w="708" w:type="dxa"/>
            <w:shd w:val="clear" w:color="auto" w:fill="auto"/>
            <w:vAlign w:val="center"/>
          </w:tcPr>
          <w:p w14:paraId="5517B05D">
            <w:pPr>
              <w:pStyle w:val="22"/>
              <w:bidi w:val="0"/>
              <w:jc w:val="center"/>
              <w:rPr>
                <w:highlight w:val="none"/>
                <w:lang w:val="en-US" w:eastAsia="zh-CN"/>
              </w:rPr>
            </w:pPr>
            <w:r>
              <w:rPr>
                <w:highlight w:val="none"/>
              </w:rPr>
              <w:t>NT</w:t>
            </w:r>
          </w:p>
        </w:tc>
        <w:tc>
          <w:tcPr>
            <w:tcW w:w="709" w:type="dxa"/>
            <w:shd w:val="clear" w:color="auto" w:fill="auto"/>
            <w:vAlign w:val="center"/>
          </w:tcPr>
          <w:p w14:paraId="6DF72A15">
            <w:pPr>
              <w:pStyle w:val="22"/>
              <w:bidi w:val="0"/>
              <w:jc w:val="center"/>
              <w:rPr>
                <w:highlight w:val="none"/>
                <w:lang w:val="en-US" w:eastAsia="zh-CN"/>
              </w:rPr>
            </w:pPr>
          </w:p>
        </w:tc>
        <w:tc>
          <w:tcPr>
            <w:tcW w:w="567" w:type="dxa"/>
            <w:shd w:val="clear" w:color="auto" w:fill="auto"/>
            <w:vAlign w:val="center"/>
          </w:tcPr>
          <w:p w14:paraId="43A560C6">
            <w:pPr>
              <w:pStyle w:val="22"/>
              <w:bidi w:val="0"/>
              <w:jc w:val="center"/>
              <w:rPr>
                <w:highlight w:val="none"/>
                <w:lang w:val="en-US" w:eastAsia="zh-CN"/>
              </w:rPr>
            </w:pPr>
          </w:p>
        </w:tc>
        <w:tc>
          <w:tcPr>
            <w:tcW w:w="571" w:type="dxa"/>
            <w:shd w:val="clear" w:color="auto" w:fill="auto"/>
            <w:vAlign w:val="center"/>
          </w:tcPr>
          <w:p w14:paraId="42AA8AAA">
            <w:pPr>
              <w:pStyle w:val="22"/>
              <w:bidi w:val="0"/>
              <w:jc w:val="center"/>
              <w:rPr>
                <w:highlight w:val="none"/>
                <w:lang w:val="en-US" w:eastAsia="zh-CN"/>
              </w:rPr>
            </w:pPr>
            <w:r>
              <w:rPr>
                <w:highlight w:val="none"/>
              </w:rPr>
              <w:t>√</w:t>
            </w:r>
          </w:p>
        </w:tc>
      </w:tr>
      <w:tr w14:paraId="2B3CBE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0" w:type="auto"/>
            <w:shd w:val="clear" w:color="auto" w:fill="auto"/>
            <w:vAlign w:val="center"/>
          </w:tcPr>
          <w:p w14:paraId="24ECE812">
            <w:pPr>
              <w:pStyle w:val="22"/>
              <w:bidi w:val="0"/>
              <w:jc w:val="center"/>
              <w:rPr>
                <w:highlight w:val="none"/>
                <w:lang w:val="en-US" w:eastAsia="zh-CN"/>
              </w:rPr>
            </w:pPr>
            <w:r>
              <w:rPr>
                <w:highlight w:val="none"/>
              </w:rPr>
              <w:t>30</w:t>
            </w:r>
          </w:p>
        </w:tc>
        <w:tc>
          <w:tcPr>
            <w:tcW w:w="559" w:type="dxa"/>
            <w:vMerge w:val="continue"/>
            <w:vAlign w:val="center"/>
          </w:tcPr>
          <w:p w14:paraId="330ACBAA">
            <w:pPr>
              <w:pStyle w:val="22"/>
              <w:bidi w:val="0"/>
              <w:jc w:val="center"/>
              <w:rPr>
                <w:highlight w:val="none"/>
              </w:rPr>
            </w:pPr>
          </w:p>
        </w:tc>
        <w:tc>
          <w:tcPr>
            <w:tcW w:w="0" w:type="auto"/>
            <w:shd w:val="clear" w:color="auto" w:fill="auto"/>
            <w:vAlign w:val="center"/>
          </w:tcPr>
          <w:p w14:paraId="65AFE79B">
            <w:pPr>
              <w:pStyle w:val="22"/>
              <w:bidi w:val="0"/>
              <w:jc w:val="center"/>
              <w:rPr>
                <w:highlight w:val="none"/>
                <w:lang w:val="en-US" w:eastAsia="en-US"/>
              </w:rPr>
            </w:pPr>
            <w:r>
              <w:rPr>
                <w:highlight w:val="none"/>
              </w:rPr>
              <w:t>中华小熊猫</w:t>
            </w:r>
          </w:p>
        </w:tc>
        <w:tc>
          <w:tcPr>
            <w:tcW w:w="0" w:type="auto"/>
            <w:shd w:val="clear" w:color="auto" w:fill="auto"/>
            <w:vAlign w:val="center"/>
          </w:tcPr>
          <w:p w14:paraId="150A8663">
            <w:pPr>
              <w:pStyle w:val="22"/>
              <w:bidi w:val="0"/>
              <w:jc w:val="center"/>
              <w:rPr>
                <w:i/>
                <w:iCs w:val="0"/>
                <w:highlight w:val="none"/>
                <w:lang w:val="en-US" w:eastAsia="zh-CN"/>
              </w:rPr>
            </w:pPr>
            <w:r>
              <w:rPr>
                <w:i/>
                <w:iCs w:val="0"/>
                <w:highlight w:val="none"/>
              </w:rPr>
              <w:t>Ailurus styani</w:t>
            </w:r>
          </w:p>
        </w:tc>
        <w:tc>
          <w:tcPr>
            <w:tcW w:w="0" w:type="auto"/>
            <w:shd w:val="clear" w:color="auto" w:fill="auto"/>
            <w:vAlign w:val="center"/>
          </w:tcPr>
          <w:p w14:paraId="2E18EF7A">
            <w:pPr>
              <w:pStyle w:val="22"/>
              <w:bidi w:val="0"/>
              <w:jc w:val="center"/>
              <w:rPr>
                <w:highlight w:val="none"/>
                <w:lang w:val="en-US" w:eastAsia="zh-CN"/>
              </w:rPr>
            </w:pPr>
          </w:p>
        </w:tc>
        <w:tc>
          <w:tcPr>
            <w:tcW w:w="0" w:type="auto"/>
            <w:shd w:val="clear" w:color="auto" w:fill="auto"/>
            <w:vAlign w:val="center"/>
          </w:tcPr>
          <w:p w14:paraId="50386A3D">
            <w:pPr>
              <w:pStyle w:val="22"/>
              <w:bidi w:val="0"/>
              <w:jc w:val="center"/>
              <w:rPr>
                <w:highlight w:val="none"/>
                <w:lang w:val="en-US" w:eastAsia="zh-CN"/>
              </w:rPr>
            </w:pPr>
          </w:p>
        </w:tc>
        <w:tc>
          <w:tcPr>
            <w:tcW w:w="0" w:type="auto"/>
            <w:shd w:val="clear" w:color="auto" w:fill="auto"/>
            <w:vAlign w:val="center"/>
          </w:tcPr>
          <w:p w14:paraId="3F608077">
            <w:pPr>
              <w:pStyle w:val="22"/>
              <w:bidi w:val="0"/>
              <w:jc w:val="center"/>
              <w:rPr>
                <w:highlight w:val="none"/>
                <w:lang w:val="en-US" w:eastAsia="zh-CN"/>
              </w:rPr>
            </w:pPr>
            <w:r>
              <w:rPr>
                <w:highlight w:val="none"/>
              </w:rPr>
              <w:t>VU</w:t>
            </w:r>
          </w:p>
        </w:tc>
        <w:tc>
          <w:tcPr>
            <w:tcW w:w="0" w:type="auto"/>
            <w:shd w:val="clear" w:color="auto" w:fill="auto"/>
            <w:vAlign w:val="center"/>
          </w:tcPr>
          <w:p w14:paraId="03B78CBD">
            <w:pPr>
              <w:pStyle w:val="22"/>
              <w:bidi w:val="0"/>
              <w:jc w:val="center"/>
              <w:rPr>
                <w:highlight w:val="none"/>
                <w:lang w:val="en-US" w:eastAsia="zh-CN"/>
              </w:rPr>
            </w:pPr>
          </w:p>
        </w:tc>
        <w:tc>
          <w:tcPr>
            <w:tcW w:w="0" w:type="auto"/>
            <w:shd w:val="clear" w:color="auto" w:fill="auto"/>
            <w:vAlign w:val="center"/>
          </w:tcPr>
          <w:p w14:paraId="76F79D65">
            <w:pPr>
              <w:pStyle w:val="22"/>
              <w:bidi w:val="0"/>
              <w:jc w:val="center"/>
              <w:rPr>
                <w:highlight w:val="none"/>
                <w:lang w:val="en-US" w:eastAsia="zh-CN"/>
              </w:rPr>
            </w:pPr>
          </w:p>
        </w:tc>
        <w:tc>
          <w:tcPr>
            <w:tcW w:w="0" w:type="auto"/>
            <w:shd w:val="clear" w:color="auto" w:fill="auto"/>
            <w:vAlign w:val="center"/>
          </w:tcPr>
          <w:p w14:paraId="0C0A7983">
            <w:pPr>
              <w:pStyle w:val="22"/>
              <w:bidi w:val="0"/>
              <w:jc w:val="center"/>
              <w:rPr>
                <w:highlight w:val="none"/>
                <w:lang w:val="en-US" w:eastAsia="zh-CN"/>
              </w:rPr>
            </w:pPr>
            <w:r>
              <w:rPr>
                <w:highlight w:val="none"/>
              </w:rPr>
              <w:t>√</w:t>
            </w:r>
          </w:p>
        </w:tc>
      </w:tr>
      <w:tr w14:paraId="120304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trPr>
        <w:tc>
          <w:tcPr>
            <w:tcW w:w="0" w:type="auto"/>
            <w:shd w:val="clear" w:color="auto" w:fill="auto"/>
            <w:vAlign w:val="center"/>
          </w:tcPr>
          <w:p w14:paraId="08A816AD">
            <w:pPr>
              <w:pStyle w:val="22"/>
              <w:bidi w:val="0"/>
              <w:jc w:val="center"/>
              <w:rPr>
                <w:highlight w:val="none"/>
                <w:lang w:val="en-US" w:eastAsia="zh-CN"/>
              </w:rPr>
            </w:pPr>
            <w:r>
              <w:rPr>
                <w:highlight w:val="none"/>
              </w:rPr>
              <w:t>31</w:t>
            </w:r>
          </w:p>
        </w:tc>
        <w:tc>
          <w:tcPr>
            <w:tcW w:w="559" w:type="dxa"/>
            <w:vMerge w:val="continue"/>
            <w:vAlign w:val="center"/>
          </w:tcPr>
          <w:p w14:paraId="0B0F2764">
            <w:pPr>
              <w:pStyle w:val="22"/>
              <w:bidi w:val="0"/>
              <w:jc w:val="center"/>
              <w:rPr>
                <w:highlight w:val="none"/>
              </w:rPr>
            </w:pPr>
          </w:p>
        </w:tc>
        <w:tc>
          <w:tcPr>
            <w:tcW w:w="0" w:type="auto"/>
            <w:shd w:val="clear" w:color="auto" w:fill="auto"/>
            <w:vAlign w:val="center"/>
          </w:tcPr>
          <w:p w14:paraId="15DB47A4">
            <w:pPr>
              <w:pStyle w:val="22"/>
              <w:bidi w:val="0"/>
              <w:jc w:val="center"/>
              <w:rPr>
                <w:highlight w:val="none"/>
                <w:lang w:val="en-US" w:eastAsia="en-US"/>
              </w:rPr>
            </w:pPr>
            <w:r>
              <w:rPr>
                <w:highlight w:val="none"/>
              </w:rPr>
              <w:t>香鼬</w:t>
            </w:r>
          </w:p>
        </w:tc>
        <w:tc>
          <w:tcPr>
            <w:tcW w:w="0" w:type="auto"/>
            <w:shd w:val="clear" w:color="auto" w:fill="auto"/>
            <w:vAlign w:val="center"/>
          </w:tcPr>
          <w:p w14:paraId="26521004">
            <w:pPr>
              <w:pStyle w:val="22"/>
              <w:bidi w:val="0"/>
              <w:jc w:val="center"/>
              <w:rPr>
                <w:i/>
                <w:iCs w:val="0"/>
                <w:highlight w:val="none"/>
                <w:lang w:val="en-US" w:eastAsia="zh-CN"/>
              </w:rPr>
            </w:pPr>
            <w:r>
              <w:rPr>
                <w:i/>
                <w:iCs w:val="0"/>
                <w:highlight w:val="none"/>
              </w:rPr>
              <w:t>Mustela altaica</w:t>
            </w:r>
          </w:p>
        </w:tc>
        <w:tc>
          <w:tcPr>
            <w:tcW w:w="0" w:type="auto"/>
            <w:shd w:val="clear" w:color="auto" w:fill="auto"/>
            <w:vAlign w:val="center"/>
          </w:tcPr>
          <w:p w14:paraId="65AD87A4">
            <w:pPr>
              <w:pStyle w:val="22"/>
              <w:bidi w:val="0"/>
              <w:jc w:val="center"/>
              <w:rPr>
                <w:highlight w:val="none"/>
                <w:lang w:val="en-US" w:eastAsia="zh-CN"/>
              </w:rPr>
            </w:pPr>
          </w:p>
        </w:tc>
        <w:tc>
          <w:tcPr>
            <w:tcW w:w="0" w:type="auto"/>
            <w:shd w:val="clear" w:color="auto" w:fill="auto"/>
            <w:vAlign w:val="center"/>
          </w:tcPr>
          <w:p w14:paraId="1FD182AA">
            <w:pPr>
              <w:pStyle w:val="22"/>
              <w:bidi w:val="0"/>
              <w:jc w:val="center"/>
              <w:rPr>
                <w:highlight w:val="none"/>
                <w:lang w:val="en-US" w:eastAsia="zh-CN"/>
              </w:rPr>
            </w:pPr>
            <w:r>
              <w:rPr>
                <w:highlight w:val="none"/>
              </w:rPr>
              <w:t>√</w:t>
            </w:r>
          </w:p>
        </w:tc>
        <w:tc>
          <w:tcPr>
            <w:tcW w:w="0" w:type="auto"/>
            <w:shd w:val="clear" w:color="auto" w:fill="auto"/>
            <w:vAlign w:val="center"/>
          </w:tcPr>
          <w:p w14:paraId="3498A367">
            <w:pPr>
              <w:pStyle w:val="22"/>
              <w:bidi w:val="0"/>
              <w:jc w:val="center"/>
              <w:rPr>
                <w:highlight w:val="none"/>
                <w:lang w:val="en-US" w:eastAsia="zh-CN"/>
              </w:rPr>
            </w:pPr>
            <w:r>
              <w:rPr>
                <w:highlight w:val="none"/>
              </w:rPr>
              <w:t>NT</w:t>
            </w:r>
          </w:p>
        </w:tc>
        <w:tc>
          <w:tcPr>
            <w:tcW w:w="0" w:type="auto"/>
            <w:shd w:val="clear" w:color="auto" w:fill="auto"/>
            <w:vAlign w:val="center"/>
          </w:tcPr>
          <w:p w14:paraId="005625F8">
            <w:pPr>
              <w:pStyle w:val="22"/>
              <w:bidi w:val="0"/>
              <w:jc w:val="center"/>
              <w:rPr>
                <w:highlight w:val="none"/>
                <w:lang w:val="en-US" w:eastAsia="zh-CN"/>
              </w:rPr>
            </w:pPr>
          </w:p>
        </w:tc>
        <w:tc>
          <w:tcPr>
            <w:tcW w:w="0" w:type="auto"/>
            <w:shd w:val="clear" w:color="auto" w:fill="auto"/>
            <w:vAlign w:val="center"/>
          </w:tcPr>
          <w:p w14:paraId="2940802C">
            <w:pPr>
              <w:pStyle w:val="22"/>
              <w:bidi w:val="0"/>
              <w:jc w:val="center"/>
              <w:rPr>
                <w:highlight w:val="none"/>
                <w:lang w:val="en-US" w:eastAsia="zh-CN"/>
              </w:rPr>
            </w:pPr>
          </w:p>
        </w:tc>
        <w:tc>
          <w:tcPr>
            <w:tcW w:w="0" w:type="auto"/>
            <w:shd w:val="clear" w:color="auto" w:fill="auto"/>
            <w:vAlign w:val="center"/>
          </w:tcPr>
          <w:p w14:paraId="5DC9D669">
            <w:pPr>
              <w:pStyle w:val="22"/>
              <w:bidi w:val="0"/>
              <w:jc w:val="center"/>
              <w:rPr>
                <w:highlight w:val="none"/>
                <w:lang w:val="en-US" w:eastAsia="zh-CN"/>
              </w:rPr>
            </w:pPr>
            <w:r>
              <w:rPr>
                <w:highlight w:val="none"/>
              </w:rPr>
              <w:t>√</w:t>
            </w:r>
          </w:p>
        </w:tc>
      </w:tr>
    </w:tbl>
    <w:p w14:paraId="38AA7330">
      <w:pPr>
        <w:bidi w:val="0"/>
        <w:ind w:left="0" w:leftChars="0" w:firstLine="0" w:firstLineChars="0"/>
        <w:rPr>
          <w:rFonts w:hint="default"/>
          <w:highlight w:val="none"/>
          <w:lang w:val="en-US" w:eastAsia="zh-CN"/>
        </w:rPr>
      </w:pPr>
    </w:p>
    <w:p w14:paraId="5347DBD0">
      <w:pPr>
        <w:pStyle w:val="6"/>
        <w:bidi w:val="0"/>
        <w:rPr>
          <w:rFonts w:hint="default"/>
          <w:highlight w:val="none"/>
          <w:lang w:val="en-US" w:eastAsia="zh-CN"/>
        </w:rPr>
      </w:pPr>
      <w:r>
        <w:rPr>
          <w:rFonts w:hint="eastAsia"/>
          <w:highlight w:val="none"/>
          <w:lang w:val="en-US" w:eastAsia="zh-CN"/>
        </w:rPr>
        <w:t>生态系统现状评价</w:t>
      </w:r>
    </w:p>
    <w:p w14:paraId="27510C18">
      <w:pPr>
        <w:rPr>
          <w:rFonts w:hint="default"/>
          <w:highlight w:val="none"/>
          <w:lang w:val="en-US" w:eastAsia="zh-CN"/>
        </w:rPr>
      </w:pPr>
      <w:r>
        <w:rPr>
          <w:rFonts w:hint="default"/>
          <w:highlight w:val="none"/>
          <w:lang w:val="en-US" w:eastAsia="zh-CN"/>
        </w:rPr>
        <w:t>按照《全国生态状况调查评估技术规范——生态系统遥感解译与野外核查》(HJ1166——2021)中生态系统分类体系，结合评价区域土地利用现状调查分析，评价区生态系统主要有森林生态系统、灌丛生态系统、草地生态系统、湿地生态系统、农田生态系统和城镇生态系统等，以森林生态系统为主。</w:t>
      </w:r>
    </w:p>
    <w:p w14:paraId="71521711">
      <w:pPr>
        <w:numPr>
          <w:ilvl w:val="0"/>
          <w:numId w:val="26"/>
        </w:numPr>
        <w:bidi w:val="0"/>
        <w:ind w:left="420" w:leftChars="0" w:hanging="420" w:firstLineChars="0"/>
        <w:rPr>
          <w:rFonts w:hint="default"/>
          <w:highlight w:val="none"/>
          <w:lang w:val="en-US" w:eastAsia="zh-CN"/>
        </w:rPr>
      </w:pPr>
      <w:r>
        <w:rPr>
          <w:rFonts w:hint="default"/>
          <w:highlight w:val="none"/>
          <w:lang w:val="en-US" w:eastAsia="zh-CN"/>
        </w:rPr>
        <w:t>评价区生态系统组成</w:t>
      </w:r>
    </w:p>
    <w:p w14:paraId="2D749BC9">
      <w:pPr>
        <w:bidi w:val="0"/>
        <w:rPr>
          <w:rFonts w:hint="default"/>
          <w:highlight w:val="none"/>
          <w:lang w:val="en-US" w:eastAsia="zh-CN"/>
        </w:rPr>
      </w:pPr>
      <w:r>
        <w:rPr>
          <w:rFonts w:hint="default"/>
          <w:highlight w:val="none"/>
          <w:lang w:val="en-US" w:eastAsia="zh-CN"/>
        </w:rPr>
        <w:t>评价区内陆生生态系统主要包括森林生态系统、灌草丛生态系统、农田生 态系统三大类。</w:t>
      </w:r>
    </w:p>
    <w:p w14:paraId="5C4FFBD4">
      <w:pPr>
        <w:bidi w:val="0"/>
        <w:rPr>
          <w:rFonts w:hint="default"/>
          <w:highlight w:val="none"/>
          <w:lang w:val="en-US" w:eastAsia="zh-CN"/>
        </w:rPr>
      </w:pPr>
      <w:r>
        <w:rPr>
          <w:rFonts w:hint="default"/>
          <w:highlight w:val="none"/>
          <w:lang w:val="en-US" w:eastAsia="zh-CN"/>
        </w:rPr>
        <w:t>（1）森林生态系统</w:t>
      </w:r>
    </w:p>
    <w:p w14:paraId="1D7A6CD2">
      <w:pPr>
        <w:bidi w:val="0"/>
        <w:rPr>
          <w:rFonts w:hint="default"/>
          <w:highlight w:val="none"/>
          <w:lang w:val="en-US" w:eastAsia="zh-CN"/>
        </w:rPr>
      </w:pPr>
      <w:r>
        <w:rPr>
          <w:rFonts w:hint="default"/>
          <w:highlight w:val="none"/>
          <w:lang w:val="en-US" w:eastAsia="zh-CN"/>
        </w:rPr>
        <w:t>森林生态系统由森林中的土壤、水、空气、阳光、微生物、植物、动物等  共同组成，是陆地上生物总量最高的生态系统，对陆地生态环境有决定性的影  响。森林生态系统是以乔木为主体的生物群落(包括植物、动物和微生物)及其   非生物环境(光、热、水、气、土壤等)综合组成的生态系统。森林生态系统服   务功能主要包括森林在涵养水源、保育土壤、防风固沙、固碳释氧、净化空气、 生物多样性保护及森林游憩等方面供的生态服务功能。</w:t>
      </w:r>
    </w:p>
    <w:p w14:paraId="740E7CA0">
      <w:pPr>
        <w:bidi w:val="0"/>
        <w:rPr>
          <w:rFonts w:hint="default"/>
          <w:highlight w:val="none"/>
          <w:lang w:val="en-US" w:eastAsia="zh-CN"/>
        </w:rPr>
      </w:pPr>
      <w:r>
        <w:rPr>
          <w:rFonts w:hint="default"/>
          <w:highlight w:val="none"/>
          <w:lang w:val="en-US" w:eastAsia="zh-CN"/>
        </w:rPr>
        <w:t>森林不仅能够为人类提供大量的木材和都中林副业产品，而且在维持生物 圈的稳定、改善生态环境等方面起着重要的作用。</w:t>
      </w:r>
    </w:p>
    <w:p w14:paraId="5DE91F1D">
      <w:pPr>
        <w:bidi w:val="0"/>
        <w:rPr>
          <w:rFonts w:hint="default"/>
          <w:highlight w:val="none"/>
          <w:lang w:val="en-US" w:eastAsia="zh-CN"/>
        </w:rPr>
      </w:pPr>
      <w:r>
        <w:rPr>
          <w:rFonts w:hint="default"/>
          <w:highlight w:val="none"/>
          <w:lang w:val="en-US" w:eastAsia="zh-CN"/>
        </w:rPr>
        <w:t>评价区内森林资源较为丰富，集中分布在评价区内的山坡、山脊地带。以 丽江云杉、长苞冷杉、高山松、矮高山栎、早熟禾等，森林覆盖面积约占评价 区总面积的 66% 。森林生态系统主要分布在海拔相对较高的区域，以人工林和 次生林为主。同评价区其它生态系统相比，该系统有着最复杂的组成，最完整 的结构，能量转换和物质循环最旺盛，因而生物生产力最高，生态效应最强， 因此，森林生态系统是评价区内最主要的生态系统类型。</w:t>
      </w:r>
    </w:p>
    <w:p w14:paraId="700D1EB3">
      <w:pPr>
        <w:bidi w:val="0"/>
        <w:rPr>
          <w:rFonts w:hint="default"/>
          <w:highlight w:val="none"/>
          <w:lang w:val="en-US" w:eastAsia="zh-CN"/>
        </w:rPr>
      </w:pPr>
      <w:r>
        <w:rPr>
          <w:rFonts w:hint="default"/>
          <w:highlight w:val="none"/>
          <w:lang w:val="en-US" w:eastAsia="zh-CN"/>
        </w:rPr>
        <w:t>（2）灌草从生态系统</w:t>
      </w:r>
    </w:p>
    <w:p w14:paraId="1BD345FE">
      <w:pPr>
        <w:bidi w:val="0"/>
        <w:rPr>
          <w:rFonts w:hint="default"/>
          <w:highlight w:val="none"/>
          <w:lang w:val="en-US" w:eastAsia="zh-CN"/>
        </w:rPr>
      </w:pPr>
      <w:r>
        <w:rPr>
          <w:rFonts w:hint="default"/>
          <w:highlight w:val="none"/>
          <w:lang w:val="en-US" w:eastAsia="zh-CN"/>
        </w:rPr>
        <w:t>灌丛生态系统是指由灌木和低矮的树木组成的生物群落，通常生长在干旱 或半干旱地区。灌丛生态系统具有独特的特点，对于维持生物多样性和生态平 衡具有重要的作用。灌丛生态系统通常分布在世界各地的干旱或半干旱地区，</w:t>
      </w:r>
    </w:p>
    <w:p w14:paraId="5FEF3C6D">
      <w:pPr>
        <w:bidi w:val="0"/>
        <w:rPr>
          <w:rFonts w:hint="default"/>
          <w:highlight w:val="none"/>
          <w:lang w:val="en-US" w:eastAsia="zh-CN"/>
        </w:rPr>
      </w:pPr>
      <w:r>
        <w:rPr>
          <w:rFonts w:hint="default"/>
          <w:highlight w:val="none"/>
          <w:lang w:val="en-US" w:eastAsia="zh-CN"/>
        </w:rPr>
        <w:t>如沙漠、荒漠、草原等。它们由多种灌木和低矮的树木组成，形成了一片密集、繁茂的植被。由于生长环境的限制，这些植物通常具有较长的根系和较小的叶片，以适应干燥和高温的气候条件。灌丛生态系统在维持生物多样性和生态平衡方面起着重要作用。首先，灌丛为众多动物提供了栖息地和食物来源。许多鸟类、哺乳动物和昆虫都依赖于灌丛生态系统中的植物来寻找庇护和食物。灌丛还为许多植物提供了理想的生长环境，使它们能够在干旱的气候条件下存活和繁衍。在本次调查中约 20%的面积属于上述类型。</w:t>
      </w:r>
    </w:p>
    <w:p w14:paraId="299F72AB">
      <w:pPr>
        <w:bidi w:val="0"/>
        <w:rPr>
          <w:rFonts w:hint="default"/>
          <w:highlight w:val="none"/>
          <w:lang w:val="en-US" w:eastAsia="zh-CN"/>
        </w:rPr>
      </w:pPr>
      <w:r>
        <w:rPr>
          <w:rFonts w:hint="default"/>
          <w:highlight w:val="none"/>
          <w:lang w:val="en-US" w:eastAsia="zh-CN"/>
        </w:rPr>
        <w:t>（3）农田生态系统</w:t>
      </w:r>
    </w:p>
    <w:p w14:paraId="0BE7CEB0">
      <w:pPr>
        <w:bidi w:val="0"/>
        <w:rPr>
          <w:rFonts w:hint="default"/>
          <w:highlight w:val="none"/>
          <w:lang w:val="en-US" w:eastAsia="zh-CN"/>
        </w:rPr>
      </w:pPr>
      <w:r>
        <w:rPr>
          <w:rFonts w:hint="default"/>
          <w:highlight w:val="none"/>
          <w:lang w:val="en-US" w:eastAsia="zh-CN"/>
        </w:rPr>
        <w:t>评价区内有部分农耕地生态系统，且农业生态系统面积较大。它是一种人 为干预下的“驯化 ”生态系统，其运行和结构既服从于一般生态系统的某些普 遍规律，又受到社会、经济、技术因素不断变化的影响。主要分布于公路两侧 的居民生态系统周边地表，总面积约占评价区总面积的 8% 。以种植青稞为主， 经济林以柑橘人工林为主。其明显特点是接近于人类居住地。</w:t>
      </w:r>
    </w:p>
    <w:p w14:paraId="15E6D1D7">
      <w:pPr>
        <w:bidi w:val="0"/>
        <w:rPr>
          <w:rFonts w:hint="default"/>
          <w:highlight w:val="none"/>
          <w:lang w:val="en-US" w:eastAsia="zh-CN"/>
        </w:rPr>
      </w:pPr>
      <w:r>
        <w:rPr>
          <w:rFonts w:hint="default"/>
          <w:highlight w:val="none"/>
          <w:lang w:val="en-US" w:eastAsia="zh-CN"/>
        </w:rPr>
        <w:t>评价区生态系统特征见下表。</w:t>
      </w:r>
    </w:p>
    <w:p w14:paraId="6B4A11FE">
      <w:pPr>
        <w:pStyle w:val="11"/>
        <w:bidi w:val="0"/>
        <w:ind w:left="0" w:leftChars="0" w:firstLine="0" w:firstLineChars="0"/>
        <w:rPr>
          <w:rFonts w:hint="eastAsia" w:eastAsia="黑体"/>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39</w:t>
      </w:r>
      <w:r>
        <w:rPr>
          <w:highlight w:val="none"/>
        </w:rPr>
        <w:fldChar w:fldCharType="end"/>
      </w:r>
      <w:r>
        <w:rPr>
          <w:rFonts w:hint="eastAsia"/>
          <w:highlight w:val="none"/>
          <w:lang w:val="en-US" w:eastAsia="zh-CN"/>
        </w:rPr>
        <w:t xml:space="preserve"> 评价范围生态系统类型及特征</w:t>
      </w:r>
    </w:p>
    <w:tbl>
      <w:tblPr>
        <w:tblStyle w:val="24"/>
        <w:tblW w:w="8509" w:type="dxa"/>
        <w:tblInd w:w="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32"/>
        <w:gridCol w:w="4834"/>
        <w:gridCol w:w="1843"/>
      </w:tblGrid>
      <w:tr w14:paraId="5B9DD7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0" w:hRule="atLeast"/>
        </w:trPr>
        <w:tc>
          <w:tcPr>
            <w:tcW w:w="1832" w:type="dxa"/>
            <w:tcBorders>
              <w:top w:val="single" w:color="000000" w:sz="6" w:space="0"/>
              <w:left w:val="single" w:color="000000" w:sz="6" w:space="0"/>
            </w:tcBorders>
            <w:vAlign w:val="center"/>
          </w:tcPr>
          <w:p w14:paraId="15784B6A">
            <w:pPr>
              <w:pStyle w:val="22"/>
              <w:bidi w:val="0"/>
              <w:jc w:val="center"/>
              <w:rPr>
                <w:highlight w:val="none"/>
              </w:rPr>
            </w:pPr>
            <w:r>
              <w:rPr>
                <w:highlight w:val="none"/>
              </w:rPr>
              <w:t>生态系统类型</w:t>
            </w:r>
          </w:p>
        </w:tc>
        <w:tc>
          <w:tcPr>
            <w:tcW w:w="4834" w:type="dxa"/>
            <w:tcBorders>
              <w:top w:val="single" w:color="000000" w:sz="6" w:space="0"/>
            </w:tcBorders>
            <w:vAlign w:val="center"/>
          </w:tcPr>
          <w:p w14:paraId="67807356">
            <w:pPr>
              <w:pStyle w:val="22"/>
              <w:bidi w:val="0"/>
              <w:jc w:val="center"/>
              <w:rPr>
                <w:highlight w:val="none"/>
              </w:rPr>
            </w:pPr>
            <w:r>
              <w:rPr>
                <w:highlight w:val="none"/>
              </w:rPr>
              <w:t>主要植物或特征</w:t>
            </w:r>
          </w:p>
        </w:tc>
        <w:tc>
          <w:tcPr>
            <w:tcW w:w="1843" w:type="dxa"/>
            <w:tcBorders>
              <w:top w:val="single" w:color="000000" w:sz="6" w:space="0"/>
              <w:right w:val="single" w:color="000000" w:sz="6" w:space="0"/>
            </w:tcBorders>
            <w:vAlign w:val="center"/>
          </w:tcPr>
          <w:p w14:paraId="7BC61976">
            <w:pPr>
              <w:pStyle w:val="22"/>
              <w:bidi w:val="0"/>
              <w:jc w:val="center"/>
              <w:rPr>
                <w:highlight w:val="none"/>
              </w:rPr>
            </w:pPr>
            <w:r>
              <w:rPr>
                <w:highlight w:val="none"/>
              </w:rPr>
              <w:t>分布地形</w:t>
            </w:r>
          </w:p>
        </w:tc>
      </w:tr>
      <w:tr w14:paraId="692B24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2" w:hRule="atLeast"/>
        </w:trPr>
        <w:tc>
          <w:tcPr>
            <w:tcW w:w="1832" w:type="dxa"/>
            <w:tcBorders>
              <w:left w:val="single" w:color="000000" w:sz="6" w:space="0"/>
            </w:tcBorders>
            <w:vAlign w:val="center"/>
          </w:tcPr>
          <w:p w14:paraId="11A47046">
            <w:pPr>
              <w:pStyle w:val="22"/>
              <w:bidi w:val="0"/>
              <w:jc w:val="center"/>
              <w:rPr>
                <w:highlight w:val="none"/>
              </w:rPr>
            </w:pPr>
            <w:r>
              <w:rPr>
                <w:highlight w:val="none"/>
              </w:rPr>
              <w:t>森林生态系统</w:t>
            </w:r>
          </w:p>
        </w:tc>
        <w:tc>
          <w:tcPr>
            <w:tcW w:w="4834" w:type="dxa"/>
            <w:vAlign w:val="center"/>
          </w:tcPr>
          <w:p w14:paraId="3BC18323">
            <w:pPr>
              <w:pStyle w:val="22"/>
              <w:bidi w:val="0"/>
              <w:jc w:val="center"/>
              <w:rPr>
                <w:highlight w:val="none"/>
              </w:rPr>
            </w:pPr>
            <w:r>
              <w:rPr>
                <w:highlight w:val="none"/>
              </w:rPr>
              <w:t>丽江云杉、长苞冷杉、高山松、矮高山</w:t>
            </w:r>
          </w:p>
          <w:p w14:paraId="12F2F0F3">
            <w:pPr>
              <w:pStyle w:val="22"/>
              <w:bidi w:val="0"/>
              <w:jc w:val="center"/>
              <w:rPr>
                <w:highlight w:val="none"/>
              </w:rPr>
            </w:pPr>
            <w:r>
              <w:rPr>
                <w:highlight w:val="none"/>
              </w:rPr>
              <w:t>栎、早熟禾等</w:t>
            </w:r>
          </w:p>
        </w:tc>
        <w:tc>
          <w:tcPr>
            <w:tcW w:w="1843" w:type="dxa"/>
            <w:tcBorders>
              <w:right w:val="single" w:color="000000" w:sz="6" w:space="0"/>
            </w:tcBorders>
            <w:vAlign w:val="center"/>
          </w:tcPr>
          <w:p w14:paraId="4D502FFA">
            <w:pPr>
              <w:pStyle w:val="22"/>
              <w:bidi w:val="0"/>
              <w:jc w:val="center"/>
              <w:rPr>
                <w:highlight w:val="none"/>
              </w:rPr>
            </w:pPr>
            <w:r>
              <w:rPr>
                <w:highlight w:val="none"/>
              </w:rPr>
              <w:t>丘陵、山地</w:t>
            </w:r>
          </w:p>
        </w:tc>
      </w:tr>
      <w:tr w14:paraId="64FF94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2" w:hRule="atLeast"/>
        </w:trPr>
        <w:tc>
          <w:tcPr>
            <w:tcW w:w="1832" w:type="dxa"/>
            <w:tcBorders>
              <w:left w:val="single" w:color="000000" w:sz="6" w:space="0"/>
            </w:tcBorders>
            <w:vAlign w:val="center"/>
          </w:tcPr>
          <w:p w14:paraId="76222E98">
            <w:pPr>
              <w:pStyle w:val="22"/>
              <w:bidi w:val="0"/>
              <w:jc w:val="center"/>
              <w:rPr>
                <w:highlight w:val="none"/>
              </w:rPr>
            </w:pPr>
            <w:r>
              <w:rPr>
                <w:highlight w:val="none"/>
              </w:rPr>
              <w:t>灌草从生态系统</w:t>
            </w:r>
          </w:p>
        </w:tc>
        <w:tc>
          <w:tcPr>
            <w:tcW w:w="4834" w:type="dxa"/>
            <w:vAlign w:val="center"/>
          </w:tcPr>
          <w:p w14:paraId="46DC5E04">
            <w:pPr>
              <w:pStyle w:val="22"/>
              <w:bidi w:val="0"/>
              <w:jc w:val="center"/>
              <w:rPr>
                <w:highlight w:val="none"/>
              </w:rPr>
            </w:pPr>
            <w:r>
              <w:rPr>
                <w:highlight w:val="none"/>
              </w:rPr>
              <w:t>以盐肤木、川莓、茅莓、马桑、紫麻、香 椿、女贞、竹叶花椒、火棘、杜鹃、勾儿茶等 为优势种的灌丛，以狗尾草、藿香蓟、马唐、</w:t>
            </w:r>
            <w:r>
              <w:rPr>
                <w:rFonts w:hint="eastAsia"/>
                <w:highlight w:val="none"/>
              </w:rPr>
              <w:t>刺苋、苎麻、凹头苋、鸭跖草、干旱毛蕨、蛇 莓、艾蒿、荩草、葎草等为优势种的山地草丛</w:t>
            </w:r>
          </w:p>
        </w:tc>
        <w:tc>
          <w:tcPr>
            <w:tcW w:w="1843" w:type="dxa"/>
            <w:tcBorders>
              <w:right w:val="single" w:color="000000" w:sz="6" w:space="0"/>
            </w:tcBorders>
            <w:vAlign w:val="center"/>
          </w:tcPr>
          <w:p w14:paraId="00DA7EC3">
            <w:pPr>
              <w:pStyle w:val="22"/>
              <w:bidi w:val="0"/>
              <w:jc w:val="center"/>
              <w:rPr>
                <w:highlight w:val="none"/>
              </w:rPr>
            </w:pPr>
            <w:r>
              <w:rPr>
                <w:highlight w:val="none"/>
              </w:rPr>
              <w:t>丘陵、林缘、土壤贫瘠区</w:t>
            </w:r>
          </w:p>
        </w:tc>
      </w:tr>
      <w:tr w14:paraId="7E751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 w:hRule="atLeast"/>
        </w:trPr>
        <w:tc>
          <w:tcPr>
            <w:tcW w:w="1832" w:type="dxa"/>
            <w:tcBorders>
              <w:left w:val="single" w:color="000000" w:sz="6" w:space="0"/>
            </w:tcBorders>
            <w:vAlign w:val="center"/>
          </w:tcPr>
          <w:p w14:paraId="13E2234E">
            <w:pPr>
              <w:pStyle w:val="22"/>
              <w:bidi w:val="0"/>
              <w:jc w:val="center"/>
              <w:rPr>
                <w:highlight w:val="none"/>
              </w:rPr>
            </w:pPr>
            <w:r>
              <w:rPr>
                <w:highlight w:val="none"/>
              </w:rPr>
              <w:t>居民及道路生态系统</w:t>
            </w:r>
          </w:p>
        </w:tc>
        <w:tc>
          <w:tcPr>
            <w:tcW w:w="4834" w:type="dxa"/>
            <w:vAlign w:val="center"/>
          </w:tcPr>
          <w:p w14:paraId="0D0DCEF2">
            <w:pPr>
              <w:pStyle w:val="22"/>
              <w:bidi w:val="0"/>
              <w:jc w:val="center"/>
              <w:rPr>
                <w:highlight w:val="none"/>
              </w:rPr>
            </w:pPr>
            <w:r>
              <w:rPr>
                <w:highlight w:val="none"/>
              </w:rPr>
              <w:t>农村宅基地、乡村道路</w:t>
            </w:r>
          </w:p>
        </w:tc>
        <w:tc>
          <w:tcPr>
            <w:tcW w:w="1843" w:type="dxa"/>
            <w:tcBorders>
              <w:right w:val="single" w:color="000000" w:sz="6" w:space="0"/>
            </w:tcBorders>
            <w:vAlign w:val="center"/>
          </w:tcPr>
          <w:p w14:paraId="00E95B73">
            <w:pPr>
              <w:pStyle w:val="22"/>
              <w:bidi w:val="0"/>
              <w:jc w:val="center"/>
              <w:rPr>
                <w:highlight w:val="none"/>
              </w:rPr>
            </w:pPr>
            <w:r>
              <w:rPr>
                <w:highlight w:val="none"/>
              </w:rPr>
              <w:t>丘陵、路边</w:t>
            </w:r>
          </w:p>
        </w:tc>
      </w:tr>
      <w:tr w14:paraId="0DAF99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832" w:type="dxa"/>
            <w:tcBorders>
              <w:left w:val="single" w:color="000000" w:sz="6" w:space="0"/>
            </w:tcBorders>
            <w:vAlign w:val="center"/>
          </w:tcPr>
          <w:p w14:paraId="71289B28">
            <w:pPr>
              <w:pStyle w:val="22"/>
              <w:bidi w:val="0"/>
              <w:jc w:val="center"/>
              <w:rPr>
                <w:highlight w:val="none"/>
              </w:rPr>
            </w:pPr>
            <w:r>
              <w:rPr>
                <w:highlight w:val="none"/>
              </w:rPr>
              <w:t>农田生态系统</w:t>
            </w:r>
          </w:p>
        </w:tc>
        <w:tc>
          <w:tcPr>
            <w:tcW w:w="4834" w:type="dxa"/>
            <w:vAlign w:val="center"/>
          </w:tcPr>
          <w:p w14:paraId="5CCC3847">
            <w:pPr>
              <w:pStyle w:val="22"/>
              <w:bidi w:val="0"/>
              <w:jc w:val="center"/>
              <w:rPr>
                <w:highlight w:val="none"/>
              </w:rPr>
            </w:pPr>
            <w:r>
              <w:rPr>
                <w:highlight w:val="none"/>
              </w:rPr>
              <w:t>红薯、玉米、芝麻、花生等</w:t>
            </w:r>
          </w:p>
        </w:tc>
        <w:tc>
          <w:tcPr>
            <w:tcW w:w="1843" w:type="dxa"/>
            <w:tcBorders>
              <w:right w:val="single" w:color="000000" w:sz="6" w:space="0"/>
            </w:tcBorders>
            <w:vAlign w:val="center"/>
          </w:tcPr>
          <w:p w14:paraId="4742C559">
            <w:pPr>
              <w:pStyle w:val="22"/>
              <w:bidi w:val="0"/>
              <w:jc w:val="center"/>
              <w:rPr>
                <w:highlight w:val="none"/>
              </w:rPr>
            </w:pPr>
            <w:r>
              <w:rPr>
                <w:highlight w:val="none"/>
              </w:rPr>
              <w:t>平原阶地、沟 谷</w:t>
            </w:r>
          </w:p>
        </w:tc>
      </w:tr>
      <w:tr w14:paraId="1C9638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 w:hRule="atLeast"/>
        </w:trPr>
        <w:tc>
          <w:tcPr>
            <w:tcW w:w="1832" w:type="dxa"/>
            <w:tcBorders>
              <w:left w:val="single" w:color="000000" w:sz="6" w:space="0"/>
              <w:bottom w:val="single" w:color="000000" w:sz="6" w:space="0"/>
            </w:tcBorders>
            <w:vAlign w:val="center"/>
          </w:tcPr>
          <w:p w14:paraId="6935D4E5">
            <w:pPr>
              <w:pStyle w:val="22"/>
              <w:bidi w:val="0"/>
              <w:jc w:val="center"/>
              <w:rPr>
                <w:highlight w:val="none"/>
              </w:rPr>
            </w:pPr>
            <w:r>
              <w:rPr>
                <w:highlight w:val="none"/>
              </w:rPr>
              <w:t>水域与水利设施系统</w:t>
            </w:r>
          </w:p>
        </w:tc>
        <w:tc>
          <w:tcPr>
            <w:tcW w:w="4834" w:type="dxa"/>
            <w:tcBorders>
              <w:bottom w:val="single" w:color="000000" w:sz="6" w:space="0"/>
            </w:tcBorders>
            <w:vAlign w:val="center"/>
          </w:tcPr>
          <w:p w14:paraId="15C20FAC">
            <w:pPr>
              <w:pStyle w:val="22"/>
              <w:bidi w:val="0"/>
              <w:jc w:val="center"/>
              <w:rPr>
                <w:highlight w:val="none"/>
              </w:rPr>
            </w:pPr>
            <w:r>
              <w:rPr>
                <w:highlight w:val="none"/>
              </w:rPr>
              <w:t>河流水面、坑塘水面</w:t>
            </w:r>
          </w:p>
        </w:tc>
        <w:tc>
          <w:tcPr>
            <w:tcW w:w="1843" w:type="dxa"/>
            <w:tcBorders>
              <w:bottom w:val="single" w:color="000000" w:sz="6" w:space="0"/>
              <w:right w:val="single" w:color="000000" w:sz="6" w:space="0"/>
            </w:tcBorders>
            <w:vAlign w:val="center"/>
          </w:tcPr>
          <w:p w14:paraId="38CAF37D">
            <w:pPr>
              <w:pStyle w:val="22"/>
              <w:bidi w:val="0"/>
              <w:jc w:val="center"/>
              <w:rPr>
                <w:highlight w:val="none"/>
              </w:rPr>
            </w:pPr>
            <w:r>
              <w:rPr>
                <w:highlight w:val="none"/>
              </w:rPr>
              <w:t>丘陵</w:t>
            </w:r>
          </w:p>
        </w:tc>
      </w:tr>
    </w:tbl>
    <w:p w14:paraId="5D55701E">
      <w:pPr>
        <w:bidi w:val="0"/>
        <w:ind w:left="0" w:leftChars="0" w:firstLine="0" w:firstLineChars="0"/>
        <w:rPr>
          <w:rFonts w:hint="default"/>
          <w:highlight w:val="none"/>
          <w:lang w:val="en-US" w:eastAsia="zh-CN"/>
        </w:rPr>
      </w:pPr>
    </w:p>
    <w:p w14:paraId="6DE056C3">
      <w:pPr>
        <w:bidi w:val="0"/>
        <w:rPr>
          <w:rFonts w:hint="default"/>
          <w:highlight w:val="none"/>
          <w:lang w:val="en-US" w:eastAsia="zh-CN"/>
        </w:rPr>
      </w:pPr>
      <w:r>
        <w:rPr>
          <w:rFonts w:hint="default"/>
          <w:highlight w:val="none"/>
          <w:lang w:val="en-US" w:eastAsia="zh-CN"/>
        </w:rPr>
        <w:t>总体上看，评价区具有生态系统类型多样、复杂的特点，其中森林生态系 统所占比例较高，灌丛生态系统次之，农田生态系统居民及道路生态系统分布 较少。</w:t>
      </w:r>
    </w:p>
    <w:p w14:paraId="0C9F605A">
      <w:pPr>
        <w:numPr>
          <w:ilvl w:val="0"/>
          <w:numId w:val="26"/>
        </w:numPr>
        <w:bidi w:val="0"/>
        <w:ind w:left="420" w:leftChars="0" w:hanging="420" w:firstLineChars="0"/>
        <w:rPr>
          <w:rFonts w:hint="default"/>
          <w:highlight w:val="none"/>
          <w:lang w:val="en-US" w:eastAsia="zh-CN"/>
        </w:rPr>
      </w:pPr>
      <w:r>
        <w:rPr>
          <w:rFonts w:hint="default"/>
          <w:highlight w:val="none"/>
          <w:lang w:val="en-US" w:eastAsia="zh-CN"/>
        </w:rPr>
        <w:t>生态系统面积分析</w:t>
      </w:r>
    </w:p>
    <w:p w14:paraId="7D32F523">
      <w:pPr>
        <w:bidi w:val="0"/>
        <w:rPr>
          <w:rFonts w:hint="default"/>
          <w:highlight w:val="none"/>
          <w:lang w:val="en-US" w:eastAsia="zh-CN"/>
        </w:rPr>
      </w:pPr>
      <w:r>
        <w:rPr>
          <w:rFonts w:hint="default"/>
          <w:highlight w:val="none"/>
          <w:lang w:val="en-US" w:eastAsia="zh-CN"/>
        </w:rPr>
        <w:t>基于卫星遥感影像、现场调查核实，按照《全国生态状况调查评估技术规 范——生态系统遥感解译与野外核查》(HJ1166—2021)要求，对评价区域生态  系统开展遥感解译与调查，同时结合区域土地利用现状、植被类型等解译和调 查 结果，将评价范围内生态系统分为森林生态系统、灌丛生态系统、草地生态 系统、 湿地生态系统、农田生态系统、城镇生态系统等六大类，经过人机交互 遥感解译、野外核查和精度验证，制作评价范围的生态系统类型图。根据生态 系统类型图，统计评价范围内各生态系统类型及面积，如下表所示。</w:t>
      </w:r>
    </w:p>
    <w:p w14:paraId="390FF0CE">
      <w:pPr>
        <w:pStyle w:val="11"/>
        <w:bidi w:val="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40</w:t>
      </w:r>
      <w:r>
        <w:rPr>
          <w:highlight w:val="none"/>
        </w:rPr>
        <w:fldChar w:fldCharType="end"/>
      </w:r>
      <w:r>
        <w:rPr>
          <w:rFonts w:hint="default"/>
          <w:highlight w:val="none"/>
          <w:lang w:val="en-US" w:eastAsia="zh-CN"/>
        </w:rPr>
        <w:t>评价范围生态系统面积及比例</w:t>
      </w:r>
    </w:p>
    <w:tbl>
      <w:tblPr>
        <w:tblStyle w:val="24"/>
        <w:tblW w:w="8300" w:type="dxa"/>
        <w:tblInd w:w="1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187"/>
        <w:gridCol w:w="2595"/>
        <w:gridCol w:w="2518"/>
      </w:tblGrid>
      <w:tr w14:paraId="631ECD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3187" w:type="dxa"/>
            <w:vAlign w:val="top"/>
          </w:tcPr>
          <w:p w14:paraId="021A6F5F">
            <w:pPr>
              <w:pStyle w:val="22"/>
              <w:bidi w:val="0"/>
              <w:rPr>
                <w:highlight w:val="none"/>
              </w:rPr>
            </w:pPr>
            <w:r>
              <w:rPr>
                <w:highlight w:val="none"/>
              </w:rPr>
              <w:t>类型</w:t>
            </w:r>
          </w:p>
        </w:tc>
        <w:tc>
          <w:tcPr>
            <w:tcW w:w="2595" w:type="dxa"/>
            <w:vAlign w:val="top"/>
          </w:tcPr>
          <w:p w14:paraId="06387C2F">
            <w:pPr>
              <w:pStyle w:val="22"/>
              <w:bidi w:val="0"/>
              <w:rPr>
                <w:highlight w:val="none"/>
              </w:rPr>
            </w:pPr>
            <w:r>
              <w:rPr>
                <w:highlight w:val="none"/>
              </w:rPr>
              <w:t>面积（km</w:t>
            </w:r>
            <w:r>
              <w:rPr>
                <w:highlight w:val="none"/>
                <w:vertAlign w:val="superscript"/>
              </w:rPr>
              <w:t>2</w:t>
            </w:r>
            <w:r>
              <w:rPr>
                <w:highlight w:val="none"/>
              </w:rPr>
              <w:t>）</w:t>
            </w:r>
          </w:p>
        </w:tc>
        <w:tc>
          <w:tcPr>
            <w:tcW w:w="2518" w:type="dxa"/>
            <w:vAlign w:val="top"/>
          </w:tcPr>
          <w:p w14:paraId="5A4BB7EB">
            <w:pPr>
              <w:pStyle w:val="22"/>
              <w:bidi w:val="0"/>
              <w:rPr>
                <w:highlight w:val="none"/>
              </w:rPr>
            </w:pPr>
            <w:r>
              <w:rPr>
                <w:highlight w:val="none"/>
              </w:rPr>
              <w:t>比例</w:t>
            </w:r>
          </w:p>
        </w:tc>
      </w:tr>
      <w:tr w14:paraId="0311DB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3187" w:type="dxa"/>
            <w:vAlign w:val="top"/>
          </w:tcPr>
          <w:p w14:paraId="3AA5DF70">
            <w:pPr>
              <w:pStyle w:val="22"/>
              <w:bidi w:val="0"/>
              <w:rPr>
                <w:highlight w:val="none"/>
              </w:rPr>
            </w:pPr>
            <w:r>
              <w:rPr>
                <w:highlight w:val="none"/>
              </w:rPr>
              <w:t>森林生态系统</w:t>
            </w:r>
          </w:p>
        </w:tc>
        <w:tc>
          <w:tcPr>
            <w:tcW w:w="2595" w:type="dxa"/>
            <w:vAlign w:val="top"/>
          </w:tcPr>
          <w:p w14:paraId="5B7C2031">
            <w:pPr>
              <w:pStyle w:val="22"/>
              <w:bidi w:val="0"/>
              <w:rPr>
                <w:highlight w:val="none"/>
              </w:rPr>
            </w:pPr>
            <w:r>
              <w:rPr>
                <w:highlight w:val="none"/>
              </w:rPr>
              <w:t>23.8279942</w:t>
            </w:r>
          </w:p>
        </w:tc>
        <w:tc>
          <w:tcPr>
            <w:tcW w:w="2518" w:type="dxa"/>
            <w:vAlign w:val="top"/>
          </w:tcPr>
          <w:p w14:paraId="704C64A2">
            <w:pPr>
              <w:pStyle w:val="22"/>
              <w:bidi w:val="0"/>
              <w:rPr>
                <w:highlight w:val="none"/>
              </w:rPr>
            </w:pPr>
            <w:r>
              <w:rPr>
                <w:highlight w:val="none"/>
              </w:rPr>
              <w:t>42.88%</w:t>
            </w:r>
          </w:p>
        </w:tc>
      </w:tr>
      <w:tr w14:paraId="5C7FFC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3187" w:type="dxa"/>
            <w:vAlign w:val="top"/>
          </w:tcPr>
          <w:p w14:paraId="4124739D">
            <w:pPr>
              <w:pStyle w:val="22"/>
              <w:bidi w:val="0"/>
              <w:rPr>
                <w:highlight w:val="none"/>
              </w:rPr>
            </w:pPr>
            <w:r>
              <w:rPr>
                <w:highlight w:val="none"/>
              </w:rPr>
              <w:t>灌丛生态系统</w:t>
            </w:r>
          </w:p>
        </w:tc>
        <w:tc>
          <w:tcPr>
            <w:tcW w:w="2595" w:type="dxa"/>
            <w:vAlign w:val="top"/>
          </w:tcPr>
          <w:p w14:paraId="1CA53BBF">
            <w:pPr>
              <w:pStyle w:val="22"/>
              <w:bidi w:val="0"/>
              <w:rPr>
                <w:highlight w:val="none"/>
              </w:rPr>
            </w:pPr>
            <w:r>
              <w:rPr>
                <w:highlight w:val="none"/>
              </w:rPr>
              <w:t>6.7460001</w:t>
            </w:r>
          </w:p>
        </w:tc>
        <w:tc>
          <w:tcPr>
            <w:tcW w:w="2518" w:type="dxa"/>
            <w:vAlign w:val="top"/>
          </w:tcPr>
          <w:p w14:paraId="7794C52C">
            <w:pPr>
              <w:pStyle w:val="22"/>
              <w:bidi w:val="0"/>
              <w:rPr>
                <w:highlight w:val="none"/>
              </w:rPr>
            </w:pPr>
            <w:r>
              <w:rPr>
                <w:highlight w:val="none"/>
              </w:rPr>
              <w:t>12. 14%</w:t>
            </w:r>
          </w:p>
        </w:tc>
      </w:tr>
      <w:tr w14:paraId="691878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3187" w:type="dxa"/>
            <w:vAlign w:val="top"/>
          </w:tcPr>
          <w:p w14:paraId="0BA29DD4">
            <w:pPr>
              <w:pStyle w:val="22"/>
              <w:bidi w:val="0"/>
              <w:rPr>
                <w:highlight w:val="none"/>
              </w:rPr>
            </w:pPr>
            <w:r>
              <w:rPr>
                <w:highlight w:val="none"/>
              </w:rPr>
              <w:t>草地生态系统</w:t>
            </w:r>
          </w:p>
        </w:tc>
        <w:tc>
          <w:tcPr>
            <w:tcW w:w="2595" w:type="dxa"/>
            <w:vAlign w:val="top"/>
          </w:tcPr>
          <w:p w14:paraId="3FF1AA33">
            <w:pPr>
              <w:pStyle w:val="22"/>
              <w:bidi w:val="0"/>
              <w:rPr>
                <w:highlight w:val="none"/>
              </w:rPr>
            </w:pPr>
            <w:r>
              <w:rPr>
                <w:highlight w:val="none"/>
              </w:rPr>
              <w:t>16.3478012</w:t>
            </w:r>
          </w:p>
        </w:tc>
        <w:tc>
          <w:tcPr>
            <w:tcW w:w="2518" w:type="dxa"/>
            <w:vAlign w:val="top"/>
          </w:tcPr>
          <w:p w14:paraId="1D4D2F83">
            <w:pPr>
              <w:pStyle w:val="22"/>
              <w:bidi w:val="0"/>
              <w:rPr>
                <w:highlight w:val="none"/>
              </w:rPr>
            </w:pPr>
            <w:r>
              <w:rPr>
                <w:highlight w:val="none"/>
              </w:rPr>
              <w:t>29.42%</w:t>
            </w:r>
          </w:p>
        </w:tc>
      </w:tr>
      <w:tr w14:paraId="2E8C00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3187" w:type="dxa"/>
            <w:vAlign w:val="top"/>
          </w:tcPr>
          <w:p w14:paraId="2D6B2590">
            <w:pPr>
              <w:pStyle w:val="22"/>
              <w:bidi w:val="0"/>
              <w:rPr>
                <w:highlight w:val="none"/>
              </w:rPr>
            </w:pPr>
            <w:r>
              <w:rPr>
                <w:highlight w:val="none"/>
              </w:rPr>
              <w:t>湿地生态系统</w:t>
            </w:r>
          </w:p>
        </w:tc>
        <w:tc>
          <w:tcPr>
            <w:tcW w:w="2595" w:type="dxa"/>
            <w:vAlign w:val="top"/>
          </w:tcPr>
          <w:p w14:paraId="1928D268">
            <w:pPr>
              <w:pStyle w:val="22"/>
              <w:bidi w:val="0"/>
              <w:rPr>
                <w:highlight w:val="none"/>
              </w:rPr>
            </w:pPr>
            <w:r>
              <w:rPr>
                <w:highlight w:val="none"/>
              </w:rPr>
              <w:t>0.01673</w:t>
            </w:r>
          </w:p>
        </w:tc>
        <w:tc>
          <w:tcPr>
            <w:tcW w:w="2518" w:type="dxa"/>
            <w:vAlign w:val="top"/>
          </w:tcPr>
          <w:p w14:paraId="6E0ECF19">
            <w:pPr>
              <w:pStyle w:val="22"/>
              <w:bidi w:val="0"/>
              <w:rPr>
                <w:highlight w:val="none"/>
              </w:rPr>
            </w:pPr>
            <w:r>
              <w:rPr>
                <w:highlight w:val="none"/>
              </w:rPr>
              <w:t>0.03%</w:t>
            </w:r>
          </w:p>
        </w:tc>
      </w:tr>
      <w:tr w14:paraId="09BF93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3187" w:type="dxa"/>
            <w:vAlign w:val="top"/>
          </w:tcPr>
          <w:p w14:paraId="61254E90">
            <w:pPr>
              <w:pStyle w:val="22"/>
              <w:bidi w:val="0"/>
              <w:rPr>
                <w:highlight w:val="none"/>
              </w:rPr>
            </w:pPr>
            <w:r>
              <w:rPr>
                <w:highlight w:val="none"/>
              </w:rPr>
              <w:t>农田生态系统</w:t>
            </w:r>
          </w:p>
        </w:tc>
        <w:tc>
          <w:tcPr>
            <w:tcW w:w="2595" w:type="dxa"/>
            <w:vAlign w:val="top"/>
          </w:tcPr>
          <w:p w14:paraId="18B42E9A">
            <w:pPr>
              <w:pStyle w:val="22"/>
              <w:bidi w:val="0"/>
              <w:rPr>
                <w:highlight w:val="none"/>
              </w:rPr>
            </w:pPr>
            <w:r>
              <w:rPr>
                <w:highlight w:val="none"/>
              </w:rPr>
              <w:t>5.4560273</w:t>
            </w:r>
          </w:p>
        </w:tc>
        <w:tc>
          <w:tcPr>
            <w:tcW w:w="2518" w:type="dxa"/>
            <w:vAlign w:val="top"/>
          </w:tcPr>
          <w:p w14:paraId="188A9D38">
            <w:pPr>
              <w:pStyle w:val="22"/>
              <w:bidi w:val="0"/>
              <w:rPr>
                <w:highlight w:val="none"/>
              </w:rPr>
            </w:pPr>
            <w:r>
              <w:rPr>
                <w:highlight w:val="none"/>
              </w:rPr>
              <w:t>9.82%</w:t>
            </w:r>
          </w:p>
        </w:tc>
      </w:tr>
      <w:tr w14:paraId="3CE73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3187" w:type="dxa"/>
            <w:vAlign w:val="top"/>
          </w:tcPr>
          <w:p w14:paraId="27EA276D">
            <w:pPr>
              <w:pStyle w:val="22"/>
              <w:bidi w:val="0"/>
              <w:rPr>
                <w:highlight w:val="none"/>
              </w:rPr>
            </w:pPr>
            <w:r>
              <w:rPr>
                <w:highlight w:val="none"/>
              </w:rPr>
              <w:t>城镇生态系统</w:t>
            </w:r>
          </w:p>
        </w:tc>
        <w:tc>
          <w:tcPr>
            <w:tcW w:w="2595" w:type="dxa"/>
            <w:vAlign w:val="top"/>
          </w:tcPr>
          <w:p w14:paraId="69EBDDC4">
            <w:pPr>
              <w:pStyle w:val="22"/>
              <w:bidi w:val="0"/>
              <w:rPr>
                <w:highlight w:val="none"/>
              </w:rPr>
            </w:pPr>
            <w:r>
              <w:rPr>
                <w:highlight w:val="none"/>
              </w:rPr>
              <w:t>3.1797472</w:t>
            </w:r>
          </w:p>
        </w:tc>
        <w:tc>
          <w:tcPr>
            <w:tcW w:w="2518" w:type="dxa"/>
            <w:vAlign w:val="top"/>
          </w:tcPr>
          <w:p w14:paraId="2EE3A52F">
            <w:pPr>
              <w:pStyle w:val="22"/>
              <w:bidi w:val="0"/>
              <w:rPr>
                <w:highlight w:val="none"/>
              </w:rPr>
            </w:pPr>
            <w:r>
              <w:rPr>
                <w:highlight w:val="none"/>
              </w:rPr>
              <w:t>5.72%</w:t>
            </w:r>
          </w:p>
        </w:tc>
      </w:tr>
      <w:tr w14:paraId="353CC5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3187" w:type="dxa"/>
            <w:vAlign w:val="top"/>
          </w:tcPr>
          <w:p w14:paraId="655697F0">
            <w:pPr>
              <w:pStyle w:val="22"/>
              <w:bidi w:val="0"/>
              <w:rPr>
                <w:highlight w:val="none"/>
              </w:rPr>
            </w:pPr>
            <w:r>
              <w:rPr>
                <w:highlight w:val="none"/>
              </w:rPr>
              <w:t>合计</w:t>
            </w:r>
          </w:p>
        </w:tc>
        <w:tc>
          <w:tcPr>
            <w:tcW w:w="2595" w:type="dxa"/>
            <w:vAlign w:val="top"/>
          </w:tcPr>
          <w:p w14:paraId="4617DFC0">
            <w:pPr>
              <w:pStyle w:val="22"/>
              <w:bidi w:val="0"/>
              <w:rPr>
                <w:highlight w:val="none"/>
              </w:rPr>
            </w:pPr>
            <w:r>
              <w:rPr>
                <w:highlight w:val="none"/>
              </w:rPr>
              <w:t>55.5743</w:t>
            </w:r>
          </w:p>
        </w:tc>
        <w:tc>
          <w:tcPr>
            <w:tcW w:w="2518" w:type="dxa"/>
            <w:vAlign w:val="top"/>
          </w:tcPr>
          <w:p w14:paraId="5CDA88B0">
            <w:pPr>
              <w:pStyle w:val="22"/>
              <w:bidi w:val="0"/>
              <w:rPr>
                <w:highlight w:val="none"/>
              </w:rPr>
            </w:pPr>
            <w:r>
              <w:rPr>
                <w:highlight w:val="none"/>
              </w:rPr>
              <w:t>100%</w:t>
            </w:r>
          </w:p>
        </w:tc>
      </w:tr>
    </w:tbl>
    <w:p w14:paraId="1978CF0D">
      <w:pPr>
        <w:bidi w:val="0"/>
        <w:ind w:left="0" w:leftChars="0" w:firstLine="0" w:firstLineChars="0"/>
        <w:rPr>
          <w:rFonts w:hint="default"/>
          <w:highlight w:val="none"/>
          <w:lang w:val="en-US" w:eastAsia="zh-CN"/>
        </w:rPr>
      </w:pPr>
    </w:p>
    <w:p w14:paraId="364FFBB6">
      <w:pPr>
        <w:numPr>
          <w:ilvl w:val="0"/>
          <w:numId w:val="26"/>
        </w:numPr>
        <w:bidi w:val="0"/>
        <w:ind w:left="420" w:leftChars="0" w:hanging="420" w:firstLineChars="0"/>
        <w:rPr>
          <w:rFonts w:hint="default"/>
          <w:highlight w:val="none"/>
          <w:lang w:val="en-US" w:eastAsia="zh-CN"/>
        </w:rPr>
      </w:pPr>
      <w:r>
        <w:rPr>
          <w:rFonts w:hint="default"/>
          <w:highlight w:val="none"/>
          <w:lang w:val="en-US" w:eastAsia="zh-CN"/>
        </w:rPr>
        <w:t>生态系统生物量估算</w:t>
      </w:r>
    </w:p>
    <w:p w14:paraId="6FBE49DF">
      <w:pPr>
        <w:bidi w:val="0"/>
        <w:rPr>
          <w:rFonts w:hint="default"/>
          <w:highlight w:val="none"/>
          <w:lang w:val="en-US" w:eastAsia="zh-CN"/>
        </w:rPr>
      </w:pPr>
      <w:r>
        <w:rPr>
          <w:rFonts w:hint="default"/>
          <w:highlight w:val="none"/>
          <w:lang w:val="en-US" w:eastAsia="zh-CN"/>
        </w:rPr>
        <w:t>本项目乔木、灌丛和草丛植被等相关数据的生物量计算依据现场测量进行 估算结合访问当地农民和村社干部得出数据。本项目评价区各种植被类型的面 积、平均单位面积生产量和总生产量如下表。</w:t>
      </w:r>
    </w:p>
    <w:p w14:paraId="15B264EF">
      <w:pPr>
        <w:bidi w:val="0"/>
        <w:rPr>
          <w:rFonts w:hint="default"/>
          <w:highlight w:val="none"/>
          <w:lang w:val="en-US" w:eastAsia="zh-CN"/>
        </w:rPr>
      </w:pPr>
      <w:r>
        <w:rPr>
          <w:rFonts w:hint="default"/>
          <w:highlight w:val="none"/>
          <w:lang w:val="en-US" w:eastAsia="zh-CN"/>
        </w:rPr>
        <w:t>由下表可知，本项目评价区总面积55.5743 km</w:t>
      </w:r>
      <w:r>
        <w:rPr>
          <w:rFonts w:hint="default"/>
          <w:highlight w:val="none"/>
          <w:vertAlign w:val="superscript"/>
          <w:lang w:val="en-US" w:eastAsia="zh-CN"/>
        </w:rPr>
        <w:t>2</w:t>
      </w:r>
      <w:r>
        <w:rPr>
          <w:rFonts w:hint="default"/>
          <w:highlight w:val="none"/>
          <w:lang w:val="en-US" w:eastAsia="zh-CN"/>
        </w:rPr>
        <w:t xml:space="preserve"> ，总生物量 119220.06 t ，其中森林生态系统占比最大，生物量113820.29 t ，占评价区总生物量的 56.37%。</w:t>
      </w:r>
    </w:p>
    <w:p w14:paraId="776070F0">
      <w:pPr>
        <w:pStyle w:val="11"/>
        <w:bidi w:val="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41</w:t>
      </w:r>
      <w:r>
        <w:rPr>
          <w:highlight w:val="none"/>
        </w:rPr>
        <w:fldChar w:fldCharType="end"/>
      </w:r>
      <w:r>
        <w:rPr>
          <w:rFonts w:hint="eastAsia"/>
          <w:highlight w:val="none"/>
          <w:lang w:val="en-US" w:eastAsia="zh-CN"/>
        </w:rPr>
        <w:t xml:space="preserve"> </w:t>
      </w:r>
      <w:r>
        <w:rPr>
          <w:rFonts w:hint="default"/>
          <w:highlight w:val="none"/>
          <w:lang w:val="en-US" w:eastAsia="zh-CN"/>
        </w:rPr>
        <w:t>评价范围内不同植被类型生物量</w:t>
      </w:r>
    </w:p>
    <w:tbl>
      <w:tblPr>
        <w:tblStyle w:val="24"/>
        <w:tblW w:w="830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49"/>
        <w:gridCol w:w="1245"/>
        <w:gridCol w:w="1556"/>
        <w:gridCol w:w="1556"/>
        <w:gridCol w:w="1516"/>
        <w:gridCol w:w="1178"/>
      </w:tblGrid>
      <w:tr w14:paraId="615F9F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2494" w:type="dxa"/>
            <w:gridSpan w:val="2"/>
            <w:vAlign w:val="top"/>
          </w:tcPr>
          <w:p w14:paraId="69F02BDD">
            <w:pPr>
              <w:pStyle w:val="22"/>
              <w:bidi w:val="0"/>
              <w:rPr>
                <w:highlight w:val="none"/>
              </w:rPr>
            </w:pPr>
            <w:r>
              <w:rPr>
                <w:highlight w:val="none"/>
              </w:rPr>
              <w:t>生态系统分类</w:t>
            </w:r>
          </w:p>
        </w:tc>
        <w:tc>
          <w:tcPr>
            <w:tcW w:w="1556" w:type="dxa"/>
            <w:vMerge w:val="restart"/>
            <w:tcBorders>
              <w:bottom w:val="nil"/>
            </w:tcBorders>
            <w:vAlign w:val="top"/>
          </w:tcPr>
          <w:p w14:paraId="5EDF65CE">
            <w:pPr>
              <w:pStyle w:val="22"/>
              <w:bidi w:val="0"/>
              <w:rPr>
                <w:highlight w:val="none"/>
              </w:rPr>
            </w:pPr>
            <w:r>
              <w:rPr>
                <w:highlight w:val="none"/>
              </w:rPr>
              <w:t>面积（km</w:t>
            </w:r>
            <w:r>
              <w:rPr>
                <w:highlight w:val="none"/>
                <w:vertAlign w:val="superscript"/>
              </w:rPr>
              <w:t>2</w:t>
            </w:r>
            <w:r>
              <w:rPr>
                <w:highlight w:val="none"/>
              </w:rPr>
              <w:t>）</w:t>
            </w:r>
          </w:p>
        </w:tc>
        <w:tc>
          <w:tcPr>
            <w:tcW w:w="1556" w:type="dxa"/>
            <w:vMerge w:val="restart"/>
            <w:tcBorders>
              <w:bottom w:val="nil"/>
            </w:tcBorders>
            <w:vAlign w:val="top"/>
          </w:tcPr>
          <w:p w14:paraId="3A1312BB">
            <w:pPr>
              <w:pStyle w:val="22"/>
              <w:bidi w:val="0"/>
              <w:rPr>
                <w:highlight w:val="none"/>
              </w:rPr>
            </w:pPr>
            <w:r>
              <w:rPr>
                <w:highlight w:val="none"/>
              </w:rPr>
              <w:t>平均单位面积生物量（t/km</w:t>
            </w:r>
            <w:r>
              <w:rPr>
                <w:highlight w:val="none"/>
                <w:vertAlign w:val="superscript"/>
              </w:rPr>
              <w:t>2</w:t>
            </w:r>
            <w:r>
              <w:rPr>
                <w:highlight w:val="none"/>
              </w:rPr>
              <w:t>）</w:t>
            </w:r>
          </w:p>
        </w:tc>
        <w:tc>
          <w:tcPr>
            <w:tcW w:w="1516" w:type="dxa"/>
            <w:vMerge w:val="restart"/>
            <w:tcBorders>
              <w:bottom w:val="nil"/>
            </w:tcBorders>
            <w:vAlign w:val="top"/>
          </w:tcPr>
          <w:p w14:paraId="736078DA">
            <w:pPr>
              <w:pStyle w:val="22"/>
              <w:bidi w:val="0"/>
              <w:rPr>
                <w:highlight w:val="none"/>
              </w:rPr>
            </w:pPr>
            <w:r>
              <w:rPr>
                <w:highlight w:val="none"/>
              </w:rPr>
              <w:t>评价区域总 生物量（t）</w:t>
            </w:r>
          </w:p>
        </w:tc>
        <w:tc>
          <w:tcPr>
            <w:tcW w:w="1178" w:type="dxa"/>
            <w:vMerge w:val="restart"/>
            <w:tcBorders>
              <w:bottom w:val="nil"/>
            </w:tcBorders>
            <w:vAlign w:val="top"/>
          </w:tcPr>
          <w:p w14:paraId="43231B2E">
            <w:pPr>
              <w:pStyle w:val="22"/>
              <w:bidi w:val="0"/>
              <w:rPr>
                <w:highlight w:val="none"/>
              </w:rPr>
            </w:pPr>
            <w:r>
              <w:rPr>
                <w:highlight w:val="none"/>
              </w:rPr>
              <w:t>占比</w:t>
            </w:r>
          </w:p>
        </w:tc>
      </w:tr>
      <w:tr w14:paraId="18B514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1" w:hRule="atLeast"/>
        </w:trPr>
        <w:tc>
          <w:tcPr>
            <w:tcW w:w="1249" w:type="dxa"/>
            <w:vAlign w:val="top"/>
          </w:tcPr>
          <w:p w14:paraId="48E29306">
            <w:pPr>
              <w:pStyle w:val="22"/>
              <w:bidi w:val="0"/>
              <w:rPr>
                <w:highlight w:val="none"/>
              </w:rPr>
            </w:pPr>
            <w:r>
              <w:rPr>
                <w:highlight w:val="none"/>
              </w:rPr>
              <w:t>一级类</w:t>
            </w:r>
          </w:p>
        </w:tc>
        <w:tc>
          <w:tcPr>
            <w:tcW w:w="1245" w:type="dxa"/>
            <w:vAlign w:val="top"/>
          </w:tcPr>
          <w:p w14:paraId="24A50776">
            <w:pPr>
              <w:pStyle w:val="22"/>
              <w:bidi w:val="0"/>
              <w:rPr>
                <w:highlight w:val="none"/>
              </w:rPr>
            </w:pPr>
            <w:r>
              <w:rPr>
                <w:highlight w:val="none"/>
              </w:rPr>
              <w:t>二级类</w:t>
            </w:r>
          </w:p>
        </w:tc>
        <w:tc>
          <w:tcPr>
            <w:tcW w:w="1556" w:type="dxa"/>
            <w:vMerge w:val="continue"/>
            <w:tcBorders>
              <w:top w:val="nil"/>
            </w:tcBorders>
            <w:vAlign w:val="top"/>
          </w:tcPr>
          <w:p w14:paraId="15DD775D">
            <w:pPr>
              <w:pStyle w:val="22"/>
              <w:bidi w:val="0"/>
              <w:rPr>
                <w:highlight w:val="none"/>
              </w:rPr>
            </w:pPr>
          </w:p>
        </w:tc>
        <w:tc>
          <w:tcPr>
            <w:tcW w:w="1556" w:type="dxa"/>
            <w:vMerge w:val="continue"/>
            <w:tcBorders>
              <w:top w:val="nil"/>
            </w:tcBorders>
            <w:vAlign w:val="top"/>
          </w:tcPr>
          <w:p w14:paraId="2B7A8FFE">
            <w:pPr>
              <w:pStyle w:val="22"/>
              <w:bidi w:val="0"/>
              <w:rPr>
                <w:highlight w:val="none"/>
              </w:rPr>
            </w:pPr>
          </w:p>
        </w:tc>
        <w:tc>
          <w:tcPr>
            <w:tcW w:w="1516" w:type="dxa"/>
            <w:vMerge w:val="continue"/>
            <w:tcBorders>
              <w:top w:val="nil"/>
            </w:tcBorders>
            <w:vAlign w:val="top"/>
          </w:tcPr>
          <w:p w14:paraId="40F613D7">
            <w:pPr>
              <w:pStyle w:val="22"/>
              <w:bidi w:val="0"/>
              <w:rPr>
                <w:highlight w:val="none"/>
              </w:rPr>
            </w:pPr>
          </w:p>
        </w:tc>
        <w:tc>
          <w:tcPr>
            <w:tcW w:w="1178" w:type="dxa"/>
            <w:vMerge w:val="continue"/>
            <w:tcBorders>
              <w:top w:val="nil"/>
            </w:tcBorders>
            <w:vAlign w:val="top"/>
          </w:tcPr>
          <w:p w14:paraId="00FD7646">
            <w:pPr>
              <w:pStyle w:val="22"/>
              <w:bidi w:val="0"/>
              <w:rPr>
                <w:highlight w:val="none"/>
              </w:rPr>
            </w:pPr>
          </w:p>
        </w:tc>
      </w:tr>
      <w:tr w14:paraId="2EAC6E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494" w:type="dxa"/>
            <w:gridSpan w:val="2"/>
            <w:vAlign w:val="top"/>
          </w:tcPr>
          <w:p w14:paraId="1855F899">
            <w:pPr>
              <w:pStyle w:val="22"/>
              <w:bidi w:val="0"/>
              <w:rPr>
                <w:highlight w:val="none"/>
              </w:rPr>
            </w:pPr>
            <w:r>
              <w:rPr>
                <w:highlight w:val="none"/>
              </w:rPr>
              <w:t>森林生态系统</w:t>
            </w:r>
          </w:p>
        </w:tc>
        <w:tc>
          <w:tcPr>
            <w:tcW w:w="1556" w:type="dxa"/>
            <w:vAlign w:val="top"/>
          </w:tcPr>
          <w:p w14:paraId="02AB71DE">
            <w:pPr>
              <w:pStyle w:val="22"/>
              <w:bidi w:val="0"/>
              <w:rPr>
                <w:highlight w:val="none"/>
              </w:rPr>
            </w:pPr>
            <w:r>
              <w:rPr>
                <w:highlight w:val="none"/>
              </w:rPr>
              <w:t>23.8279942</w:t>
            </w:r>
          </w:p>
        </w:tc>
        <w:tc>
          <w:tcPr>
            <w:tcW w:w="1556" w:type="dxa"/>
            <w:vAlign w:val="top"/>
          </w:tcPr>
          <w:p w14:paraId="4476CA1F">
            <w:pPr>
              <w:pStyle w:val="22"/>
              <w:bidi w:val="0"/>
              <w:rPr>
                <w:highlight w:val="none"/>
              </w:rPr>
            </w:pPr>
            <w:r>
              <w:rPr>
                <w:highlight w:val="none"/>
              </w:rPr>
              <w:t>10091.9336</w:t>
            </w:r>
          </w:p>
        </w:tc>
        <w:tc>
          <w:tcPr>
            <w:tcW w:w="1516" w:type="dxa"/>
            <w:vAlign w:val="top"/>
          </w:tcPr>
          <w:p w14:paraId="047090D3">
            <w:pPr>
              <w:pStyle w:val="22"/>
              <w:bidi w:val="0"/>
              <w:rPr>
                <w:highlight w:val="none"/>
              </w:rPr>
            </w:pPr>
            <w:r>
              <w:rPr>
                <w:highlight w:val="none"/>
              </w:rPr>
              <w:t>113820.29</w:t>
            </w:r>
          </w:p>
        </w:tc>
        <w:tc>
          <w:tcPr>
            <w:tcW w:w="1178" w:type="dxa"/>
            <w:vAlign w:val="top"/>
          </w:tcPr>
          <w:p w14:paraId="214F8634">
            <w:pPr>
              <w:pStyle w:val="22"/>
              <w:bidi w:val="0"/>
              <w:rPr>
                <w:highlight w:val="none"/>
              </w:rPr>
            </w:pPr>
            <w:r>
              <w:rPr>
                <w:highlight w:val="none"/>
              </w:rPr>
              <w:t>95.47%</w:t>
            </w:r>
          </w:p>
        </w:tc>
      </w:tr>
      <w:tr w14:paraId="6FC8C5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494" w:type="dxa"/>
            <w:gridSpan w:val="2"/>
            <w:vAlign w:val="top"/>
          </w:tcPr>
          <w:p w14:paraId="248A29B3">
            <w:pPr>
              <w:pStyle w:val="22"/>
              <w:bidi w:val="0"/>
              <w:rPr>
                <w:highlight w:val="none"/>
              </w:rPr>
            </w:pPr>
            <w:r>
              <w:rPr>
                <w:highlight w:val="none"/>
              </w:rPr>
              <w:t>灌丛生态系统</w:t>
            </w:r>
          </w:p>
        </w:tc>
        <w:tc>
          <w:tcPr>
            <w:tcW w:w="1556" w:type="dxa"/>
            <w:vAlign w:val="top"/>
          </w:tcPr>
          <w:p w14:paraId="6FF413D5">
            <w:pPr>
              <w:pStyle w:val="22"/>
              <w:bidi w:val="0"/>
              <w:rPr>
                <w:highlight w:val="none"/>
              </w:rPr>
            </w:pPr>
            <w:r>
              <w:rPr>
                <w:highlight w:val="none"/>
              </w:rPr>
              <w:t>6.7460001</w:t>
            </w:r>
          </w:p>
        </w:tc>
        <w:tc>
          <w:tcPr>
            <w:tcW w:w="1556" w:type="dxa"/>
            <w:vAlign w:val="top"/>
          </w:tcPr>
          <w:p w14:paraId="71B53FBA">
            <w:pPr>
              <w:pStyle w:val="22"/>
              <w:bidi w:val="0"/>
              <w:rPr>
                <w:highlight w:val="none"/>
              </w:rPr>
            </w:pPr>
            <w:r>
              <w:rPr>
                <w:highlight w:val="none"/>
              </w:rPr>
              <w:t>832.2328</w:t>
            </w:r>
          </w:p>
        </w:tc>
        <w:tc>
          <w:tcPr>
            <w:tcW w:w="1516" w:type="dxa"/>
            <w:vAlign w:val="top"/>
          </w:tcPr>
          <w:p w14:paraId="75559852">
            <w:pPr>
              <w:pStyle w:val="22"/>
              <w:bidi w:val="0"/>
              <w:rPr>
                <w:highlight w:val="none"/>
              </w:rPr>
            </w:pPr>
            <w:r>
              <w:rPr>
                <w:highlight w:val="none"/>
              </w:rPr>
              <w:t>4782.01</w:t>
            </w:r>
          </w:p>
        </w:tc>
        <w:tc>
          <w:tcPr>
            <w:tcW w:w="1178" w:type="dxa"/>
            <w:vAlign w:val="top"/>
          </w:tcPr>
          <w:p w14:paraId="550922F7">
            <w:pPr>
              <w:pStyle w:val="22"/>
              <w:bidi w:val="0"/>
              <w:rPr>
                <w:highlight w:val="none"/>
              </w:rPr>
            </w:pPr>
            <w:r>
              <w:rPr>
                <w:highlight w:val="none"/>
              </w:rPr>
              <w:t>4.01%</w:t>
            </w:r>
          </w:p>
        </w:tc>
      </w:tr>
      <w:tr w14:paraId="1C8508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494" w:type="dxa"/>
            <w:gridSpan w:val="2"/>
            <w:vAlign w:val="top"/>
          </w:tcPr>
          <w:p w14:paraId="04EB3BCF">
            <w:pPr>
              <w:pStyle w:val="22"/>
              <w:bidi w:val="0"/>
              <w:rPr>
                <w:highlight w:val="none"/>
              </w:rPr>
            </w:pPr>
            <w:r>
              <w:rPr>
                <w:highlight w:val="none"/>
              </w:rPr>
              <w:t>草地生态系统</w:t>
            </w:r>
          </w:p>
        </w:tc>
        <w:tc>
          <w:tcPr>
            <w:tcW w:w="1556" w:type="dxa"/>
            <w:vAlign w:val="top"/>
          </w:tcPr>
          <w:p w14:paraId="416BBED0">
            <w:pPr>
              <w:pStyle w:val="22"/>
              <w:bidi w:val="0"/>
              <w:rPr>
                <w:highlight w:val="none"/>
              </w:rPr>
            </w:pPr>
            <w:r>
              <w:rPr>
                <w:highlight w:val="none"/>
              </w:rPr>
              <w:t>16.3478012</w:t>
            </w:r>
          </w:p>
        </w:tc>
        <w:tc>
          <w:tcPr>
            <w:tcW w:w="1556" w:type="dxa"/>
            <w:vAlign w:val="top"/>
          </w:tcPr>
          <w:p w14:paraId="743A99B7">
            <w:pPr>
              <w:pStyle w:val="22"/>
              <w:bidi w:val="0"/>
              <w:rPr>
                <w:highlight w:val="none"/>
              </w:rPr>
            </w:pPr>
            <w:r>
              <w:rPr>
                <w:highlight w:val="none"/>
              </w:rPr>
              <w:t>14.69034</w:t>
            </w:r>
          </w:p>
        </w:tc>
        <w:tc>
          <w:tcPr>
            <w:tcW w:w="1516" w:type="dxa"/>
            <w:vAlign w:val="top"/>
          </w:tcPr>
          <w:p w14:paraId="2D65221E">
            <w:pPr>
              <w:pStyle w:val="22"/>
              <w:bidi w:val="0"/>
              <w:rPr>
                <w:highlight w:val="none"/>
              </w:rPr>
            </w:pPr>
            <w:r>
              <w:rPr>
                <w:highlight w:val="none"/>
              </w:rPr>
              <w:t>34.49</w:t>
            </w:r>
          </w:p>
        </w:tc>
        <w:tc>
          <w:tcPr>
            <w:tcW w:w="1178" w:type="dxa"/>
            <w:vAlign w:val="top"/>
          </w:tcPr>
          <w:p w14:paraId="00465DBB">
            <w:pPr>
              <w:pStyle w:val="22"/>
              <w:bidi w:val="0"/>
              <w:rPr>
                <w:highlight w:val="none"/>
              </w:rPr>
            </w:pPr>
            <w:r>
              <w:rPr>
                <w:highlight w:val="none"/>
              </w:rPr>
              <w:t>0.03%</w:t>
            </w:r>
          </w:p>
        </w:tc>
      </w:tr>
      <w:tr w14:paraId="4037DE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2494" w:type="dxa"/>
            <w:gridSpan w:val="2"/>
            <w:vAlign w:val="top"/>
          </w:tcPr>
          <w:p w14:paraId="7162935F">
            <w:pPr>
              <w:pStyle w:val="22"/>
              <w:bidi w:val="0"/>
              <w:rPr>
                <w:highlight w:val="none"/>
              </w:rPr>
            </w:pPr>
            <w:r>
              <w:rPr>
                <w:highlight w:val="none"/>
              </w:rPr>
              <w:t>湿地生态系统</w:t>
            </w:r>
          </w:p>
        </w:tc>
        <w:tc>
          <w:tcPr>
            <w:tcW w:w="1556" w:type="dxa"/>
            <w:vAlign w:val="top"/>
          </w:tcPr>
          <w:p w14:paraId="727C51D3">
            <w:pPr>
              <w:pStyle w:val="22"/>
              <w:bidi w:val="0"/>
              <w:rPr>
                <w:highlight w:val="none"/>
              </w:rPr>
            </w:pPr>
            <w:r>
              <w:rPr>
                <w:highlight w:val="none"/>
              </w:rPr>
              <w:t>0.01673</w:t>
            </w:r>
          </w:p>
        </w:tc>
        <w:tc>
          <w:tcPr>
            <w:tcW w:w="1556" w:type="dxa"/>
            <w:vAlign w:val="top"/>
          </w:tcPr>
          <w:p w14:paraId="36885A2D">
            <w:pPr>
              <w:pStyle w:val="22"/>
              <w:bidi w:val="0"/>
              <w:rPr>
                <w:highlight w:val="none"/>
              </w:rPr>
            </w:pPr>
            <w:r>
              <w:rPr>
                <w:highlight w:val="none"/>
              </w:rPr>
              <w:t>/</w:t>
            </w:r>
          </w:p>
        </w:tc>
        <w:tc>
          <w:tcPr>
            <w:tcW w:w="1516" w:type="dxa"/>
            <w:vAlign w:val="top"/>
          </w:tcPr>
          <w:p w14:paraId="60C9FAB8">
            <w:pPr>
              <w:pStyle w:val="22"/>
              <w:bidi w:val="0"/>
              <w:rPr>
                <w:highlight w:val="none"/>
              </w:rPr>
            </w:pPr>
            <w:r>
              <w:rPr>
                <w:highlight w:val="none"/>
              </w:rPr>
              <w:t>/</w:t>
            </w:r>
          </w:p>
        </w:tc>
        <w:tc>
          <w:tcPr>
            <w:tcW w:w="1178" w:type="dxa"/>
            <w:vAlign w:val="top"/>
          </w:tcPr>
          <w:p w14:paraId="1524B682">
            <w:pPr>
              <w:pStyle w:val="22"/>
              <w:bidi w:val="0"/>
              <w:rPr>
                <w:highlight w:val="none"/>
              </w:rPr>
            </w:pPr>
            <w:r>
              <w:rPr>
                <w:highlight w:val="none"/>
              </w:rPr>
              <w:t>/</w:t>
            </w:r>
          </w:p>
        </w:tc>
      </w:tr>
      <w:tr w14:paraId="6FD526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494" w:type="dxa"/>
            <w:gridSpan w:val="2"/>
            <w:vAlign w:val="top"/>
          </w:tcPr>
          <w:p w14:paraId="09DB5AC1">
            <w:pPr>
              <w:pStyle w:val="22"/>
              <w:bidi w:val="0"/>
              <w:rPr>
                <w:highlight w:val="none"/>
              </w:rPr>
            </w:pPr>
            <w:r>
              <w:rPr>
                <w:highlight w:val="none"/>
              </w:rPr>
              <w:t>农田生态系统</w:t>
            </w:r>
          </w:p>
        </w:tc>
        <w:tc>
          <w:tcPr>
            <w:tcW w:w="1556" w:type="dxa"/>
            <w:vAlign w:val="top"/>
          </w:tcPr>
          <w:p w14:paraId="77F4CE0F">
            <w:pPr>
              <w:pStyle w:val="22"/>
              <w:bidi w:val="0"/>
              <w:rPr>
                <w:highlight w:val="none"/>
              </w:rPr>
            </w:pPr>
            <w:r>
              <w:rPr>
                <w:highlight w:val="none"/>
              </w:rPr>
              <w:t>5.4560273</w:t>
            </w:r>
          </w:p>
        </w:tc>
        <w:tc>
          <w:tcPr>
            <w:tcW w:w="1556" w:type="dxa"/>
            <w:vAlign w:val="top"/>
          </w:tcPr>
          <w:p w14:paraId="55A6A1C9">
            <w:pPr>
              <w:pStyle w:val="22"/>
              <w:bidi w:val="0"/>
              <w:rPr>
                <w:highlight w:val="none"/>
              </w:rPr>
            </w:pPr>
            <w:r>
              <w:rPr>
                <w:highlight w:val="none"/>
              </w:rPr>
              <w:t>237.485145</w:t>
            </w:r>
          </w:p>
        </w:tc>
        <w:tc>
          <w:tcPr>
            <w:tcW w:w="1516" w:type="dxa"/>
            <w:vAlign w:val="top"/>
          </w:tcPr>
          <w:p w14:paraId="108380C8">
            <w:pPr>
              <w:pStyle w:val="22"/>
              <w:bidi w:val="0"/>
              <w:rPr>
                <w:highlight w:val="none"/>
              </w:rPr>
            </w:pPr>
            <w:r>
              <w:rPr>
                <w:highlight w:val="none"/>
              </w:rPr>
              <w:t>583.27</w:t>
            </w:r>
          </w:p>
        </w:tc>
        <w:tc>
          <w:tcPr>
            <w:tcW w:w="1178" w:type="dxa"/>
            <w:vAlign w:val="top"/>
          </w:tcPr>
          <w:p w14:paraId="3AC0FB8E">
            <w:pPr>
              <w:pStyle w:val="22"/>
              <w:bidi w:val="0"/>
              <w:rPr>
                <w:highlight w:val="none"/>
              </w:rPr>
            </w:pPr>
            <w:r>
              <w:rPr>
                <w:highlight w:val="none"/>
              </w:rPr>
              <w:t>0.49%</w:t>
            </w:r>
          </w:p>
        </w:tc>
      </w:tr>
      <w:tr w14:paraId="0F1751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494" w:type="dxa"/>
            <w:gridSpan w:val="2"/>
            <w:vAlign w:val="top"/>
          </w:tcPr>
          <w:p w14:paraId="113D81D2">
            <w:pPr>
              <w:pStyle w:val="22"/>
              <w:bidi w:val="0"/>
              <w:rPr>
                <w:highlight w:val="none"/>
              </w:rPr>
            </w:pPr>
            <w:r>
              <w:rPr>
                <w:highlight w:val="none"/>
              </w:rPr>
              <w:t>城镇生态系统</w:t>
            </w:r>
          </w:p>
        </w:tc>
        <w:tc>
          <w:tcPr>
            <w:tcW w:w="1556" w:type="dxa"/>
            <w:vAlign w:val="top"/>
          </w:tcPr>
          <w:p w14:paraId="79CC21F6">
            <w:pPr>
              <w:pStyle w:val="22"/>
              <w:bidi w:val="0"/>
              <w:rPr>
                <w:highlight w:val="none"/>
              </w:rPr>
            </w:pPr>
            <w:r>
              <w:rPr>
                <w:highlight w:val="none"/>
              </w:rPr>
              <w:t>3.1797472</w:t>
            </w:r>
          </w:p>
        </w:tc>
        <w:tc>
          <w:tcPr>
            <w:tcW w:w="1556" w:type="dxa"/>
            <w:vAlign w:val="top"/>
          </w:tcPr>
          <w:p w14:paraId="403A4B6E">
            <w:pPr>
              <w:pStyle w:val="22"/>
              <w:bidi w:val="0"/>
              <w:rPr>
                <w:highlight w:val="none"/>
              </w:rPr>
            </w:pPr>
            <w:r>
              <w:rPr>
                <w:highlight w:val="none"/>
              </w:rPr>
              <w:t>/</w:t>
            </w:r>
          </w:p>
        </w:tc>
        <w:tc>
          <w:tcPr>
            <w:tcW w:w="1516" w:type="dxa"/>
            <w:vAlign w:val="top"/>
          </w:tcPr>
          <w:p w14:paraId="79A08CE5">
            <w:pPr>
              <w:pStyle w:val="22"/>
              <w:bidi w:val="0"/>
              <w:rPr>
                <w:highlight w:val="none"/>
              </w:rPr>
            </w:pPr>
            <w:r>
              <w:rPr>
                <w:highlight w:val="none"/>
              </w:rPr>
              <w:t>/</w:t>
            </w:r>
          </w:p>
        </w:tc>
        <w:tc>
          <w:tcPr>
            <w:tcW w:w="1178" w:type="dxa"/>
            <w:vAlign w:val="top"/>
          </w:tcPr>
          <w:p w14:paraId="545D5357">
            <w:pPr>
              <w:pStyle w:val="22"/>
              <w:bidi w:val="0"/>
              <w:rPr>
                <w:highlight w:val="none"/>
              </w:rPr>
            </w:pPr>
            <w:r>
              <w:rPr>
                <w:highlight w:val="none"/>
              </w:rPr>
              <w:t>/</w:t>
            </w:r>
          </w:p>
        </w:tc>
      </w:tr>
      <w:tr w14:paraId="0AE8B9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5606" w:type="dxa"/>
            <w:gridSpan w:val="4"/>
            <w:vAlign w:val="top"/>
          </w:tcPr>
          <w:p w14:paraId="15678577">
            <w:pPr>
              <w:pStyle w:val="22"/>
              <w:bidi w:val="0"/>
              <w:rPr>
                <w:highlight w:val="none"/>
              </w:rPr>
            </w:pPr>
            <w:r>
              <w:rPr>
                <w:highlight w:val="none"/>
              </w:rPr>
              <w:t>合计</w:t>
            </w:r>
          </w:p>
        </w:tc>
        <w:tc>
          <w:tcPr>
            <w:tcW w:w="1516" w:type="dxa"/>
            <w:vAlign w:val="top"/>
          </w:tcPr>
          <w:p w14:paraId="28D65F03">
            <w:pPr>
              <w:pStyle w:val="22"/>
              <w:bidi w:val="0"/>
              <w:rPr>
                <w:highlight w:val="none"/>
              </w:rPr>
            </w:pPr>
            <w:r>
              <w:rPr>
                <w:highlight w:val="none"/>
              </w:rPr>
              <w:t>119220.06</w:t>
            </w:r>
          </w:p>
        </w:tc>
        <w:tc>
          <w:tcPr>
            <w:tcW w:w="1178" w:type="dxa"/>
            <w:vAlign w:val="top"/>
          </w:tcPr>
          <w:p w14:paraId="3410B812">
            <w:pPr>
              <w:pStyle w:val="22"/>
              <w:bidi w:val="0"/>
              <w:rPr>
                <w:highlight w:val="none"/>
              </w:rPr>
            </w:pPr>
            <w:r>
              <w:rPr>
                <w:highlight w:val="none"/>
              </w:rPr>
              <w:t>100%</w:t>
            </w:r>
          </w:p>
        </w:tc>
      </w:tr>
    </w:tbl>
    <w:p w14:paraId="6A49EBE6">
      <w:pPr>
        <w:bidi w:val="0"/>
        <w:ind w:left="0" w:leftChars="0" w:firstLine="0" w:firstLineChars="0"/>
        <w:rPr>
          <w:rFonts w:hint="default"/>
          <w:highlight w:val="none"/>
          <w:lang w:val="en-US" w:eastAsia="zh-CN"/>
        </w:rPr>
      </w:pPr>
    </w:p>
    <w:p w14:paraId="6A893243">
      <w:pPr>
        <w:numPr>
          <w:ilvl w:val="0"/>
          <w:numId w:val="26"/>
        </w:numPr>
        <w:bidi w:val="0"/>
        <w:ind w:left="420" w:leftChars="0" w:hanging="420" w:firstLineChars="0"/>
        <w:rPr>
          <w:rFonts w:hint="default"/>
          <w:highlight w:val="none"/>
          <w:lang w:val="en-US" w:eastAsia="zh-CN"/>
        </w:rPr>
      </w:pPr>
      <w:r>
        <w:rPr>
          <w:rFonts w:hint="default"/>
          <w:highlight w:val="none"/>
          <w:lang w:val="en-US" w:eastAsia="zh-CN"/>
        </w:rPr>
        <w:t>生态系统生产力估算</w:t>
      </w:r>
    </w:p>
    <w:p w14:paraId="0AF26DD0">
      <w:pPr>
        <w:bidi w:val="0"/>
        <w:rPr>
          <w:rFonts w:hint="default"/>
          <w:highlight w:val="none"/>
          <w:lang w:val="en-US" w:eastAsia="zh-CN"/>
        </w:rPr>
      </w:pPr>
      <w:r>
        <w:rPr>
          <w:rFonts w:hint="default"/>
          <w:highlight w:val="none"/>
          <w:lang w:val="en-US" w:eastAsia="zh-CN"/>
        </w:rPr>
        <w:t>根据冯宗炜编著《中国森林生态系统的生物量与生产力》等相关研究，结 合 本次评价对现场测量乔木、灌丛、草丛植被生产力的计算结果进行校正。</w:t>
      </w:r>
    </w:p>
    <w:p w14:paraId="1ED7F779">
      <w:pPr>
        <w:bidi w:val="0"/>
        <w:rPr>
          <w:rFonts w:hint="default"/>
          <w:highlight w:val="none"/>
          <w:lang w:val="en-US" w:eastAsia="zh-CN"/>
        </w:rPr>
      </w:pPr>
      <w:r>
        <w:rPr>
          <w:rFonts w:hint="default"/>
          <w:highlight w:val="none"/>
          <w:lang w:val="en-US" w:eastAsia="zh-CN"/>
        </w:rPr>
        <w:t>本项目评价区各生态系统植被的面积、平均单位面积生产力和总生产力如下表。由下表可知，本项目评价区总面积 55.5743 km</w:t>
      </w:r>
      <w:r>
        <w:rPr>
          <w:rFonts w:hint="default"/>
          <w:highlight w:val="none"/>
          <w:vertAlign w:val="superscript"/>
          <w:lang w:val="en-US" w:eastAsia="zh-CN"/>
        </w:rPr>
        <w:t>2</w:t>
      </w:r>
      <w:r>
        <w:rPr>
          <w:rFonts w:hint="default"/>
          <w:highlight w:val="none"/>
          <w:lang w:val="en-US" w:eastAsia="zh-CN"/>
        </w:rPr>
        <w:t xml:space="preserve"> ，总生产力 15420.3363t，其中森林生态系统生产力达 9439.97317t/a，占评价区总生产力 61.22%；其次为农田生态系统，生产力达 1842.02048t/a，占评价区总生产力的 11.95%。</w:t>
      </w:r>
    </w:p>
    <w:p w14:paraId="5FE4EDC3">
      <w:pPr>
        <w:pStyle w:val="11"/>
        <w:bidi w:val="0"/>
        <w:rPr>
          <w:rFonts w:hint="eastAsia"/>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42</w:t>
      </w:r>
      <w:r>
        <w:rPr>
          <w:highlight w:val="none"/>
        </w:rPr>
        <w:fldChar w:fldCharType="end"/>
      </w:r>
      <w:r>
        <w:rPr>
          <w:rFonts w:hint="eastAsia"/>
          <w:highlight w:val="none"/>
          <w:lang w:val="en-US" w:eastAsia="zh-CN"/>
        </w:rPr>
        <w:t xml:space="preserve"> 评价范围内生产力评估</w:t>
      </w:r>
    </w:p>
    <w:tbl>
      <w:tblPr>
        <w:tblStyle w:val="24"/>
        <w:tblW w:w="8300" w:type="dxa"/>
        <w:tblInd w:w="1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90"/>
        <w:gridCol w:w="1960"/>
        <w:gridCol w:w="1526"/>
        <w:gridCol w:w="1681"/>
        <w:gridCol w:w="1343"/>
      </w:tblGrid>
      <w:tr w14:paraId="01663C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825" w:hRule="atLeast"/>
        </w:trPr>
        <w:tc>
          <w:tcPr>
            <w:tcW w:w="1790" w:type="dxa"/>
            <w:vAlign w:val="center"/>
          </w:tcPr>
          <w:p w14:paraId="52E0BF85">
            <w:pPr>
              <w:pStyle w:val="22"/>
              <w:bidi w:val="0"/>
              <w:rPr>
                <w:highlight w:val="none"/>
              </w:rPr>
            </w:pPr>
            <w:r>
              <w:rPr>
                <w:highlight w:val="none"/>
              </w:rPr>
              <w:t>类型</w:t>
            </w:r>
          </w:p>
        </w:tc>
        <w:tc>
          <w:tcPr>
            <w:tcW w:w="1960" w:type="dxa"/>
            <w:vAlign w:val="center"/>
          </w:tcPr>
          <w:p w14:paraId="2200DFD6">
            <w:pPr>
              <w:pStyle w:val="22"/>
              <w:bidi w:val="0"/>
              <w:rPr>
                <w:highlight w:val="none"/>
              </w:rPr>
            </w:pPr>
            <w:r>
              <w:rPr>
                <w:highlight w:val="none"/>
              </w:rPr>
              <w:t>面积（km</w:t>
            </w:r>
            <w:r>
              <w:rPr>
                <w:highlight w:val="none"/>
                <w:vertAlign w:val="superscript"/>
              </w:rPr>
              <w:t>2</w:t>
            </w:r>
            <w:r>
              <w:rPr>
                <w:highlight w:val="none"/>
              </w:rPr>
              <w:t>）</w:t>
            </w:r>
          </w:p>
        </w:tc>
        <w:tc>
          <w:tcPr>
            <w:tcW w:w="1526" w:type="dxa"/>
            <w:vAlign w:val="center"/>
          </w:tcPr>
          <w:p w14:paraId="44F8BF3B">
            <w:pPr>
              <w:pStyle w:val="22"/>
              <w:bidi w:val="0"/>
              <w:rPr>
                <w:highlight w:val="none"/>
              </w:rPr>
            </w:pPr>
            <w:r>
              <w:rPr>
                <w:highlight w:val="none"/>
              </w:rPr>
              <w:t>单位面积生产力（t/ km</w:t>
            </w:r>
            <w:r>
              <w:rPr>
                <w:highlight w:val="none"/>
                <w:vertAlign w:val="superscript"/>
              </w:rPr>
              <w:t>2</w:t>
            </w:r>
            <w:r>
              <w:rPr>
                <w:rFonts w:hint="eastAsia"/>
                <w:highlight w:val="none"/>
                <w:lang w:val="en-US" w:eastAsia="zh-CN"/>
              </w:rPr>
              <w:t>·</w:t>
            </w:r>
            <w:r>
              <w:rPr>
                <w:highlight w:val="none"/>
              </w:rPr>
              <w:t>a）</w:t>
            </w:r>
          </w:p>
        </w:tc>
        <w:tc>
          <w:tcPr>
            <w:tcW w:w="1681" w:type="dxa"/>
            <w:vAlign w:val="center"/>
          </w:tcPr>
          <w:p w14:paraId="30344C43">
            <w:pPr>
              <w:pStyle w:val="22"/>
              <w:bidi w:val="0"/>
              <w:rPr>
                <w:highlight w:val="none"/>
              </w:rPr>
            </w:pPr>
            <w:r>
              <w:rPr>
                <w:highlight w:val="none"/>
              </w:rPr>
              <w:t>评价区总生产</w:t>
            </w:r>
          </w:p>
          <w:p w14:paraId="5105C3B4">
            <w:pPr>
              <w:pStyle w:val="22"/>
              <w:bidi w:val="0"/>
              <w:rPr>
                <w:highlight w:val="none"/>
              </w:rPr>
            </w:pPr>
            <w:r>
              <w:rPr>
                <w:highlight w:val="none"/>
              </w:rPr>
              <w:t>力（t/a）</w:t>
            </w:r>
          </w:p>
        </w:tc>
        <w:tc>
          <w:tcPr>
            <w:tcW w:w="1343" w:type="dxa"/>
            <w:vAlign w:val="center"/>
          </w:tcPr>
          <w:p w14:paraId="4AC2467F">
            <w:pPr>
              <w:pStyle w:val="22"/>
              <w:bidi w:val="0"/>
              <w:rPr>
                <w:highlight w:val="none"/>
              </w:rPr>
            </w:pPr>
            <w:r>
              <w:rPr>
                <w:highlight w:val="none"/>
              </w:rPr>
              <w:t>占比</w:t>
            </w:r>
          </w:p>
        </w:tc>
      </w:tr>
      <w:tr w14:paraId="22EED0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790" w:type="dxa"/>
            <w:vAlign w:val="center"/>
          </w:tcPr>
          <w:p w14:paraId="34A1B3EA">
            <w:pPr>
              <w:pStyle w:val="22"/>
              <w:bidi w:val="0"/>
              <w:rPr>
                <w:highlight w:val="none"/>
              </w:rPr>
            </w:pPr>
            <w:r>
              <w:rPr>
                <w:highlight w:val="none"/>
              </w:rPr>
              <w:t>森林生态系统</w:t>
            </w:r>
          </w:p>
        </w:tc>
        <w:tc>
          <w:tcPr>
            <w:tcW w:w="1960" w:type="dxa"/>
            <w:vAlign w:val="center"/>
          </w:tcPr>
          <w:p w14:paraId="1CE092A0">
            <w:pPr>
              <w:pStyle w:val="22"/>
              <w:bidi w:val="0"/>
              <w:rPr>
                <w:highlight w:val="none"/>
              </w:rPr>
            </w:pPr>
            <w:r>
              <w:rPr>
                <w:highlight w:val="none"/>
              </w:rPr>
              <w:t>23.8279942</w:t>
            </w:r>
          </w:p>
        </w:tc>
        <w:tc>
          <w:tcPr>
            <w:tcW w:w="1526" w:type="dxa"/>
            <w:vAlign w:val="center"/>
          </w:tcPr>
          <w:p w14:paraId="7F483D6E">
            <w:pPr>
              <w:pStyle w:val="22"/>
              <w:bidi w:val="0"/>
              <w:rPr>
                <w:highlight w:val="none"/>
              </w:rPr>
            </w:pPr>
            <w:r>
              <w:rPr>
                <w:highlight w:val="none"/>
              </w:rPr>
              <w:t>8.37</w:t>
            </w:r>
          </w:p>
        </w:tc>
        <w:tc>
          <w:tcPr>
            <w:tcW w:w="1681" w:type="dxa"/>
            <w:vAlign w:val="center"/>
          </w:tcPr>
          <w:p w14:paraId="02B3591E">
            <w:pPr>
              <w:pStyle w:val="22"/>
              <w:bidi w:val="0"/>
              <w:rPr>
                <w:highlight w:val="none"/>
              </w:rPr>
            </w:pPr>
            <w:r>
              <w:rPr>
                <w:highlight w:val="none"/>
              </w:rPr>
              <w:t>9439.97317</w:t>
            </w:r>
          </w:p>
        </w:tc>
        <w:tc>
          <w:tcPr>
            <w:tcW w:w="1343" w:type="dxa"/>
            <w:vAlign w:val="center"/>
          </w:tcPr>
          <w:p w14:paraId="20CD1A16">
            <w:pPr>
              <w:pStyle w:val="22"/>
              <w:bidi w:val="0"/>
              <w:rPr>
                <w:highlight w:val="none"/>
              </w:rPr>
            </w:pPr>
            <w:r>
              <w:rPr>
                <w:highlight w:val="none"/>
              </w:rPr>
              <w:t>61.22%</w:t>
            </w:r>
          </w:p>
        </w:tc>
      </w:tr>
      <w:tr w14:paraId="7B4BC5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790" w:type="dxa"/>
            <w:vAlign w:val="center"/>
          </w:tcPr>
          <w:p w14:paraId="7FB074DE">
            <w:pPr>
              <w:pStyle w:val="22"/>
              <w:bidi w:val="0"/>
              <w:rPr>
                <w:highlight w:val="none"/>
              </w:rPr>
            </w:pPr>
            <w:r>
              <w:rPr>
                <w:highlight w:val="none"/>
              </w:rPr>
              <w:t>灌丛生态系统</w:t>
            </w:r>
          </w:p>
        </w:tc>
        <w:tc>
          <w:tcPr>
            <w:tcW w:w="1960" w:type="dxa"/>
            <w:vAlign w:val="center"/>
          </w:tcPr>
          <w:p w14:paraId="6C8C39A8">
            <w:pPr>
              <w:pStyle w:val="22"/>
              <w:bidi w:val="0"/>
              <w:rPr>
                <w:highlight w:val="none"/>
              </w:rPr>
            </w:pPr>
            <w:r>
              <w:rPr>
                <w:highlight w:val="none"/>
              </w:rPr>
              <w:t>6.7460001</w:t>
            </w:r>
          </w:p>
        </w:tc>
        <w:tc>
          <w:tcPr>
            <w:tcW w:w="1526" w:type="dxa"/>
            <w:vAlign w:val="center"/>
          </w:tcPr>
          <w:p w14:paraId="62E73D1E">
            <w:pPr>
              <w:pStyle w:val="22"/>
              <w:bidi w:val="0"/>
              <w:rPr>
                <w:highlight w:val="none"/>
              </w:rPr>
            </w:pPr>
            <w:r>
              <w:rPr>
                <w:highlight w:val="none"/>
              </w:rPr>
              <w:t>5.2</w:t>
            </w:r>
          </w:p>
        </w:tc>
        <w:tc>
          <w:tcPr>
            <w:tcW w:w="1681" w:type="dxa"/>
            <w:vAlign w:val="center"/>
          </w:tcPr>
          <w:p w14:paraId="2E27DEF7">
            <w:pPr>
              <w:pStyle w:val="22"/>
              <w:bidi w:val="0"/>
              <w:rPr>
                <w:highlight w:val="none"/>
              </w:rPr>
            </w:pPr>
            <w:r>
              <w:rPr>
                <w:highlight w:val="none"/>
              </w:rPr>
              <w:t>2987.92005</w:t>
            </w:r>
          </w:p>
        </w:tc>
        <w:tc>
          <w:tcPr>
            <w:tcW w:w="1343" w:type="dxa"/>
            <w:vAlign w:val="center"/>
          </w:tcPr>
          <w:p w14:paraId="23C9E4B5">
            <w:pPr>
              <w:pStyle w:val="22"/>
              <w:bidi w:val="0"/>
              <w:rPr>
                <w:highlight w:val="none"/>
              </w:rPr>
            </w:pPr>
            <w:r>
              <w:rPr>
                <w:highlight w:val="none"/>
              </w:rPr>
              <w:t>19.38%</w:t>
            </w:r>
          </w:p>
        </w:tc>
      </w:tr>
      <w:tr w14:paraId="697FE8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790" w:type="dxa"/>
            <w:vAlign w:val="center"/>
          </w:tcPr>
          <w:p w14:paraId="19C2DEF1">
            <w:pPr>
              <w:pStyle w:val="22"/>
              <w:bidi w:val="0"/>
              <w:rPr>
                <w:highlight w:val="none"/>
              </w:rPr>
            </w:pPr>
            <w:r>
              <w:rPr>
                <w:highlight w:val="none"/>
              </w:rPr>
              <w:t>草地生态系统</w:t>
            </w:r>
          </w:p>
        </w:tc>
        <w:tc>
          <w:tcPr>
            <w:tcW w:w="1960" w:type="dxa"/>
            <w:vAlign w:val="center"/>
          </w:tcPr>
          <w:p w14:paraId="3FDF25DB">
            <w:pPr>
              <w:pStyle w:val="22"/>
              <w:bidi w:val="0"/>
              <w:rPr>
                <w:highlight w:val="none"/>
              </w:rPr>
            </w:pPr>
            <w:r>
              <w:rPr>
                <w:highlight w:val="none"/>
              </w:rPr>
              <w:t>16.3478012</w:t>
            </w:r>
          </w:p>
        </w:tc>
        <w:tc>
          <w:tcPr>
            <w:tcW w:w="1526" w:type="dxa"/>
            <w:vAlign w:val="center"/>
          </w:tcPr>
          <w:p w14:paraId="4AE6ED31">
            <w:pPr>
              <w:pStyle w:val="22"/>
              <w:bidi w:val="0"/>
              <w:rPr>
                <w:highlight w:val="none"/>
              </w:rPr>
            </w:pPr>
            <w:r>
              <w:rPr>
                <w:highlight w:val="none"/>
              </w:rPr>
              <w:t>4.9</w:t>
            </w:r>
          </w:p>
        </w:tc>
        <w:tc>
          <w:tcPr>
            <w:tcW w:w="1681" w:type="dxa"/>
            <w:vAlign w:val="center"/>
          </w:tcPr>
          <w:p w14:paraId="40CDE8FC">
            <w:pPr>
              <w:pStyle w:val="22"/>
              <w:bidi w:val="0"/>
              <w:rPr>
                <w:highlight w:val="none"/>
              </w:rPr>
            </w:pPr>
            <w:r>
              <w:rPr>
                <w:highlight w:val="none"/>
              </w:rPr>
              <w:t>1150.42259</w:t>
            </w:r>
          </w:p>
        </w:tc>
        <w:tc>
          <w:tcPr>
            <w:tcW w:w="1343" w:type="dxa"/>
            <w:vAlign w:val="center"/>
          </w:tcPr>
          <w:p w14:paraId="39BFC512">
            <w:pPr>
              <w:pStyle w:val="22"/>
              <w:bidi w:val="0"/>
              <w:rPr>
                <w:highlight w:val="none"/>
              </w:rPr>
            </w:pPr>
            <w:r>
              <w:rPr>
                <w:highlight w:val="none"/>
              </w:rPr>
              <w:t>7.46%</w:t>
            </w:r>
          </w:p>
        </w:tc>
      </w:tr>
      <w:tr w14:paraId="50BD35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790" w:type="dxa"/>
            <w:vAlign w:val="center"/>
          </w:tcPr>
          <w:p w14:paraId="7044E597">
            <w:pPr>
              <w:pStyle w:val="22"/>
              <w:bidi w:val="0"/>
              <w:rPr>
                <w:highlight w:val="none"/>
              </w:rPr>
            </w:pPr>
            <w:r>
              <w:rPr>
                <w:highlight w:val="none"/>
              </w:rPr>
              <w:t>湿地生态系统</w:t>
            </w:r>
          </w:p>
        </w:tc>
        <w:tc>
          <w:tcPr>
            <w:tcW w:w="1960" w:type="dxa"/>
            <w:vAlign w:val="center"/>
          </w:tcPr>
          <w:p w14:paraId="5BF009D8">
            <w:pPr>
              <w:pStyle w:val="22"/>
              <w:bidi w:val="0"/>
              <w:rPr>
                <w:highlight w:val="none"/>
              </w:rPr>
            </w:pPr>
            <w:r>
              <w:rPr>
                <w:highlight w:val="none"/>
              </w:rPr>
              <w:t>0.01673</w:t>
            </w:r>
          </w:p>
        </w:tc>
        <w:tc>
          <w:tcPr>
            <w:tcW w:w="1526" w:type="dxa"/>
            <w:vAlign w:val="center"/>
          </w:tcPr>
          <w:p w14:paraId="312A1A8B">
            <w:pPr>
              <w:pStyle w:val="22"/>
              <w:bidi w:val="0"/>
              <w:rPr>
                <w:highlight w:val="none"/>
              </w:rPr>
            </w:pPr>
            <w:r>
              <w:rPr>
                <w:highlight w:val="none"/>
              </w:rPr>
              <w:t>/</w:t>
            </w:r>
          </w:p>
        </w:tc>
        <w:tc>
          <w:tcPr>
            <w:tcW w:w="1681" w:type="dxa"/>
            <w:vAlign w:val="center"/>
          </w:tcPr>
          <w:p w14:paraId="27883DF8">
            <w:pPr>
              <w:pStyle w:val="22"/>
              <w:bidi w:val="0"/>
              <w:rPr>
                <w:highlight w:val="none"/>
              </w:rPr>
            </w:pPr>
            <w:r>
              <w:rPr>
                <w:highlight w:val="none"/>
              </w:rPr>
              <w:t>/</w:t>
            </w:r>
          </w:p>
        </w:tc>
        <w:tc>
          <w:tcPr>
            <w:tcW w:w="1343" w:type="dxa"/>
            <w:vAlign w:val="center"/>
          </w:tcPr>
          <w:p w14:paraId="247DB7B3">
            <w:pPr>
              <w:pStyle w:val="22"/>
              <w:bidi w:val="0"/>
              <w:rPr>
                <w:highlight w:val="none"/>
              </w:rPr>
            </w:pPr>
            <w:r>
              <w:rPr>
                <w:highlight w:val="none"/>
              </w:rPr>
              <w:t>/</w:t>
            </w:r>
          </w:p>
        </w:tc>
      </w:tr>
      <w:tr w14:paraId="1690BF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790" w:type="dxa"/>
            <w:vAlign w:val="center"/>
          </w:tcPr>
          <w:p w14:paraId="64FFA3B0">
            <w:pPr>
              <w:pStyle w:val="22"/>
              <w:bidi w:val="0"/>
              <w:rPr>
                <w:highlight w:val="none"/>
              </w:rPr>
            </w:pPr>
            <w:r>
              <w:rPr>
                <w:highlight w:val="none"/>
              </w:rPr>
              <w:t>农田生态系统</w:t>
            </w:r>
          </w:p>
        </w:tc>
        <w:tc>
          <w:tcPr>
            <w:tcW w:w="1960" w:type="dxa"/>
            <w:vAlign w:val="center"/>
          </w:tcPr>
          <w:p w14:paraId="57446D51">
            <w:pPr>
              <w:pStyle w:val="22"/>
              <w:bidi w:val="0"/>
              <w:rPr>
                <w:highlight w:val="none"/>
              </w:rPr>
            </w:pPr>
            <w:r>
              <w:rPr>
                <w:highlight w:val="none"/>
              </w:rPr>
              <w:t>5.4560273</w:t>
            </w:r>
          </w:p>
        </w:tc>
        <w:tc>
          <w:tcPr>
            <w:tcW w:w="1526" w:type="dxa"/>
            <w:vAlign w:val="center"/>
          </w:tcPr>
          <w:p w14:paraId="18316470">
            <w:pPr>
              <w:pStyle w:val="22"/>
              <w:bidi w:val="0"/>
              <w:rPr>
                <w:highlight w:val="none"/>
              </w:rPr>
            </w:pPr>
            <w:r>
              <w:rPr>
                <w:highlight w:val="none"/>
              </w:rPr>
              <w:t>7.5</w:t>
            </w:r>
          </w:p>
        </w:tc>
        <w:tc>
          <w:tcPr>
            <w:tcW w:w="1681" w:type="dxa"/>
            <w:vAlign w:val="center"/>
          </w:tcPr>
          <w:p w14:paraId="65FA607E">
            <w:pPr>
              <w:pStyle w:val="22"/>
              <w:bidi w:val="0"/>
              <w:rPr>
                <w:highlight w:val="none"/>
              </w:rPr>
            </w:pPr>
            <w:r>
              <w:rPr>
                <w:highlight w:val="none"/>
              </w:rPr>
              <w:t>1842.02048</w:t>
            </w:r>
          </w:p>
        </w:tc>
        <w:tc>
          <w:tcPr>
            <w:tcW w:w="1343" w:type="dxa"/>
            <w:vAlign w:val="center"/>
          </w:tcPr>
          <w:p w14:paraId="5165903C">
            <w:pPr>
              <w:pStyle w:val="22"/>
              <w:bidi w:val="0"/>
              <w:rPr>
                <w:highlight w:val="none"/>
              </w:rPr>
            </w:pPr>
            <w:r>
              <w:rPr>
                <w:highlight w:val="none"/>
              </w:rPr>
              <w:t>11.95%</w:t>
            </w:r>
          </w:p>
        </w:tc>
      </w:tr>
      <w:tr w14:paraId="6B2693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790" w:type="dxa"/>
            <w:vAlign w:val="center"/>
          </w:tcPr>
          <w:p w14:paraId="34B096A5">
            <w:pPr>
              <w:pStyle w:val="22"/>
              <w:bidi w:val="0"/>
              <w:rPr>
                <w:highlight w:val="none"/>
              </w:rPr>
            </w:pPr>
            <w:r>
              <w:rPr>
                <w:highlight w:val="none"/>
              </w:rPr>
              <w:t>城镇生态系统</w:t>
            </w:r>
          </w:p>
        </w:tc>
        <w:tc>
          <w:tcPr>
            <w:tcW w:w="1960" w:type="dxa"/>
            <w:vAlign w:val="center"/>
          </w:tcPr>
          <w:p w14:paraId="6C47D83A">
            <w:pPr>
              <w:pStyle w:val="22"/>
              <w:bidi w:val="0"/>
              <w:rPr>
                <w:highlight w:val="none"/>
              </w:rPr>
            </w:pPr>
            <w:r>
              <w:rPr>
                <w:highlight w:val="none"/>
              </w:rPr>
              <w:t>3.1797472</w:t>
            </w:r>
          </w:p>
        </w:tc>
        <w:tc>
          <w:tcPr>
            <w:tcW w:w="1526" w:type="dxa"/>
            <w:vAlign w:val="center"/>
          </w:tcPr>
          <w:p w14:paraId="2BA73DF4">
            <w:pPr>
              <w:pStyle w:val="22"/>
              <w:bidi w:val="0"/>
              <w:rPr>
                <w:highlight w:val="none"/>
              </w:rPr>
            </w:pPr>
            <w:r>
              <w:rPr>
                <w:highlight w:val="none"/>
              </w:rPr>
              <w:t>/</w:t>
            </w:r>
          </w:p>
        </w:tc>
        <w:tc>
          <w:tcPr>
            <w:tcW w:w="1681" w:type="dxa"/>
            <w:vAlign w:val="center"/>
          </w:tcPr>
          <w:p w14:paraId="0C3E7F7A">
            <w:pPr>
              <w:pStyle w:val="22"/>
              <w:bidi w:val="0"/>
              <w:rPr>
                <w:highlight w:val="none"/>
              </w:rPr>
            </w:pPr>
            <w:r>
              <w:rPr>
                <w:highlight w:val="none"/>
              </w:rPr>
              <w:t>/</w:t>
            </w:r>
          </w:p>
        </w:tc>
        <w:tc>
          <w:tcPr>
            <w:tcW w:w="1343" w:type="dxa"/>
            <w:vAlign w:val="center"/>
          </w:tcPr>
          <w:p w14:paraId="41044F87">
            <w:pPr>
              <w:pStyle w:val="22"/>
              <w:bidi w:val="0"/>
              <w:rPr>
                <w:highlight w:val="none"/>
              </w:rPr>
            </w:pPr>
            <w:r>
              <w:rPr>
                <w:highlight w:val="none"/>
              </w:rPr>
              <w:t>/</w:t>
            </w:r>
          </w:p>
        </w:tc>
      </w:tr>
      <w:tr w14:paraId="41A388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790" w:type="dxa"/>
            <w:vAlign w:val="center"/>
          </w:tcPr>
          <w:p w14:paraId="54312AEE">
            <w:pPr>
              <w:pStyle w:val="22"/>
              <w:bidi w:val="0"/>
              <w:rPr>
                <w:highlight w:val="none"/>
              </w:rPr>
            </w:pPr>
            <w:r>
              <w:rPr>
                <w:highlight w:val="none"/>
              </w:rPr>
              <w:t>合计</w:t>
            </w:r>
          </w:p>
        </w:tc>
        <w:tc>
          <w:tcPr>
            <w:tcW w:w="1960" w:type="dxa"/>
            <w:vAlign w:val="center"/>
          </w:tcPr>
          <w:p w14:paraId="57FCC4C1">
            <w:pPr>
              <w:pStyle w:val="22"/>
              <w:bidi w:val="0"/>
              <w:rPr>
                <w:highlight w:val="none"/>
              </w:rPr>
            </w:pPr>
            <w:r>
              <w:rPr>
                <w:highlight w:val="none"/>
              </w:rPr>
              <w:t>55.5743</w:t>
            </w:r>
          </w:p>
        </w:tc>
        <w:tc>
          <w:tcPr>
            <w:tcW w:w="1526" w:type="dxa"/>
            <w:vAlign w:val="center"/>
          </w:tcPr>
          <w:p w14:paraId="72A65068">
            <w:pPr>
              <w:pStyle w:val="22"/>
              <w:bidi w:val="0"/>
              <w:rPr>
                <w:highlight w:val="none"/>
              </w:rPr>
            </w:pPr>
          </w:p>
        </w:tc>
        <w:tc>
          <w:tcPr>
            <w:tcW w:w="1681" w:type="dxa"/>
            <w:vAlign w:val="center"/>
          </w:tcPr>
          <w:p w14:paraId="18367917">
            <w:pPr>
              <w:pStyle w:val="22"/>
              <w:bidi w:val="0"/>
              <w:rPr>
                <w:highlight w:val="none"/>
              </w:rPr>
            </w:pPr>
            <w:r>
              <w:rPr>
                <w:highlight w:val="none"/>
              </w:rPr>
              <w:t>15420.3363</w:t>
            </w:r>
          </w:p>
        </w:tc>
        <w:tc>
          <w:tcPr>
            <w:tcW w:w="1343" w:type="dxa"/>
            <w:vAlign w:val="center"/>
          </w:tcPr>
          <w:p w14:paraId="46991F90">
            <w:pPr>
              <w:pStyle w:val="22"/>
              <w:bidi w:val="0"/>
              <w:rPr>
                <w:highlight w:val="none"/>
              </w:rPr>
            </w:pPr>
            <w:r>
              <w:rPr>
                <w:highlight w:val="none"/>
              </w:rPr>
              <w:t>100%</w:t>
            </w:r>
          </w:p>
        </w:tc>
      </w:tr>
    </w:tbl>
    <w:p w14:paraId="2791280C">
      <w:pPr>
        <w:ind w:left="0" w:leftChars="0" w:firstLine="0" w:firstLineChars="0"/>
        <w:rPr>
          <w:rFonts w:hint="eastAsia"/>
          <w:highlight w:val="none"/>
          <w:lang w:val="en-US" w:eastAsia="zh-CN"/>
        </w:rPr>
      </w:pPr>
    </w:p>
    <w:p w14:paraId="23C2A2B2">
      <w:pPr>
        <w:pStyle w:val="6"/>
        <w:bidi w:val="0"/>
        <w:rPr>
          <w:rFonts w:hint="default"/>
          <w:highlight w:val="none"/>
          <w:lang w:val="en-US" w:eastAsia="zh-CN"/>
        </w:rPr>
      </w:pPr>
      <w:r>
        <w:rPr>
          <w:rFonts w:hint="default"/>
          <w:highlight w:val="none"/>
          <w:lang w:val="en-US" w:eastAsia="zh-CN"/>
        </w:rPr>
        <w:t>景观现状调查</w:t>
      </w:r>
    </w:p>
    <w:p w14:paraId="4DD4654C">
      <w:pPr>
        <w:bidi w:val="0"/>
        <w:rPr>
          <w:rFonts w:hint="default"/>
          <w:highlight w:val="none"/>
          <w:lang w:val="en-US" w:eastAsia="zh-CN"/>
        </w:rPr>
      </w:pPr>
      <w:r>
        <w:rPr>
          <w:rFonts w:hint="default"/>
          <w:highlight w:val="none"/>
          <w:lang w:val="en-US" w:eastAsia="zh-CN"/>
        </w:rPr>
        <w:t>景观是拥有很强的空间异质性的区域，它是由大量不同形状、大小的斑块 依 据一定的规律组合而成的，一般来说，景观格局主要指景观在空间散布上的 特征， 具体反映出景观的异质性特征，各种类型的生态过程在不同尺度上的功 能在这里 体现出来，包含组成单元类别、数目、分布和空间上的组合。景观格 局变化对生 物多样性产生直接而强烈影响，其主要原因是生境丧失和破碎化。 在景观格局的研究中，经常会用到景观指数分析方法。景观格局指数是一种并 不复杂的定量指 标，可以充实景观格局的内容，展现其组织构成和空间形态组 合。景观指数是用来可量测和口述单个以及一些类别的斑块，或者是定量指标 空间结构的整个景观，它的主要价值在于配置可以用来比较不同种类的景观。 景观指数分为三个级别，代表三种不同的应用尺度，即斑块级别指数、斑块类 型级别指数和景观级别指数，可根据需要选取相应的指标，采用 FRAGSTATS  等景观格局分析软件进行计算分析。常用的景观指数如下:</w:t>
      </w:r>
    </w:p>
    <w:p w14:paraId="1F94ED7C">
      <w:pPr>
        <w:bidi w:val="0"/>
        <w:rPr>
          <w:rFonts w:hint="default"/>
          <w:highlight w:val="none"/>
          <w:lang w:val="en-US" w:eastAsia="zh-CN"/>
        </w:rPr>
      </w:pPr>
      <w:r>
        <w:rPr>
          <w:rFonts w:hint="default"/>
          <w:highlight w:val="none"/>
          <w:lang w:val="en-US" w:eastAsia="zh-CN"/>
        </w:rPr>
        <w:t xml:space="preserve">斑块类型面积 </w:t>
      </w:r>
      <w:r>
        <w:rPr>
          <w:rFonts w:hint="default"/>
          <w:i/>
          <w:iCs/>
          <w:highlight w:val="none"/>
          <w:lang w:val="en-US" w:eastAsia="zh-CN"/>
        </w:rPr>
        <w:t>Class area(CA)</w:t>
      </w:r>
      <w:r>
        <w:rPr>
          <w:rFonts w:hint="default"/>
          <w:highlight w:val="none"/>
          <w:lang w:val="en-US" w:eastAsia="zh-CN"/>
        </w:rPr>
        <w:t>：斑块类型面积是度量其他指标的基础，其值 的大小影响以此斑块类型作为生境的物种数量及丰度。</w:t>
      </w:r>
    </w:p>
    <w:p w14:paraId="3F1BB911">
      <w:pPr>
        <w:bidi w:val="0"/>
        <w:rPr>
          <w:rFonts w:hint="default"/>
          <w:highlight w:val="none"/>
          <w:lang w:val="en-US" w:eastAsia="zh-CN"/>
        </w:rPr>
      </w:pPr>
      <w:r>
        <w:rPr>
          <w:rFonts w:hint="default"/>
          <w:highlight w:val="none"/>
          <w:lang w:val="en-US" w:eastAsia="zh-CN"/>
        </w:rPr>
        <w:t xml:space="preserve">斑块所占景观面积比例 </w:t>
      </w:r>
      <w:r>
        <w:rPr>
          <w:rFonts w:hint="default"/>
          <w:i/>
          <w:iCs/>
          <w:highlight w:val="none"/>
          <w:lang w:val="en-US" w:eastAsia="zh-CN"/>
        </w:rPr>
        <w:t>Percent of landscape(PLAND)</w:t>
      </w:r>
      <w:r>
        <w:rPr>
          <w:rFonts w:hint="default"/>
          <w:highlight w:val="none"/>
          <w:lang w:val="en-US" w:eastAsia="zh-CN"/>
        </w:rPr>
        <w:t>：某一斑块类型占整个 景观面积的百分比，是确定优势景观元素重要依据，也是决定景观中优势种和  数量等生态系统指标的重要因素。</w:t>
      </w:r>
    </w:p>
    <w:p w14:paraId="27DB92DD">
      <w:pPr>
        <w:bidi w:val="0"/>
        <w:rPr>
          <w:rFonts w:hint="default"/>
          <w:highlight w:val="none"/>
          <w:lang w:val="en-US" w:eastAsia="zh-CN"/>
        </w:rPr>
      </w:pPr>
      <w:r>
        <w:rPr>
          <w:rFonts w:hint="default"/>
          <w:highlight w:val="none"/>
          <w:lang w:val="en-US" w:eastAsia="zh-CN"/>
        </w:rPr>
        <w:t xml:space="preserve">最大斑块指数 </w:t>
      </w:r>
      <w:r>
        <w:rPr>
          <w:rFonts w:hint="default"/>
          <w:i/>
          <w:iCs/>
          <w:highlight w:val="none"/>
          <w:lang w:val="en-US" w:eastAsia="zh-CN"/>
        </w:rPr>
        <w:t>Largest patch index(LPI)</w:t>
      </w:r>
      <w:r>
        <w:rPr>
          <w:rFonts w:hint="default"/>
          <w:highlight w:val="none"/>
          <w:lang w:val="en-US" w:eastAsia="zh-CN"/>
        </w:rPr>
        <w:t>:一斑块类型中最大斑块占整个景 观 的百分比，用于确定景观中的优势斑块，可间接反映景观变化受人类活动的干 扰程度。</w:t>
      </w:r>
    </w:p>
    <w:p w14:paraId="105C0CBF">
      <w:pPr>
        <w:bidi w:val="0"/>
        <w:rPr>
          <w:rFonts w:hint="default"/>
          <w:highlight w:val="none"/>
          <w:lang w:val="en-US" w:eastAsia="zh-CN"/>
        </w:rPr>
      </w:pPr>
      <w:r>
        <w:rPr>
          <w:rFonts w:hint="default"/>
          <w:highlight w:val="none"/>
          <w:lang w:val="en-US" w:eastAsia="zh-CN"/>
        </w:rPr>
        <w:t xml:space="preserve">香农多样性指数 </w:t>
      </w:r>
      <w:r>
        <w:rPr>
          <w:rFonts w:hint="default"/>
          <w:i/>
          <w:iCs/>
          <w:highlight w:val="none"/>
          <w:lang w:val="en-US" w:eastAsia="zh-CN"/>
        </w:rPr>
        <w:t>Shannon 's diversity index(SHDI)</w:t>
      </w:r>
      <w:r>
        <w:rPr>
          <w:rFonts w:hint="default"/>
          <w:highlight w:val="none"/>
          <w:lang w:val="en-US" w:eastAsia="zh-CN"/>
        </w:rPr>
        <w:t>：反映景观类型的多样性 和异质性，对景观中各斑块类型非均衡分布状况较敏感，值增大表明斑块类型 增 加或各斑块类型呈均衡趋势分布。</w:t>
      </w:r>
    </w:p>
    <w:p w14:paraId="10CB3465">
      <w:pPr>
        <w:bidi w:val="0"/>
        <w:rPr>
          <w:rFonts w:hint="default"/>
          <w:highlight w:val="none"/>
          <w:lang w:val="en-US" w:eastAsia="zh-CN"/>
        </w:rPr>
      </w:pPr>
      <w:r>
        <w:rPr>
          <w:rFonts w:hint="default"/>
          <w:highlight w:val="none"/>
          <w:lang w:val="en-US" w:eastAsia="zh-CN"/>
        </w:rPr>
        <w:t>蔓延度指数 Contagion index(CONTAG):高蔓延度值表明景观中的种优 势斑块类型形成了良好的连接性，反之则表明景观具有多种要素的密集格局，破碎化程度较高。</w:t>
      </w:r>
    </w:p>
    <w:p w14:paraId="1D536F11">
      <w:pPr>
        <w:bidi w:val="0"/>
        <w:rPr>
          <w:rFonts w:hint="default"/>
          <w:highlight w:val="none"/>
          <w:lang w:val="en-US" w:eastAsia="zh-CN"/>
        </w:rPr>
      </w:pPr>
      <w:r>
        <w:rPr>
          <w:rFonts w:hint="default"/>
          <w:highlight w:val="none"/>
          <w:lang w:val="en-US" w:eastAsia="zh-CN"/>
        </w:rPr>
        <w:t>散布与并列指数 Interspersion juxtaposition index(IJI):反映斑块类型的隔离  分布情况，值越小表明斑块与相同类型斑块相邻越多，而与其他类型斑块相邻 的 越少。</w:t>
      </w:r>
    </w:p>
    <w:p w14:paraId="14D5EB18">
      <w:pPr>
        <w:bidi w:val="0"/>
        <w:rPr>
          <w:rFonts w:hint="default"/>
          <w:highlight w:val="none"/>
          <w:lang w:val="en-US" w:eastAsia="zh-CN"/>
        </w:rPr>
      </w:pPr>
      <w:r>
        <w:rPr>
          <w:rFonts w:hint="default"/>
          <w:highlight w:val="none"/>
          <w:lang w:val="en-US" w:eastAsia="zh-CN"/>
        </w:rPr>
        <w:t>聚集度指数 Aggregation index(AI):基于栅格数量测度景观或者斑块 类型的 聚集程度。</w:t>
      </w:r>
    </w:p>
    <w:p w14:paraId="49D1E9AD">
      <w:pPr>
        <w:bidi w:val="0"/>
        <w:rPr>
          <w:rFonts w:hint="default"/>
          <w:highlight w:val="none"/>
          <w:lang w:val="en-US" w:eastAsia="zh-CN"/>
        </w:rPr>
      </w:pPr>
      <w:r>
        <w:rPr>
          <w:rFonts w:hint="default"/>
          <w:highlight w:val="none"/>
          <w:lang w:val="en-US" w:eastAsia="zh-CN"/>
        </w:rPr>
        <w:t>评价区的景观类型包括森林、灌丛、草地、湿地、农田、城镇等 6 个类型。</w:t>
      </w:r>
    </w:p>
    <w:p w14:paraId="760B983E">
      <w:pPr>
        <w:bidi w:val="0"/>
        <w:rPr>
          <w:rFonts w:hint="default"/>
          <w:highlight w:val="none"/>
          <w:lang w:val="en-US" w:eastAsia="zh-CN"/>
        </w:rPr>
      </w:pPr>
      <w:r>
        <w:rPr>
          <w:rFonts w:hint="default"/>
          <w:highlight w:val="none"/>
          <w:lang w:val="en-US" w:eastAsia="zh-CN"/>
        </w:rPr>
        <w:t>运用ArcGIS 地理信息系统软件，根据野外植被调查情况，利用ArcGIS和Fragstats 的统计分析功能可以得到各类景观要素的指数信息，结果见下表。</w:t>
      </w:r>
    </w:p>
    <w:p w14:paraId="4F49D95A">
      <w:pPr>
        <w:pStyle w:val="11"/>
        <w:bidi w:val="0"/>
        <w:rPr>
          <w:rFonts w:hint="default"/>
          <w:highlight w:val="none"/>
          <w:lang w:val="en-US" w:eastAsia="zh-CN"/>
        </w:rPr>
      </w:pPr>
      <w:r>
        <w:rPr>
          <w:highlight w:val="none"/>
        </w:rPr>
        <w:t xml:space="preserve">表 </w:t>
      </w:r>
      <w:r>
        <w:rPr>
          <w:highlight w:val="none"/>
        </w:rPr>
        <w:fldChar w:fldCharType="begin"/>
      </w:r>
      <w:r>
        <w:rPr>
          <w:highlight w:val="none"/>
        </w:rPr>
        <w:instrText xml:space="preserve"> SEQ 表 \* ARABIC </w:instrText>
      </w:r>
      <w:r>
        <w:rPr>
          <w:highlight w:val="none"/>
        </w:rPr>
        <w:fldChar w:fldCharType="separate"/>
      </w:r>
      <w:r>
        <w:rPr>
          <w:highlight w:val="none"/>
        </w:rPr>
        <w:t>43</w:t>
      </w:r>
      <w:r>
        <w:rPr>
          <w:highlight w:val="none"/>
        </w:rPr>
        <w:fldChar w:fldCharType="end"/>
      </w:r>
      <w:r>
        <w:rPr>
          <w:rFonts w:hint="eastAsia"/>
          <w:highlight w:val="none"/>
          <w:lang w:val="en-US" w:eastAsia="zh-CN"/>
        </w:rPr>
        <w:t xml:space="preserve"> </w:t>
      </w:r>
      <w:r>
        <w:rPr>
          <w:rFonts w:hint="default"/>
          <w:highlight w:val="none"/>
          <w:lang w:val="en-US" w:eastAsia="zh-CN"/>
        </w:rPr>
        <w:t>评价范围景观指数统计表</w:t>
      </w:r>
    </w:p>
    <w:tbl>
      <w:tblPr>
        <w:tblStyle w:val="24"/>
        <w:tblW w:w="8300" w:type="dxa"/>
        <w:tblInd w:w="1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36"/>
        <w:gridCol w:w="1753"/>
        <w:gridCol w:w="1474"/>
        <w:gridCol w:w="1569"/>
        <w:gridCol w:w="1207"/>
        <w:gridCol w:w="961"/>
      </w:tblGrid>
      <w:tr w14:paraId="63E517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336" w:type="dxa"/>
            <w:vAlign w:val="top"/>
          </w:tcPr>
          <w:p w14:paraId="1201E07D">
            <w:pPr>
              <w:pStyle w:val="22"/>
              <w:bidi w:val="0"/>
              <w:rPr>
                <w:highlight w:val="none"/>
              </w:rPr>
            </w:pPr>
            <w:r>
              <w:rPr>
                <w:highlight w:val="none"/>
              </w:rPr>
              <w:t>景观类型</w:t>
            </w:r>
          </w:p>
        </w:tc>
        <w:tc>
          <w:tcPr>
            <w:tcW w:w="1753" w:type="dxa"/>
            <w:vAlign w:val="top"/>
          </w:tcPr>
          <w:p w14:paraId="59021026">
            <w:pPr>
              <w:pStyle w:val="22"/>
              <w:bidi w:val="0"/>
              <w:rPr>
                <w:highlight w:val="none"/>
              </w:rPr>
            </w:pPr>
            <w:r>
              <w:rPr>
                <w:highlight w:val="none"/>
              </w:rPr>
              <w:t>CA（km2）</w:t>
            </w:r>
          </w:p>
        </w:tc>
        <w:tc>
          <w:tcPr>
            <w:tcW w:w="1474" w:type="dxa"/>
            <w:vAlign w:val="top"/>
          </w:tcPr>
          <w:p w14:paraId="146EA06C">
            <w:pPr>
              <w:pStyle w:val="22"/>
              <w:bidi w:val="0"/>
              <w:rPr>
                <w:highlight w:val="none"/>
              </w:rPr>
            </w:pPr>
            <w:r>
              <w:rPr>
                <w:highlight w:val="none"/>
              </w:rPr>
              <w:t>PLAND(%)</w:t>
            </w:r>
          </w:p>
        </w:tc>
        <w:tc>
          <w:tcPr>
            <w:tcW w:w="1569" w:type="dxa"/>
            <w:vAlign w:val="top"/>
          </w:tcPr>
          <w:p w14:paraId="6766537D">
            <w:pPr>
              <w:pStyle w:val="22"/>
              <w:bidi w:val="0"/>
              <w:rPr>
                <w:highlight w:val="none"/>
              </w:rPr>
            </w:pPr>
            <w:r>
              <w:rPr>
                <w:highlight w:val="none"/>
              </w:rPr>
              <w:t>LPI(%)</w:t>
            </w:r>
          </w:p>
        </w:tc>
        <w:tc>
          <w:tcPr>
            <w:tcW w:w="1207" w:type="dxa"/>
            <w:vAlign w:val="top"/>
          </w:tcPr>
          <w:p w14:paraId="2FAAB90C">
            <w:pPr>
              <w:pStyle w:val="22"/>
              <w:bidi w:val="0"/>
              <w:rPr>
                <w:highlight w:val="none"/>
              </w:rPr>
            </w:pPr>
            <w:r>
              <w:rPr>
                <w:highlight w:val="none"/>
              </w:rPr>
              <w:t>IJI</w:t>
            </w:r>
          </w:p>
        </w:tc>
        <w:tc>
          <w:tcPr>
            <w:tcW w:w="961" w:type="dxa"/>
            <w:vAlign w:val="top"/>
          </w:tcPr>
          <w:p w14:paraId="6710A5EF">
            <w:pPr>
              <w:pStyle w:val="22"/>
              <w:bidi w:val="0"/>
              <w:rPr>
                <w:highlight w:val="none"/>
              </w:rPr>
            </w:pPr>
            <w:r>
              <w:rPr>
                <w:highlight w:val="none"/>
              </w:rPr>
              <w:t>AI</w:t>
            </w:r>
          </w:p>
        </w:tc>
      </w:tr>
      <w:tr w14:paraId="59F3CA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36" w:type="dxa"/>
            <w:vAlign w:val="top"/>
          </w:tcPr>
          <w:p w14:paraId="5DC1F751">
            <w:pPr>
              <w:pStyle w:val="22"/>
              <w:bidi w:val="0"/>
              <w:rPr>
                <w:highlight w:val="none"/>
              </w:rPr>
            </w:pPr>
            <w:r>
              <w:rPr>
                <w:highlight w:val="none"/>
              </w:rPr>
              <w:t>森林</w:t>
            </w:r>
          </w:p>
        </w:tc>
        <w:tc>
          <w:tcPr>
            <w:tcW w:w="1753" w:type="dxa"/>
            <w:vAlign w:val="top"/>
          </w:tcPr>
          <w:p w14:paraId="0214EDF0">
            <w:pPr>
              <w:pStyle w:val="22"/>
              <w:bidi w:val="0"/>
              <w:rPr>
                <w:highlight w:val="none"/>
              </w:rPr>
            </w:pPr>
            <w:r>
              <w:rPr>
                <w:highlight w:val="none"/>
              </w:rPr>
              <w:t>23.8279942</w:t>
            </w:r>
          </w:p>
        </w:tc>
        <w:tc>
          <w:tcPr>
            <w:tcW w:w="1474" w:type="dxa"/>
            <w:vAlign w:val="top"/>
          </w:tcPr>
          <w:p w14:paraId="7BC3A76B">
            <w:pPr>
              <w:pStyle w:val="22"/>
              <w:bidi w:val="0"/>
              <w:rPr>
                <w:highlight w:val="none"/>
              </w:rPr>
            </w:pPr>
            <w:r>
              <w:rPr>
                <w:highlight w:val="none"/>
              </w:rPr>
              <w:t>49.02%</w:t>
            </w:r>
          </w:p>
        </w:tc>
        <w:tc>
          <w:tcPr>
            <w:tcW w:w="1569" w:type="dxa"/>
            <w:vAlign w:val="top"/>
          </w:tcPr>
          <w:p w14:paraId="3FD9DE15">
            <w:pPr>
              <w:pStyle w:val="22"/>
              <w:bidi w:val="0"/>
              <w:rPr>
                <w:highlight w:val="none"/>
              </w:rPr>
            </w:pPr>
            <w:r>
              <w:rPr>
                <w:highlight w:val="none"/>
              </w:rPr>
              <w:t>43.76</w:t>
            </w:r>
          </w:p>
        </w:tc>
        <w:tc>
          <w:tcPr>
            <w:tcW w:w="1207" w:type="dxa"/>
            <w:vAlign w:val="top"/>
          </w:tcPr>
          <w:p w14:paraId="1726D6B5">
            <w:pPr>
              <w:pStyle w:val="22"/>
              <w:bidi w:val="0"/>
              <w:rPr>
                <w:highlight w:val="none"/>
              </w:rPr>
            </w:pPr>
            <w:r>
              <w:rPr>
                <w:highlight w:val="none"/>
              </w:rPr>
              <w:t>88.36</w:t>
            </w:r>
          </w:p>
        </w:tc>
        <w:tc>
          <w:tcPr>
            <w:tcW w:w="961" w:type="dxa"/>
            <w:vAlign w:val="top"/>
          </w:tcPr>
          <w:p w14:paraId="4BBCE4B0">
            <w:pPr>
              <w:pStyle w:val="22"/>
              <w:bidi w:val="0"/>
              <w:rPr>
                <w:highlight w:val="none"/>
              </w:rPr>
            </w:pPr>
            <w:r>
              <w:rPr>
                <w:highlight w:val="none"/>
              </w:rPr>
              <w:t>94.56</w:t>
            </w:r>
          </w:p>
        </w:tc>
      </w:tr>
      <w:tr w14:paraId="790B8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336" w:type="dxa"/>
            <w:vAlign w:val="top"/>
          </w:tcPr>
          <w:p w14:paraId="670C2702">
            <w:pPr>
              <w:pStyle w:val="22"/>
              <w:bidi w:val="0"/>
              <w:rPr>
                <w:highlight w:val="none"/>
              </w:rPr>
            </w:pPr>
            <w:r>
              <w:rPr>
                <w:highlight w:val="none"/>
              </w:rPr>
              <w:t>灌丛</w:t>
            </w:r>
          </w:p>
        </w:tc>
        <w:tc>
          <w:tcPr>
            <w:tcW w:w="1753" w:type="dxa"/>
            <w:vAlign w:val="top"/>
          </w:tcPr>
          <w:p w14:paraId="0908023F">
            <w:pPr>
              <w:pStyle w:val="22"/>
              <w:bidi w:val="0"/>
              <w:rPr>
                <w:highlight w:val="none"/>
              </w:rPr>
            </w:pPr>
            <w:r>
              <w:rPr>
                <w:highlight w:val="none"/>
              </w:rPr>
              <w:t>6.7460001</w:t>
            </w:r>
          </w:p>
        </w:tc>
        <w:tc>
          <w:tcPr>
            <w:tcW w:w="1474" w:type="dxa"/>
            <w:vAlign w:val="top"/>
          </w:tcPr>
          <w:p w14:paraId="54CB0AD2">
            <w:pPr>
              <w:pStyle w:val="22"/>
              <w:bidi w:val="0"/>
              <w:rPr>
                <w:highlight w:val="none"/>
              </w:rPr>
            </w:pPr>
            <w:r>
              <w:rPr>
                <w:highlight w:val="none"/>
              </w:rPr>
              <w:t>10.20%</w:t>
            </w:r>
          </w:p>
        </w:tc>
        <w:tc>
          <w:tcPr>
            <w:tcW w:w="1569" w:type="dxa"/>
            <w:vAlign w:val="top"/>
          </w:tcPr>
          <w:p w14:paraId="58D98313">
            <w:pPr>
              <w:pStyle w:val="22"/>
              <w:bidi w:val="0"/>
              <w:rPr>
                <w:highlight w:val="none"/>
              </w:rPr>
            </w:pPr>
            <w:r>
              <w:rPr>
                <w:highlight w:val="none"/>
              </w:rPr>
              <w:t>0.58</w:t>
            </w:r>
          </w:p>
        </w:tc>
        <w:tc>
          <w:tcPr>
            <w:tcW w:w="1207" w:type="dxa"/>
            <w:vAlign w:val="top"/>
          </w:tcPr>
          <w:p w14:paraId="55384D62">
            <w:pPr>
              <w:pStyle w:val="22"/>
              <w:bidi w:val="0"/>
              <w:rPr>
                <w:highlight w:val="none"/>
              </w:rPr>
            </w:pPr>
            <w:r>
              <w:rPr>
                <w:highlight w:val="none"/>
              </w:rPr>
              <w:t>68.41</w:t>
            </w:r>
          </w:p>
        </w:tc>
        <w:tc>
          <w:tcPr>
            <w:tcW w:w="961" w:type="dxa"/>
            <w:vAlign w:val="top"/>
          </w:tcPr>
          <w:p w14:paraId="50254B5C">
            <w:pPr>
              <w:pStyle w:val="22"/>
              <w:bidi w:val="0"/>
              <w:rPr>
                <w:highlight w:val="none"/>
              </w:rPr>
            </w:pPr>
            <w:r>
              <w:rPr>
                <w:highlight w:val="none"/>
              </w:rPr>
              <w:t>76.24</w:t>
            </w:r>
          </w:p>
        </w:tc>
      </w:tr>
      <w:tr w14:paraId="25902B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36" w:type="dxa"/>
            <w:vAlign w:val="top"/>
          </w:tcPr>
          <w:p w14:paraId="1A09D2C2">
            <w:pPr>
              <w:pStyle w:val="22"/>
              <w:bidi w:val="0"/>
              <w:rPr>
                <w:highlight w:val="none"/>
              </w:rPr>
            </w:pPr>
            <w:r>
              <w:rPr>
                <w:highlight w:val="none"/>
              </w:rPr>
              <w:t>草地</w:t>
            </w:r>
          </w:p>
        </w:tc>
        <w:tc>
          <w:tcPr>
            <w:tcW w:w="1753" w:type="dxa"/>
            <w:vAlign w:val="top"/>
          </w:tcPr>
          <w:p w14:paraId="530EA5F4">
            <w:pPr>
              <w:pStyle w:val="22"/>
              <w:bidi w:val="0"/>
              <w:rPr>
                <w:highlight w:val="none"/>
              </w:rPr>
            </w:pPr>
            <w:r>
              <w:rPr>
                <w:highlight w:val="none"/>
              </w:rPr>
              <w:t>16.3478012</w:t>
            </w:r>
          </w:p>
        </w:tc>
        <w:tc>
          <w:tcPr>
            <w:tcW w:w="1474" w:type="dxa"/>
            <w:vAlign w:val="top"/>
          </w:tcPr>
          <w:p w14:paraId="3E214089">
            <w:pPr>
              <w:pStyle w:val="22"/>
              <w:bidi w:val="0"/>
              <w:rPr>
                <w:highlight w:val="none"/>
              </w:rPr>
            </w:pPr>
            <w:r>
              <w:rPr>
                <w:highlight w:val="none"/>
              </w:rPr>
              <w:t>24.97%</w:t>
            </w:r>
          </w:p>
        </w:tc>
        <w:tc>
          <w:tcPr>
            <w:tcW w:w="1569" w:type="dxa"/>
            <w:vAlign w:val="top"/>
          </w:tcPr>
          <w:p w14:paraId="6ED15BC2">
            <w:pPr>
              <w:pStyle w:val="22"/>
              <w:bidi w:val="0"/>
              <w:rPr>
                <w:highlight w:val="none"/>
              </w:rPr>
            </w:pPr>
            <w:r>
              <w:rPr>
                <w:highlight w:val="none"/>
              </w:rPr>
              <w:t>4.61</w:t>
            </w:r>
          </w:p>
        </w:tc>
        <w:tc>
          <w:tcPr>
            <w:tcW w:w="1207" w:type="dxa"/>
            <w:vAlign w:val="top"/>
          </w:tcPr>
          <w:p w14:paraId="665927DD">
            <w:pPr>
              <w:pStyle w:val="22"/>
              <w:bidi w:val="0"/>
              <w:rPr>
                <w:highlight w:val="none"/>
              </w:rPr>
            </w:pPr>
            <w:r>
              <w:rPr>
                <w:highlight w:val="none"/>
              </w:rPr>
              <w:t>85.21</w:t>
            </w:r>
          </w:p>
        </w:tc>
        <w:tc>
          <w:tcPr>
            <w:tcW w:w="961" w:type="dxa"/>
            <w:vAlign w:val="top"/>
          </w:tcPr>
          <w:p w14:paraId="2DAE8DB5">
            <w:pPr>
              <w:pStyle w:val="22"/>
              <w:bidi w:val="0"/>
              <w:rPr>
                <w:highlight w:val="none"/>
              </w:rPr>
            </w:pPr>
            <w:r>
              <w:rPr>
                <w:highlight w:val="none"/>
              </w:rPr>
              <w:t>84.82</w:t>
            </w:r>
          </w:p>
        </w:tc>
      </w:tr>
      <w:tr w14:paraId="06BB88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336" w:type="dxa"/>
            <w:vAlign w:val="top"/>
          </w:tcPr>
          <w:p w14:paraId="34C10526">
            <w:pPr>
              <w:pStyle w:val="22"/>
              <w:bidi w:val="0"/>
              <w:rPr>
                <w:highlight w:val="none"/>
              </w:rPr>
            </w:pPr>
            <w:r>
              <w:rPr>
                <w:highlight w:val="none"/>
              </w:rPr>
              <w:t>湿地</w:t>
            </w:r>
          </w:p>
        </w:tc>
        <w:tc>
          <w:tcPr>
            <w:tcW w:w="1753" w:type="dxa"/>
            <w:vAlign w:val="top"/>
          </w:tcPr>
          <w:p w14:paraId="54A9C3FB">
            <w:pPr>
              <w:pStyle w:val="22"/>
              <w:bidi w:val="0"/>
              <w:rPr>
                <w:highlight w:val="none"/>
              </w:rPr>
            </w:pPr>
            <w:r>
              <w:rPr>
                <w:highlight w:val="none"/>
              </w:rPr>
              <w:t>0.01673</w:t>
            </w:r>
          </w:p>
        </w:tc>
        <w:tc>
          <w:tcPr>
            <w:tcW w:w="1474" w:type="dxa"/>
            <w:vAlign w:val="top"/>
          </w:tcPr>
          <w:p w14:paraId="4C1C7676">
            <w:pPr>
              <w:pStyle w:val="22"/>
              <w:bidi w:val="0"/>
              <w:rPr>
                <w:highlight w:val="none"/>
              </w:rPr>
            </w:pPr>
            <w:r>
              <w:rPr>
                <w:highlight w:val="none"/>
              </w:rPr>
              <w:t>0.00%</w:t>
            </w:r>
          </w:p>
        </w:tc>
        <w:tc>
          <w:tcPr>
            <w:tcW w:w="1569" w:type="dxa"/>
            <w:vAlign w:val="top"/>
          </w:tcPr>
          <w:p w14:paraId="32EEF874">
            <w:pPr>
              <w:pStyle w:val="22"/>
              <w:bidi w:val="0"/>
              <w:rPr>
                <w:highlight w:val="none"/>
              </w:rPr>
            </w:pPr>
            <w:r>
              <w:rPr>
                <w:highlight w:val="none"/>
              </w:rPr>
              <w:t>3.12</w:t>
            </w:r>
          </w:p>
        </w:tc>
        <w:tc>
          <w:tcPr>
            <w:tcW w:w="1207" w:type="dxa"/>
            <w:vAlign w:val="top"/>
          </w:tcPr>
          <w:p w14:paraId="2C88CE9C">
            <w:pPr>
              <w:pStyle w:val="22"/>
              <w:bidi w:val="0"/>
              <w:rPr>
                <w:highlight w:val="none"/>
              </w:rPr>
            </w:pPr>
            <w:r>
              <w:rPr>
                <w:highlight w:val="none"/>
              </w:rPr>
              <w:t>76.34</w:t>
            </w:r>
          </w:p>
        </w:tc>
        <w:tc>
          <w:tcPr>
            <w:tcW w:w="961" w:type="dxa"/>
            <w:vAlign w:val="top"/>
          </w:tcPr>
          <w:p w14:paraId="57905140">
            <w:pPr>
              <w:pStyle w:val="22"/>
              <w:bidi w:val="0"/>
              <w:rPr>
                <w:highlight w:val="none"/>
              </w:rPr>
            </w:pPr>
            <w:r>
              <w:rPr>
                <w:highlight w:val="none"/>
              </w:rPr>
              <w:t>76.42</w:t>
            </w:r>
          </w:p>
        </w:tc>
      </w:tr>
      <w:tr w14:paraId="31DC8D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36" w:type="dxa"/>
            <w:vAlign w:val="top"/>
          </w:tcPr>
          <w:p w14:paraId="7B0E927E">
            <w:pPr>
              <w:pStyle w:val="22"/>
              <w:bidi w:val="0"/>
              <w:rPr>
                <w:highlight w:val="none"/>
              </w:rPr>
            </w:pPr>
            <w:r>
              <w:rPr>
                <w:highlight w:val="none"/>
              </w:rPr>
              <w:t>农田</w:t>
            </w:r>
          </w:p>
        </w:tc>
        <w:tc>
          <w:tcPr>
            <w:tcW w:w="1753" w:type="dxa"/>
            <w:vAlign w:val="top"/>
          </w:tcPr>
          <w:p w14:paraId="489C1B5F">
            <w:pPr>
              <w:pStyle w:val="22"/>
              <w:bidi w:val="0"/>
              <w:rPr>
                <w:highlight w:val="none"/>
              </w:rPr>
            </w:pPr>
            <w:r>
              <w:rPr>
                <w:highlight w:val="none"/>
              </w:rPr>
              <w:t>5.4560273</w:t>
            </w:r>
          </w:p>
        </w:tc>
        <w:tc>
          <w:tcPr>
            <w:tcW w:w="1474" w:type="dxa"/>
            <w:vAlign w:val="top"/>
          </w:tcPr>
          <w:p w14:paraId="48946A87">
            <w:pPr>
              <w:pStyle w:val="22"/>
              <w:bidi w:val="0"/>
              <w:rPr>
                <w:highlight w:val="none"/>
              </w:rPr>
            </w:pPr>
            <w:r>
              <w:rPr>
                <w:highlight w:val="none"/>
              </w:rPr>
              <w:t>10.67%</w:t>
            </w:r>
          </w:p>
        </w:tc>
        <w:tc>
          <w:tcPr>
            <w:tcW w:w="1569" w:type="dxa"/>
            <w:vAlign w:val="top"/>
          </w:tcPr>
          <w:p w14:paraId="372CE4A0">
            <w:pPr>
              <w:pStyle w:val="22"/>
              <w:bidi w:val="0"/>
              <w:rPr>
                <w:highlight w:val="none"/>
              </w:rPr>
            </w:pPr>
            <w:r>
              <w:rPr>
                <w:highlight w:val="none"/>
              </w:rPr>
              <w:t>2.43</w:t>
            </w:r>
          </w:p>
        </w:tc>
        <w:tc>
          <w:tcPr>
            <w:tcW w:w="1207" w:type="dxa"/>
            <w:vAlign w:val="top"/>
          </w:tcPr>
          <w:p w14:paraId="4B608700">
            <w:pPr>
              <w:pStyle w:val="22"/>
              <w:bidi w:val="0"/>
              <w:rPr>
                <w:highlight w:val="none"/>
              </w:rPr>
            </w:pPr>
            <w:r>
              <w:rPr>
                <w:highlight w:val="none"/>
              </w:rPr>
              <w:t>77.56</w:t>
            </w:r>
          </w:p>
        </w:tc>
        <w:tc>
          <w:tcPr>
            <w:tcW w:w="961" w:type="dxa"/>
            <w:vAlign w:val="top"/>
          </w:tcPr>
          <w:p w14:paraId="42FDC29C">
            <w:pPr>
              <w:pStyle w:val="22"/>
              <w:bidi w:val="0"/>
              <w:rPr>
                <w:highlight w:val="none"/>
              </w:rPr>
            </w:pPr>
            <w:r>
              <w:rPr>
                <w:highlight w:val="none"/>
              </w:rPr>
              <w:t>77.41</w:t>
            </w:r>
          </w:p>
        </w:tc>
      </w:tr>
      <w:tr w14:paraId="38FF78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36" w:type="dxa"/>
            <w:vAlign w:val="top"/>
          </w:tcPr>
          <w:p w14:paraId="646719CB">
            <w:pPr>
              <w:pStyle w:val="22"/>
              <w:bidi w:val="0"/>
              <w:rPr>
                <w:highlight w:val="none"/>
              </w:rPr>
            </w:pPr>
            <w:r>
              <w:rPr>
                <w:highlight w:val="none"/>
              </w:rPr>
              <w:t>城镇</w:t>
            </w:r>
          </w:p>
        </w:tc>
        <w:tc>
          <w:tcPr>
            <w:tcW w:w="1753" w:type="dxa"/>
            <w:vAlign w:val="top"/>
          </w:tcPr>
          <w:p w14:paraId="19AC6BC6">
            <w:pPr>
              <w:pStyle w:val="22"/>
              <w:bidi w:val="0"/>
              <w:rPr>
                <w:highlight w:val="none"/>
              </w:rPr>
            </w:pPr>
            <w:r>
              <w:rPr>
                <w:highlight w:val="none"/>
              </w:rPr>
              <w:t>3.1797472</w:t>
            </w:r>
          </w:p>
        </w:tc>
        <w:tc>
          <w:tcPr>
            <w:tcW w:w="1474" w:type="dxa"/>
            <w:vAlign w:val="top"/>
          </w:tcPr>
          <w:p w14:paraId="7D98F8C8">
            <w:pPr>
              <w:pStyle w:val="22"/>
              <w:bidi w:val="0"/>
              <w:rPr>
                <w:highlight w:val="none"/>
              </w:rPr>
            </w:pPr>
            <w:r>
              <w:rPr>
                <w:highlight w:val="none"/>
              </w:rPr>
              <w:t>5. 13%</w:t>
            </w:r>
          </w:p>
        </w:tc>
        <w:tc>
          <w:tcPr>
            <w:tcW w:w="1569" w:type="dxa"/>
            <w:vAlign w:val="top"/>
          </w:tcPr>
          <w:p w14:paraId="6EC5F09D">
            <w:pPr>
              <w:pStyle w:val="22"/>
              <w:bidi w:val="0"/>
              <w:rPr>
                <w:highlight w:val="none"/>
              </w:rPr>
            </w:pPr>
            <w:r>
              <w:rPr>
                <w:highlight w:val="none"/>
              </w:rPr>
              <w:t>0.19</w:t>
            </w:r>
          </w:p>
        </w:tc>
        <w:tc>
          <w:tcPr>
            <w:tcW w:w="1207" w:type="dxa"/>
            <w:vAlign w:val="top"/>
          </w:tcPr>
          <w:p w14:paraId="6640E12A">
            <w:pPr>
              <w:pStyle w:val="22"/>
              <w:bidi w:val="0"/>
              <w:rPr>
                <w:highlight w:val="none"/>
              </w:rPr>
            </w:pPr>
            <w:r>
              <w:rPr>
                <w:highlight w:val="none"/>
              </w:rPr>
              <w:t>79.71</w:t>
            </w:r>
          </w:p>
        </w:tc>
        <w:tc>
          <w:tcPr>
            <w:tcW w:w="961" w:type="dxa"/>
            <w:vAlign w:val="top"/>
          </w:tcPr>
          <w:p w14:paraId="0E870EAB">
            <w:pPr>
              <w:pStyle w:val="22"/>
              <w:bidi w:val="0"/>
              <w:rPr>
                <w:highlight w:val="none"/>
              </w:rPr>
            </w:pPr>
            <w:r>
              <w:rPr>
                <w:highlight w:val="none"/>
              </w:rPr>
              <w:t>78.90</w:t>
            </w:r>
          </w:p>
        </w:tc>
      </w:tr>
      <w:tr w14:paraId="28E429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336" w:type="dxa"/>
            <w:vAlign w:val="top"/>
          </w:tcPr>
          <w:p w14:paraId="2C429E2C">
            <w:pPr>
              <w:pStyle w:val="22"/>
              <w:bidi w:val="0"/>
              <w:rPr>
                <w:highlight w:val="none"/>
              </w:rPr>
            </w:pPr>
            <w:r>
              <w:rPr>
                <w:highlight w:val="none"/>
              </w:rPr>
              <w:t>合计</w:t>
            </w:r>
          </w:p>
        </w:tc>
        <w:tc>
          <w:tcPr>
            <w:tcW w:w="1753" w:type="dxa"/>
            <w:vAlign w:val="top"/>
          </w:tcPr>
          <w:p w14:paraId="74AC5846">
            <w:pPr>
              <w:pStyle w:val="22"/>
              <w:bidi w:val="0"/>
              <w:rPr>
                <w:highlight w:val="none"/>
              </w:rPr>
            </w:pPr>
            <w:r>
              <w:rPr>
                <w:highlight w:val="none"/>
              </w:rPr>
              <w:t>55.5743</w:t>
            </w:r>
          </w:p>
        </w:tc>
        <w:tc>
          <w:tcPr>
            <w:tcW w:w="1474" w:type="dxa"/>
            <w:vAlign w:val="top"/>
          </w:tcPr>
          <w:p w14:paraId="1F3CEE0F">
            <w:pPr>
              <w:pStyle w:val="22"/>
              <w:bidi w:val="0"/>
              <w:rPr>
                <w:highlight w:val="none"/>
              </w:rPr>
            </w:pPr>
            <w:r>
              <w:rPr>
                <w:highlight w:val="none"/>
              </w:rPr>
              <w:t>100%</w:t>
            </w:r>
          </w:p>
        </w:tc>
        <w:tc>
          <w:tcPr>
            <w:tcW w:w="1569" w:type="dxa"/>
            <w:vAlign w:val="top"/>
          </w:tcPr>
          <w:p w14:paraId="35A250A5">
            <w:pPr>
              <w:pStyle w:val="22"/>
              <w:bidi w:val="0"/>
              <w:rPr>
                <w:highlight w:val="none"/>
              </w:rPr>
            </w:pPr>
            <w:r>
              <w:rPr>
                <w:highlight w:val="none"/>
              </w:rPr>
              <w:t>-</w:t>
            </w:r>
          </w:p>
        </w:tc>
        <w:tc>
          <w:tcPr>
            <w:tcW w:w="1207" w:type="dxa"/>
            <w:vAlign w:val="top"/>
          </w:tcPr>
          <w:p w14:paraId="38D01001">
            <w:pPr>
              <w:pStyle w:val="22"/>
              <w:bidi w:val="0"/>
              <w:rPr>
                <w:highlight w:val="none"/>
              </w:rPr>
            </w:pPr>
            <w:r>
              <w:rPr>
                <w:highlight w:val="none"/>
              </w:rPr>
              <w:t>-</w:t>
            </w:r>
          </w:p>
        </w:tc>
        <w:tc>
          <w:tcPr>
            <w:tcW w:w="961" w:type="dxa"/>
            <w:vAlign w:val="top"/>
          </w:tcPr>
          <w:p w14:paraId="376FC7EE">
            <w:pPr>
              <w:pStyle w:val="22"/>
              <w:bidi w:val="0"/>
              <w:rPr>
                <w:highlight w:val="none"/>
              </w:rPr>
            </w:pPr>
            <w:r>
              <w:rPr>
                <w:highlight w:val="none"/>
              </w:rPr>
              <w:t>-</w:t>
            </w:r>
          </w:p>
        </w:tc>
      </w:tr>
    </w:tbl>
    <w:p w14:paraId="60FB3A13">
      <w:pPr>
        <w:bidi w:val="0"/>
        <w:rPr>
          <w:rFonts w:hint="default"/>
          <w:highlight w:val="none"/>
          <w:lang w:val="en-US" w:eastAsia="zh-CN"/>
        </w:rPr>
      </w:pPr>
      <w:r>
        <w:rPr>
          <w:rFonts w:hint="default"/>
          <w:highlight w:val="none"/>
          <w:lang w:val="en-US" w:eastAsia="zh-CN"/>
        </w:rPr>
        <w:t>从表可以看出，评价区内主要为森林景观，面积为 23.8279942 平方千米，斑块占景观面积的 49.02% ，最大斑块指数为 43.76% ，散布与并列指数为 88.36，聚集度指数为 94.56；其次为草地，面积为 16.3478012 平方千米，占比为24.97% ，最大斑块指数为 4.61% ，散布与并列指数为 85.21，聚集度指数为84.82 。其余景观较低评价区内优势板块为森林景观，集中度高。</w:t>
      </w:r>
    </w:p>
    <w:p w14:paraId="7A601A77">
      <w:pPr>
        <w:bidi w:val="0"/>
        <w:rPr>
          <w:rFonts w:hint="default"/>
          <w:highlight w:val="none"/>
          <w:lang w:val="en-US" w:eastAsia="zh-CN"/>
        </w:rPr>
      </w:pPr>
      <w:r>
        <w:rPr>
          <w:rFonts w:hint="default"/>
          <w:highlight w:val="none"/>
          <w:lang w:val="en-US" w:eastAsia="zh-CN"/>
        </w:rPr>
        <w:t>根据 Fragstats 的统计分析，评价区域内香农多样性指数为 1.14 ，蔓延度指 数为52.36，散布与并列指数为80.31，聚集度指数为 82.33 。总的来看，区域内景观生态体系的质量现状因区域内的自然环境、生物及人类社会之间复杂的相互作用而决定。本项目评价区整体上以森林及人为干预的灌丛和农田为主，受人类干扰严重，人工化、单一化现象比较严重，且生物组分异质化程度较低，是明显带有人类长期干扰痕迹的区域。</w:t>
      </w:r>
    </w:p>
    <w:p w14:paraId="00F18CBF">
      <w:pPr>
        <w:pStyle w:val="6"/>
        <w:bidi w:val="0"/>
        <w:rPr>
          <w:rFonts w:hint="default"/>
          <w:highlight w:val="none"/>
          <w:lang w:val="en-US" w:eastAsia="zh-CN"/>
        </w:rPr>
      </w:pPr>
      <w:r>
        <w:rPr>
          <w:rFonts w:hint="default"/>
          <w:highlight w:val="none"/>
          <w:lang w:val="en-US" w:eastAsia="zh-CN"/>
        </w:rPr>
        <w:t>生态敏感区</w:t>
      </w:r>
    </w:p>
    <w:p w14:paraId="41E48126">
      <w:pPr>
        <w:bidi w:val="0"/>
        <w:rPr>
          <w:rFonts w:hint="default"/>
          <w:highlight w:val="none"/>
          <w:lang w:val="en-US" w:eastAsia="zh-CN"/>
        </w:rPr>
      </w:pPr>
      <w:r>
        <w:rPr>
          <w:rFonts w:hint="default"/>
          <w:highlight w:val="none"/>
          <w:lang w:val="en-US" w:eastAsia="zh-CN"/>
        </w:rPr>
        <w:t>根据中华人民共和国生态环境部网站公布的《全国自然保护区名录》、四川省生态环境厅网站公布的《四川省自然保护区名录》、四川省住房和城乡建设厅网站公布的《四川省及各市风景名胜区名录》、四川省人民政府网站公布 的《四川省人民政府办公厅关于公布四川省林业地方级自然保护区名录的通知》（川办函〔2013〕109 号）等资料和当地林业部门核实，</w:t>
      </w:r>
      <w:r>
        <w:rPr>
          <w:rFonts w:hint="eastAsia"/>
          <w:highlight w:val="none"/>
          <w:lang w:val="en-US" w:eastAsia="zh-CN"/>
        </w:rPr>
        <w:t>冷龙沟流域</w:t>
      </w:r>
      <w:r>
        <w:rPr>
          <w:rFonts w:hint="default"/>
          <w:highlight w:val="none"/>
          <w:lang w:val="en-US" w:eastAsia="zh-CN"/>
        </w:rPr>
        <w:t>不涉及自然保护区、风景名胜区、世界文化和自然遗产地等特殊生态敏感区和重要生态敏感区和国家公园。距本项目最近的生态敏感区为乡城县热打尼丁县级自然保护区，位于本工程东北侧，最近距离约 1.5 km 。</w:t>
      </w:r>
    </w:p>
    <w:p w14:paraId="28545FB1">
      <w:pPr>
        <w:bidi w:val="0"/>
        <w:rPr>
          <w:rFonts w:hint="eastAsia"/>
          <w:highlight w:val="none"/>
          <w:lang w:val="en-US" w:eastAsia="zh-CN"/>
        </w:rPr>
      </w:pPr>
      <w:r>
        <w:rPr>
          <w:rFonts w:hint="default"/>
          <w:highlight w:val="none"/>
          <w:lang w:val="en-US" w:eastAsia="zh-CN"/>
        </w:rPr>
        <w:t>冷龙沟流域不涉及《四川省生态保护红线方案》划定的生态保护红线区域。经与甘孜州生态保护红线叠图分析，本次流域规划涉及乡城县冷龙沟冷龙村饮用水水源保护区，属于优先保护单元。本项目规划工程与生态红线叠图分析见附图。本次流域综合规划环境影响报告符合《中华人民共和国环境影响评价法》的规定。《中华人民共和国水污染防治法》《饮用水水源保护区污染防治管理规定》《集中式饮用水水源环境保护指南（试行）》《四川省饮用水水源保护管理条例》《甘孜州饮用水水源保护管理条例（征求意见稿）》等水源地保护的相关要求，本规划涉及的水资源开发利用工程不涉及生态保护红线其他区域中10类有限人为活动，但选址上仍应尽量避开生态保护红线，无法避免的工程项目应该结合生态安全、可以持续的要求，深入研究论证、慎重决策实施。综上所述，本项目不涉及自然保护区、风景名胜区、世界文化和自然遗产地等特殊生态敏感区和重要生态敏感区，亦不涉及国家公园和生态保护红线。</w:t>
      </w:r>
    </w:p>
    <w:p w14:paraId="21862A5F">
      <w:pPr>
        <w:pStyle w:val="5"/>
        <w:bidi w:val="0"/>
        <w:rPr>
          <w:rFonts w:hint="default"/>
          <w:highlight w:val="none"/>
          <w:lang w:val="en-US" w:eastAsia="zh-CN"/>
        </w:rPr>
      </w:pPr>
      <w:r>
        <w:rPr>
          <w:rFonts w:hint="default"/>
          <w:highlight w:val="none"/>
          <w:lang w:val="en-US" w:eastAsia="zh-CN"/>
        </w:rPr>
        <w:t>水生生态</w:t>
      </w:r>
    </w:p>
    <w:p w14:paraId="3F6B4F54">
      <w:pPr>
        <w:pStyle w:val="6"/>
        <w:bidi w:val="0"/>
        <w:rPr>
          <w:rFonts w:hint="default"/>
          <w:highlight w:val="none"/>
          <w:lang w:val="en-US" w:eastAsia="zh-CN"/>
        </w:rPr>
      </w:pPr>
      <w:r>
        <w:rPr>
          <w:rFonts w:hint="default"/>
          <w:highlight w:val="none"/>
          <w:lang w:val="en-US" w:eastAsia="zh-CN"/>
        </w:rPr>
        <w:t>水生生态调查方案</w:t>
      </w:r>
    </w:p>
    <w:p w14:paraId="3C8024B0">
      <w:pPr>
        <w:numPr>
          <w:ilvl w:val="0"/>
          <w:numId w:val="0"/>
        </w:numPr>
        <w:ind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1、调查范围</w:t>
      </w:r>
    </w:p>
    <w:p w14:paraId="1977A54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体中水生生物的分布很不均匀，通常因水体形态、深度、水源、风、光照、温度以及其它环境条件的不同而异，因此必须选择有代表性的地点进行采样。根据工程特性、河段水域的形态特点、水文条件和水生生物特性等，为尽量满足样品的代表性和可比性，保证达到必要的精度和满足统计学样品数，在工程主要影响水域共设置了6个采样点用于水生生物调查。这些采样点是根据不同水文情况而确定的，具有一定代表性。</w:t>
      </w:r>
    </w:p>
    <w:p w14:paraId="1E2A140E">
      <w:pPr>
        <w:bidi w:val="0"/>
        <w:ind w:left="0" w:leftChars="0" w:firstLine="0" w:firstLineChars="0"/>
        <w:jc w:val="center"/>
        <w:rPr>
          <w:rFonts w:hint="default"/>
          <w:position w:val="-203"/>
          <w:highlight w:val="none"/>
          <w:lang w:val="en-US" w:eastAsia="zh-CN"/>
        </w:rPr>
      </w:pPr>
      <w:r>
        <w:rPr>
          <w:position w:val="-203"/>
          <w:highlight w:val="none"/>
        </w:rPr>
        <w:drawing>
          <wp:inline distT="0" distB="0" distL="0" distR="0">
            <wp:extent cx="4211955" cy="5033645"/>
            <wp:effectExtent l="0" t="0" r="17145" b="14605"/>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5"/>
                    <a:stretch>
                      <a:fillRect/>
                    </a:stretch>
                  </pic:blipFill>
                  <pic:spPr>
                    <a:xfrm>
                      <a:off x="0" y="0"/>
                      <a:ext cx="4211955" cy="5033645"/>
                    </a:xfrm>
                    <a:prstGeom prst="rect">
                      <a:avLst/>
                    </a:prstGeom>
                  </pic:spPr>
                </pic:pic>
              </a:graphicData>
            </a:graphic>
          </wp:inline>
        </w:drawing>
      </w:r>
    </w:p>
    <w:p w14:paraId="53B0DEF6">
      <w:pPr>
        <w:pStyle w:val="11"/>
        <w:bidi w:val="0"/>
        <w:rPr>
          <w:rFonts w:hint="eastAsia" w:ascii="Times New Roman" w:hAnsi="Times New Roman" w:eastAsia="黑体" w:cs="Times New Roman"/>
          <w:highlight w:val="none"/>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16</w:t>
      </w:r>
      <w:r>
        <w:rPr>
          <w:highlight w:val="none"/>
        </w:rPr>
        <w:fldChar w:fldCharType="end"/>
      </w:r>
      <w:r>
        <w:rPr>
          <w:rFonts w:hint="eastAsia"/>
          <w:highlight w:val="none"/>
          <w:lang w:val="en-US" w:eastAsia="zh-CN"/>
        </w:rPr>
        <w:t xml:space="preserve"> 采样点地理位置图</w:t>
      </w:r>
    </w:p>
    <w:p w14:paraId="334A29BD">
      <w:pPr>
        <w:pStyle w:val="11"/>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流域现状调查点统计表</w:t>
      </w:r>
    </w:p>
    <w:tbl>
      <w:tblPr>
        <w:tblStyle w:val="19"/>
        <w:tblW w:w="8439"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196"/>
        <w:gridCol w:w="3640"/>
        <w:gridCol w:w="3603"/>
      </w:tblGrid>
      <w:tr w14:paraId="500F14F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27" w:hRule="atLeast"/>
        </w:trPr>
        <w:tc>
          <w:tcPr>
            <w:tcW w:w="1196" w:type="dxa"/>
          </w:tcPr>
          <w:p w14:paraId="25409CF5">
            <w:pPr>
              <w:pStyle w:val="22"/>
              <w:bidi w:val="0"/>
              <w:rPr>
                <w:rFonts w:hint="default" w:ascii="Times New Roman" w:hAnsi="Times New Roman" w:cs="Times New Roman"/>
                <w:highlight w:val="none"/>
              </w:rPr>
            </w:pPr>
            <w:r>
              <w:rPr>
                <w:rFonts w:hint="default" w:ascii="Times New Roman" w:hAnsi="Times New Roman" w:cs="Times New Roman"/>
                <w:highlight w:val="none"/>
              </w:rPr>
              <w:t>调查点</w:t>
            </w:r>
          </w:p>
        </w:tc>
        <w:tc>
          <w:tcPr>
            <w:tcW w:w="3640" w:type="dxa"/>
          </w:tcPr>
          <w:p w14:paraId="79B21140">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位置</w:t>
            </w:r>
          </w:p>
        </w:tc>
        <w:tc>
          <w:tcPr>
            <w:tcW w:w="3603" w:type="dxa"/>
          </w:tcPr>
          <w:p w14:paraId="6B333C29">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经纬度</w:t>
            </w:r>
          </w:p>
        </w:tc>
      </w:tr>
      <w:tr w14:paraId="7915B90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29" w:hRule="atLeast"/>
        </w:trPr>
        <w:tc>
          <w:tcPr>
            <w:tcW w:w="1196" w:type="dxa"/>
            <w:vAlign w:val="center"/>
          </w:tcPr>
          <w:p w14:paraId="1E197020">
            <w:pPr>
              <w:pStyle w:val="22"/>
              <w:bidi w:val="0"/>
              <w:rPr>
                <w:rFonts w:hint="default" w:ascii="Times New Roman" w:hAnsi="Times New Roman" w:cs="Times New Roman" w:eastAsiaTheme="minorEastAsia"/>
                <w:highlight w:val="none"/>
                <w:lang w:eastAsia="zh-CN"/>
              </w:rPr>
            </w:pPr>
            <w:r>
              <w:rPr>
                <w:rFonts w:hint="default" w:ascii="Times New Roman" w:hAnsi="Times New Roman" w:cs="Times New Roman"/>
                <w:highlight w:val="none"/>
                <w:lang w:val="en-US" w:eastAsia="zh-CN"/>
              </w:rPr>
              <w:t>1</w:t>
            </w:r>
          </w:p>
        </w:tc>
        <w:tc>
          <w:tcPr>
            <w:tcW w:w="3640" w:type="dxa"/>
            <w:vAlign w:val="center"/>
          </w:tcPr>
          <w:p w14:paraId="4ACDBA6A">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尼色拥水库坝址上游</w:t>
            </w:r>
          </w:p>
        </w:tc>
        <w:tc>
          <w:tcPr>
            <w:tcW w:w="3603" w:type="dxa"/>
            <w:vAlign w:val="center"/>
          </w:tcPr>
          <w:p w14:paraId="7B34136D">
            <w:pPr>
              <w:pStyle w:val="22"/>
              <w:bidi w:val="0"/>
              <w:rPr>
                <w:rFonts w:hint="default" w:ascii="Times New Roman" w:hAnsi="Times New Roman" w:cs="Times New Roman"/>
                <w:highlight w:val="none"/>
              </w:rPr>
            </w:pPr>
            <w:r>
              <w:rPr>
                <w:rFonts w:hint="default" w:ascii="Times New Roman" w:hAnsi="Times New Roman" w:cs="Times New Roman"/>
                <w:highlight w:val="none"/>
              </w:rPr>
              <w:t>E99.768534820,</w:t>
            </w:r>
          </w:p>
          <w:p w14:paraId="318A47FF">
            <w:pPr>
              <w:pStyle w:val="22"/>
              <w:bidi w:val="0"/>
              <w:rPr>
                <w:rFonts w:hint="default" w:ascii="Times New Roman" w:hAnsi="Times New Roman" w:cs="Times New Roman"/>
                <w:highlight w:val="none"/>
              </w:rPr>
            </w:pPr>
            <w:r>
              <w:rPr>
                <w:rFonts w:hint="default" w:ascii="Times New Roman" w:hAnsi="Times New Roman" w:cs="Times New Roman"/>
                <w:highlight w:val="none"/>
              </w:rPr>
              <w:t>N29.032640621</w:t>
            </w:r>
          </w:p>
        </w:tc>
      </w:tr>
      <w:tr w14:paraId="3663D11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4" w:hRule="atLeast"/>
        </w:trPr>
        <w:tc>
          <w:tcPr>
            <w:tcW w:w="1196" w:type="dxa"/>
            <w:vAlign w:val="center"/>
          </w:tcPr>
          <w:p w14:paraId="00BB0C4E">
            <w:pPr>
              <w:pStyle w:val="22"/>
              <w:bidi w:val="0"/>
              <w:rPr>
                <w:rFonts w:hint="default" w:ascii="Times New Roman" w:hAnsi="Times New Roman" w:cs="Times New Roman" w:eastAsiaTheme="minorEastAsia"/>
                <w:highlight w:val="none"/>
                <w:lang w:eastAsia="zh-CN"/>
              </w:rPr>
            </w:pPr>
            <w:r>
              <w:rPr>
                <w:rFonts w:hint="default" w:ascii="Times New Roman" w:hAnsi="Times New Roman" w:cs="Times New Roman"/>
                <w:highlight w:val="none"/>
                <w:lang w:val="en-US" w:eastAsia="zh-CN"/>
              </w:rPr>
              <w:t>2</w:t>
            </w:r>
          </w:p>
        </w:tc>
        <w:tc>
          <w:tcPr>
            <w:tcW w:w="3640" w:type="dxa"/>
            <w:vAlign w:val="center"/>
          </w:tcPr>
          <w:p w14:paraId="7B56E920">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尼色拥水库坝址</w:t>
            </w:r>
          </w:p>
        </w:tc>
        <w:tc>
          <w:tcPr>
            <w:tcW w:w="3603" w:type="dxa"/>
            <w:vAlign w:val="center"/>
          </w:tcPr>
          <w:p w14:paraId="1CDBFBBE">
            <w:pPr>
              <w:pStyle w:val="22"/>
              <w:bidi w:val="0"/>
              <w:rPr>
                <w:rFonts w:hint="default" w:ascii="Times New Roman" w:hAnsi="Times New Roman" w:cs="Times New Roman"/>
                <w:highlight w:val="none"/>
              </w:rPr>
            </w:pPr>
            <w:r>
              <w:rPr>
                <w:rFonts w:hint="default" w:ascii="Times New Roman" w:hAnsi="Times New Roman" w:cs="Times New Roman"/>
                <w:highlight w:val="none"/>
              </w:rPr>
              <w:t>E99.758042018,</w:t>
            </w:r>
          </w:p>
          <w:p w14:paraId="379137E6">
            <w:pPr>
              <w:pStyle w:val="22"/>
              <w:bidi w:val="0"/>
              <w:rPr>
                <w:rFonts w:hint="default" w:ascii="Times New Roman" w:hAnsi="Times New Roman" w:cs="Times New Roman"/>
                <w:highlight w:val="none"/>
              </w:rPr>
            </w:pPr>
            <w:r>
              <w:rPr>
                <w:rFonts w:hint="default" w:ascii="Times New Roman" w:hAnsi="Times New Roman" w:cs="Times New Roman"/>
                <w:highlight w:val="none"/>
              </w:rPr>
              <w:t>N29.02304904</w:t>
            </w:r>
          </w:p>
        </w:tc>
      </w:tr>
      <w:tr w14:paraId="0B77D36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29" w:hRule="atLeast"/>
        </w:trPr>
        <w:tc>
          <w:tcPr>
            <w:tcW w:w="1196" w:type="dxa"/>
            <w:vAlign w:val="center"/>
          </w:tcPr>
          <w:p w14:paraId="5922979B">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3</w:t>
            </w:r>
          </w:p>
        </w:tc>
        <w:tc>
          <w:tcPr>
            <w:tcW w:w="3640" w:type="dxa"/>
            <w:vAlign w:val="center"/>
          </w:tcPr>
          <w:p w14:paraId="34140A70">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尼色拥水库坝址下游</w:t>
            </w:r>
          </w:p>
        </w:tc>
        <w:tc>
          <w:tcPr>
            <w:tcW w:w="3603" w:type="dxa"/>
            <w:vAlign w:val="center"/>
          </w:tcPr>
          <w:p w14:paraId="1A7F4A66">
            <w:pPr>
              <w:pStyle w:val="22"/>
              <w:bidi w:val="0"/>
              <w:rPr>
                <w:rFonts w:hint="default" w:ascii="Times New Roman" w:hAnsi="Times New Roman" w:cs="Times New Roman"/>
                <w:highlight w:val="none"/>
              </w:rPr>
            </w:pPr>
            <w:r>
              <w:rPr>
                <w:rFonts w:hint="default" w:ascii="Times New Roman" w:hAnsi="Times New Roman" w:cs="Times New Roman"/>
                <w:highlight w:val="none"/>
              </w:rPr>
              <w:t>E99.763460081,</w:t>
            </w:r>
          </w:p>
          <w:p w14:paraId="3EB4AAEF">
            <w:pPr>
              <w:pStyle w:val="22"/>
              <w:bidi w:val="0"/>
              <w:rPr>
                <w:rFonts w:hint="default" w:ascii="Times New Roman" w:hAnsi="Times New Roman" w:cs="Times New Roman"/>
                <w:highlight w:val="none"/>
              </w:rPr>
            </w:pPr>
            <w:r>
              <w:rPr>
                <w:rFonts w:hint="default" w:ascii="Times New Roman" w:hAnsi="Times New Roman" w:cs="Times New Roman"/>
                <w:highlight w:val="none"/>
              </w:rPr>
              <w:t>N28.99944292</w:t>
            </w:r>
          </w:p>
        </w:tc>
      </w:tr>
      <w:tr w14:paraId="2BE1E7C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29" w:hRule="atLeast"/>
        </w:trPr>
        <w:tc>
          <w:tcPr>
            <w:tcW w:w="1196" w:type="dxa"/>
            <w:vAlign w:val="center"/>
          </w:tcPr>
          <w:p w14:paraId="549F780B">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4</w:t>
            </w:r>
          </w:p>
        </w:tc>
        <w:tc>
          <w:tcPr>
            <w:tcW w:w="3640" w:type="dxa"/>
            <w:vAlign w:val="center"/>
          </w:tcPr>
          <w:p w14:paraId="6951FC2C">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冷龙村支流汇合口</w:t>
            </w:r>
          </w:p>
        </w:tc>
        <w:tc>
          <w:tcPr>
            <w:tcW w:w="3603" w:type="dxa"/>
            <w:vAlign w:val="center"/>
          </w:tcPr>
          <w:p w14:paraId="4C924BF1">
            <w:pPr>
              <w:pStyle w:val="22"/>
              <w:bidi w:val="0"/>
              <w:rPr>
                <w:rFonts w:hint="default" w:ascii="Times New Roman" w:hAnsi="Times New Roman" w:cs="Times New Roman"/>
                <w:highlight w:val="none"/>
              </w:rPr>
            </w:pPr>
            <w:r>
              <w:rPr>
                <w:rFonts w:hint="default" w:ascii="Times New Roman" w:hAnsi="Times New Roman" w:cs="Times New Roman"/>
                <w:highlight w:val="none"/>
              </w:rPr>
              <w:t>E99.772570150,</w:t>
            </w:r>
          </w:p>
          <w:p w14:paraId="4D5D2F20">
            <w:pPr>
              <w:pStyle w:val="22"/>
              <w:bidi w:val="0"/>
              <w:rPr>
                <w:rFonts w:hint="default" w:ascii="Times New Roman" w:hAnsi="Times New Roman" w:cs="Times New Roman"/>
                <w:highlight w:val="none"/>
              </w:rPr>
            </w:pPr>
            <w:r>
              <w:rPr>
                <w:rFonts w:hint="default" w:ascii="Times New Roman" w:hAnsi="Times New Roman" w:cs="Times New Roman"/>
                <w:highlight w:val="none"/>
              </w:rPr>
              <w:t>N28.968154952</w:t>
            </w:r>
          </w:p>
        </w:tc>
      </w:tr>
      <w:tr w14:paraId="3D81D30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29" w:hRule="atLeast"/>
        </w:trPr>
        <w:tc>
          <w:tcPr>
            <w:tcW w:w="1196" w:type="dxa"/>
            <w:vAlign w:val="center"/>
          </w:tcPr>
          <w:p w14:paraId="7C756235">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5</w:t>
            </w:r>
          </w:p>
        </w:tc>
        <w:tc>
          <w:tcPr>
            <w:tcW w:w="3640" w:type="dxa"/>
            <w:vAlign w:val="center"/>
          </w:tcPr>
          <w:p w14:paraId="1094E06C">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冷龙村甘拥段</w:t>
            </w:r>
          </w:p>
        </w:tc>
        <w:tc>
          <w:tcPr>
            <w:tcW w:w="3603" w:type="dxa"/>
            <w:vAlign w:val="center"/>
          </w:tcPr>
          <w:p w14:paraId="2D7A8D4F">
            <w:pPr>
              <w:pStyle w:val="22"/>
              <w:bidi w:val="0"/>
              <w:rPr>
                <w:rFonts w:hint="default" w:ascii="Times New Roman" w:hAnsi="Times New Roman" w:cs="Times New Roman"/>
                <w:highlight w:val="none"/>
              </w:rPr>
            </w:pPr>
            <w:r>
              <w:rPr>
                <w:rFonts w:hint="default" w:ascii="Times New Roman" w:hAnsi="Times New Roman" w:cs="Times New Roman"/>
                <w:highlight w:val="none"/>
              </w:rPr>
              <w:t>E99.780935852,</w:t>
            </w:r>
          </w:p>
          <w:p w14:paraId="0E52C6FC">
            <w:pPr>
              <w:pStyle w:val="22"/>
              <w:bidi w:val="0"/>
              <w:rPr>
                <w:rFonts w:hint="default" w:ascii="Times New Roman" w:hAnsi="Times New Roman" w:cs="Times New Roman"/>
                <w:highlight w:val="none"/>
              </w:rPr>
            </w:pPr>
            <w:r>
              <w:rPr>
                <w:rFonts w:hint="default" w:ascii="Times New Roman" w:hAnsi="Times New Roman" w:cs="Times New Roman"/>
                <w:highlight w:val="none"/>
              </w:rPr>
              <w:t>N28.956964347</w:t>
            </w:r>
          </w:p>
        </w:tc>
      </w:tr>
      <w:tr w14:paraId="1AAB76D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9" w:hRule="atLeast"/>
        </w:trPr>
        <w:tc>
          <w:tcPr>
            <w:tcW w:w="1196" w:type="dxa"/>
            <w:vAlign w:val="center"/>
          </w:tcPr>
          <w:p w14:paraId="5A61AEF3">
            <w:pPr>
              <w:pStyle w:val="22"/>
              <w:bidi w:val="0"/>
              <w:rPr>
                <w:rFonts w:hint="default" w:ascii="Times New Roman" w:hAnsi="Times New Roman" w:cs="Times New Roman"/>
                <w:highlight w:val="none"/>
              </w:rPr>
            </w:pPr>
            <w:r>
              <w:rPr>
                <w:rFonts w:hint="default" w:ascii="Times New Roman" w:hAnsi="Times New Roman" w:cs="Times New Roman"/>
                <w:highlight w:val="none"/>
              </w:rPr>
              <w:t>6</w:t>
            </w:r>
          </w:p>
        </w:tc>
        <w:tc>
          <w:tcPr>
            <w:tcW w:w="3640" w:type="dxa"/>
            <w:vAlign w:val="center"/>
          </w:tcPr>
          <w:p w14:paraId="08E27C13">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冷龙村与硕曲汇合口</w:t>
            </w:r>
          </w:p>
        </w:tc>
        <w:tc>
          <w:tcPr>
            <w:tcW w:w="3603" w:type="dxa"/>
            <w:vAlign w:val="center"/>
          </w:tcPr>
          <w:p w14:paraId="09D94E87">
            <w:pPr>
              <w:pStyle w:val="22"/>
              <w:bidi w:val="0"/>
              <w:rPr>
                <w:rFonts w:hint="default" w:ascii="Times New Roman" w:hAnsi="Times New Roman" w:cs="Times New Roman"/>
                <w:highlight w:val="none"/>
              </w:rPr>
            </w:pPr>
            <w:r>
              <w:rPr>
                <w:rFonts w:hint="default" w:ascii="Times New Roman" w:hAnsi="Times New Roman" w:cs="Times New Roman"/>
                <w:highlight w:val="none"/>
              </w:rPr>
              <w:t>E99.805274217,</w:t>
            </w:r>
          </w:p>
          <w:p w14:paraId="7F8945D5">
            <w:pPr>
              <w:pStyle w:val="22"/>
              <w:bidi w:val="0"/>
              <w:rPr>
                <w:rFonts w:hint="default" w:ascii="Times New Roman" w:hAnsi="Times New Roman" w:cs="Times New Roman"/>
                <w:highlight w:val="none"/>
              </w:rPr>
            </w:pPr>
            <w:r>
              <w:rPr>
                <w:rFonts w:hint="default" w:ascii="Times New Roman" w:hAnsi="Times New Roman" w:cs="Times New Roman"/>
                <w:highlight w:val="none"/>
              </w:rPr>
              <w:t>N28.947126004</w:t>
            </w:r>
          </w:p>
        </w:tc>
      </w:tr>
    </w:tbl>
    <w:p w14:paraId="66814EDC">
      <w:pPr>
        <w:numPr>
          <w:ilvl w:val="0"/>
          <w:numId w:val="0"/>
        </w:numPr>
        <w:bidi w:val="0"/>
        <w:ind w:left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2、调查时间</w:t>
      </w:r>
    </w:p>
    <w:p w14:paraId="2E6004B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分别在2023年12月和2024年3月对工程影响</w:t>
      </w:r>
      <w:r>
        <w:rPr>
          <w:rFonts w:hint="eastAsia" w:cs="Times New Roman"/>
          <w:highlight w:val="none"/>
          <w:lang w:val="en-US" w:eastAsia="zh-CN"/>
        </w:rPr>
        <w:t>水</w:t>
      </w:r>
      <w:r>
        <w:rPr>
          <w:rFonts w:hint="default" w:ascii="Times New Roman" w:hAnsi="Times New Roman" w:cs="Times New Roman"/>
          <w:highlight w:val="none"/>
          <w:lang w:val="en-US" w:eastAsia="zh-CN"/>
        </w:rPr>
        <w:t>域开展调查。调查容主要包括藻类植物、浮游植物、底栖动物以及鱼类等的种类组成和分布等。</w:t>
      </w:r>
    </w:p>
    <w:p w14:paraId="23A9E57A">
      <w:pPr>
        <w:numPr>
          <w:ilvl w:val="0"/>
          <w:numId w:val="27"/>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调查方法</w:t>
      </w:r>
    </w:p>
    <w:p w14:paraId="258B98C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按照《环境影响评价技术导则生态影响》（HJ19</w:t>
      </w:r>
      <w:r>
        <w:rPr>
          <w:rFonts w:hint="eastAsia" w:cs="Times New Roman"/>
          <w:highlight w:val="none"/>
          <w:lang w:val="en-US" w:eastAsia="zh-CN"/>
        </w:rPr>
        <w:t>-</w:t>
      </w:r>
      <w:r>
        <w:rPr>
          <w:rFonts w:hint="default" w:ascii="Times New Roman" w:hAnsi="Times New Roman" w:cs="Times New Roman"/>
          <w:highlight w:val="none"/>
          <w:lang w:val="en-US" w:eastAsia="zh-CN"/>
        </w:rPr>
        <w:t>2022代替HJ19</w:t>
      </w:r>
      <w:r>
        <w:rPr>
          <w:rFonts w:hint="eastAsia" w:cs="Times New Roman"/>
          <w:highlight w:val="none"/>
          <w:lang w:val="en-US" w:eastAsia="zh-CN"/>
        </w:rPr>
        <w:t>-</w:t>
      </w:r>
      <w:r>
        <w:rPr>
          <w:rFonts w:hint="default" w:ascii="Times New Roman" w:hAnsi="Times New Roman" w:cs="Times New Roman"/>
          <w:highlight w:val="none"/>
          <w:lang w:val="en-US" w:eastAsia="zh-CN"/>
        </w:rPr>
        <w:t>2011）、《环境影响评价技术导则水利水电工程》（HJ/T88</w:t>
      </w:r>
      <w:r>
        <w:rPr>
          <w:rFonts w:hint="eastAsia" w:cs="Times New Roman"/>
          <w:highlight w:val="none"/>
          <w:lang w:val="en-US" w:eastAsia="zh-CN"/>
        </w:rPr>
        <w:t>-</w:t>
      </w:r>
      <w:r>
        <w:rPr>
          <w:rFonts w:hint="default" w:ascii="Times New Roman" w:hAnsi="Times New Roman" w:cs="Times New Roman"/>
          <w:highlight w:val="none"/>
          <w:lang w:val="en-US" w:eastAsia="zh-CN"/>
        </w:rPr>
        <w:t>2003）、《水利水电工程环境影响评价规范（试行）》（SDJ302</w:t>
      </w:r>
      <w:r>
        <w:rPr>
          <w:rFonts w:hint="eastAsia" w:cs="Times New Roman"/>
          <w:highlight w:val="none"/>
          <w:lang w:val="en-US" w:eastAsia="zh-CN"/>
        </w:rPr>
        <w:t>-</w:t>
      </w:r>
      <w:r>
        <w:rPr>
          <w:rFonts w:hint="default" w:ascii="Times New Roman" w:hAnsi="Times New Roman" w:cs="Times New Roman"/>
          <w:highlight w:val="none"/>
          <w:lang w:val="en-US" w:eastAsia="zh-CN"/>
        </w:rPr>
        <w:t>88）《生态环境状况评价技术规范》（HJ192-2015）、《生物多样性观测技术导则</w:t>
      </w:r>
      <w:r>
        <w:rPr>
          <w:rFonts w:hint="eastAsia" w:cs="Times New Roman"/>
          <w:highlight w:val="none"/>
          <w:lang w:val="en-US" w:eastAsia="zh-CN"/>
        </w:rPr>
        <w:t xml:space="preserve"> </w:t>
      </w:r>
      <w:r>
        <w:rPr>
          <w:rFonts w:hint="default" w:ascii="Times New Roman" w:hAnsi="Times New Roman" w:cs="Times New Roman"/>
          <w:highlight w:val="none"/>
          <w:lang w:val="en-US" w:eastAsia="zh-CN"/>
        </w:rPr>
        <w:t>内陆水域鱼类》（HJ 710.7</w:t>
      </w:r>
      <w:r>
        <w:rPr>
          <w:rFonts w:hint="eastAsia" w:cs="Times New Roman"/>
          <w:highlight w:val="none"/>
          <w:lang w:val="en-US" w:eastAsia="zh-CN"/>
        </w:rPr>
        <w:t>-</w:t>
      </w:r>
      <w:r>
        <w:rPr>
          <w:rFonts w:hint="default" w:ascii="Times New Roman" w:hAnsi="Times New Roman" w:cs="Times New Roman"/>
          <w:highlight w:val="none"/>
          <w:lang w:val="en-US" w:eastAsia="zh-CN"/>
        </w:rPr>
        <w:t>2014））、《区域生物多样性评价标准》（HJ623</w:t>
      </w:r>
      <w:r>
        <w:rPr>
          <w:rFonts w:hint="eastAsia" w:cs="Times New Roman"/>
          <w:highlight w:val="none"/>
          <w:lang w:val="en-US" w:eastAsia="zh-CN"/>
        </w:rPr>
        <w:t>-</w:t>
      </w:r>
      <w:r>
        <w:rPr>
          <w:rFonts w:hint="default" w:ascii="Times New Roman" w:hAnsi="Times New Roman" w:cs="Times New Roman"/>
          <w:highlight w:val="none"/>
          <w:lang w:val="en-US" w:eastAsia="zh-CN"/>
        </w:rPr>
        <w:t>2011）、《水库渔业资源调查规范》（SL167-2014）、《地表水和污水监测技术规范》（HJ/T91</w:t>
      </w:r>
      <w:r>
        <w:rPr>
          <w:rFonts w:hint="eastAsia" w:cs="Times New Roman"/>
          <w:highlight w:val="none"/>
          <w:lang w:val="en-US" w:eastAsia="zh-CN"/>
        </w:rPr>
        <w:t>-</w:t>
      </w:r>
      <w:r>
        <w:rPr>
          <w:rFonts w:hint="default" w:ascii="Times New Roman" w:hAnsi="Times New Roman" w:cs="Times New Roman"/>
          <w:highlight w:val="none"/>
          <w:lang w:val="en-US" w:eastAsia="zh-CN"/>
        </w:rPr>
        <w:t>2002）、《内陆水域渔业自然资源调查手册》与《淡水浮游生物研究放法》等进行采样和检测。</w:t>
      </w:r>
    </w:p>
    <w:p w14:paraId="51D532C2">
      <w:pPr>
        <w:bidi w:val="0"/>
        <w:rPr>
          <w:rFonts w:hint="default"/>
          <w:highlight w:val="none"/>
          <w:lang w:val="en-US" w:eastAsia="zh-CN"/>
        </w:rPr>
      </w:pPr>
      <w:r>
        <w:rPr>
          <w:rFonts w:hint="default"/>
          <w:highlight w:val="none"/>
        </w:rPr>
        <w:t>（1）浮游</w:t>
      </w:r>
      <w:r>
        <w:rPr>
          <w:rFonts w:hint="default"/>
          <w:highlight w:val="none"/>
          <w:lang w:val="en-US" w:eastAsia="zh-CN"/>
        </w:rPr>
        <w:t>植物</w:t>
      </w:r>
    </w:p>
    <w:p w14:paraId="13B5BDF1">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浮游植物是指悬浮在</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中，只能随</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流或波浪移动的微型藻类植物，是</w:t>
      </w:r>
      <w:r>
        <w:rPr>
          <w:rFonts w:hint="default" w:ascii="Times New Roman" w:hAnsi="Times New Roman" w:cs="Times New Roman"/>
          <w:color w:val="auto"/>
          <w:sz w:val="24"/>
          <w:highlight w:val="none"/>
          <w:lang w:val="en-US" w:eastAsia="zh-CN"/>
        </w:rPr>
        <w:t>水生</w:t>
      </w:r>
      <w:r>
        <w:rPr>
          <w:rFonts w:hint="default" w:ascii="Times New Roman" w:hAnsi="Times New Roman" w:cs="Times New Roman"/>
          <w:color w:val="auto"/>
          <w:sz w:val="24"/>
          <w:highlight w:val="none"/>
        </w:rPr>
        <w:t>藻类中数</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最多的</w:t>
      </w:r>
      <w:r>
        <w:rPr>
          <w:rFonts w:hint="default" w:ascii="Times New Roman" w:hAnsi="Times New Roman" w:cs="Times New Roman"/>
          <w:color w:val="auto"/>
          <w:sz w:val="24"/>
          <w:highlight w:val="none"/>
          <w:lang w:val="en-US" w:eastAsia="zh-CN"/>
        </w:rPr>
        <w:t>一</w:t>
      </w:r>
      <w:r>
        <w:rPr>
          <w:rFonts w:hint="default" w:ascii="Times New Roman" w:hAnsi="Times New Roman" w:cs="Times New Roman"/>
          <w:color w:val="auto"/>
          <w:sz w:val="24"/>
          <w:highlight w:val="none"/>
        </w:rPr>
        <w:t>类，分布极其</w:t>
      </w:r>
      <w:r>
        <w:rPr>
          <w:rFonts w:hint="default" w:ascii="Times New Roman" w:hAnsi="Times New Roman" w:cs="Times New Roman"/>
          <w:color w:val="auto"/>
          <w:sz w:val="24"/>
          <w:highlight w:val="none"/>
          <w:lang w:val="en-US" w:eastAsia="zh-CN"/>
        </w:rPr>
        <w:t>广</w:t>
      </w:r>
      <w:r>
        <w:rPr>
          <w:rFonts w:hint="default" w:ascii="Times New Roman" w:hAnsi="Times New Roman" w:cs="Times New Roman"/>
          <w:color w:val="auto"/>
          <w:sz w:val="24"/>
          <w:highlight w:val="none"/>
        </w:rPr>
        <w:t>泛，不论湖泊、河川、池塘和</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库等都有其存在。这类藻类</w:t>
      </w:r>
      <w:r>
        <w:rPr>
          <w:rFonts w:hint="default" w:ascii="Times New Roman" w:hAnsi="Times New Roman" w:cs="Times New Roman"/>
          <w:color w:val="auto"/>
          <w:sz w:val="24"/>
          <w:highlight w:val="none"/>
          <w:lang w:val="en-US" w:eastAsia="zh-CN"/>
        </w:rPr>
        <w:t>大</w:t>
      </w:r>
      <w:r>
        <w:rPr>
          <w:rFonts w:hint="default" w:ascii="Times New Roman" w:hAnsi="Times New Roman" w:cs="Times New Roman"/>
          <w:color w:val="auto"/>
          <w:sz w:val="24"/>
          <w:highlight w:val="none"/>
        </w:rPr>
        <w:t>多体型微</w:t>
      </w:r>
      <w:r>
        <w:rPr>
          <w:rFonts w:hint="eastAsia" w:cs="Times New Roman"/>
          <w:color w:val="auto"/>
          <w:sz w:val="24"/>
          <w:highlight w:val="none"/>
          <w:lang w:val="en-US" w:eastAsia="zh-CN"/>
        </w:rPr>
        <w:t>小</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一</w:t>
      </w:r>
      <w:r>
        <w:rPr>
          <w:rFonts w:hint="default" w:ascii="Times New Roman" w:hAnsi="Times New Roman" w:cs="Times New Roman"/>
          <w:color w:val="auto"/>
          <w:sz w:val="24"/>
          <w:highlight w:val="none"/>
        </w:rPr>
        <w:t>般在1.2-500µm之间。常</w:t>
      </w:r>
      <w:r>
        <w:rPr>
          <w:rFonts w:hint="default" w:ascii="Times New Roman" w:hAnsi="Times New Roman" w:cs="Times New Roman"/>
          <w:color w:val="auto"/>
          <w:sz w:val="24"/>
          <w:highlight w:val="none"/>
          <w:lang w:val="en-US" w:eastAsia="zh-CN"/>
        </w:rPr>
        <w:t>见</w:t>
      </w:r>
      <w:r>
        <w:rPr>
          <w:rFonts w:hint="default" w:ascii="Times New Roman" w:hAnsi="Times New Roman" w:cs="Times New Roman"/>
          <w:color w:val="auto"/>
          <w:sz w:val="24"/>
          <w:highlight w:val="none"/>
        </w:rPr>
        <w:t>的有硅藻、</w:t>
      </w:r>
      <w:r>
        <w:rPr>
          <w:rFonts w:hint="default" w:ascii="Times New Roman" w:hAnsi="Times New Roman" w:cs="Times New Roman"/>
          <w:color w:val="auto"/>
          <w:sz w:val="24"/>
          <w:highlight w:val="none"/>
          <w:lang w:val="en-US" w:eastAsia="zh-CN"/>
        </w:rPr>
        <w:t>金</w:t>
      </w:r>
      <w:r>
        <w:rPr>
          <w:rFonts w:hint="default" w:ascii="Times New Roman" w:hAnsi="Times New Roman" w:cs="Times New Roman"/>
          <w:color w:val="auto"/>
          <w:sz w:val="24"/>
          <w:highlight w:val="none"/>
        </w:rPr>
        <w:t>藻、</w:t>
      </w:r>
      <w:r>
        <w:rPr>
          <w:rFonts w:hint="default" w:ascii="Times New Roman" w:hAnsi="Times New Roman" w:cs="Times New Roman"/>
          <w:color w:val="auto"/>
          <w:sz w:val="24"/>
          <w:highlight w:val="none"/>
          <w:lang w:val="en-US" w:eastAsia="zh-CN"/>
        </w:rPr>
        <w:t>黄</w:t>
      </w:r>
      <w:r>
        <w:rPr>
          <w:rFonts w:hint="default" w:ascii="Times New Roman" w:hAnsi="Times New Roman" w:cs="Times New Roman"/>
          <w:color w:val="auto"/>
          <w:sz w:val="24"/>
          <w:highlight w:val="none"/>
        </w:rPr>
        <w:t>藻、甲藻、隐藻、裸藻、绿藻和蓝藻等类群。藻类是</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环境中的初级</w:t>
      </w:r>
      <w:r>
        <w:rPr>
          <w:rFonts w:hint="default" w:ascii="Times New Roman" w:hAnsi="Times New Roman" w:cs="Times New Roman"/>
          <w:color w:val="auto"/>
          <w:sz w:val="24"/>
          <w:highlight w:val="none"/>
          <w:lang w:val="en-US" w:eastAsia="zh-CN"/>
        </w:rPr>
        <w:t>生</w:t>
      </w:r>
      <w:r>
        <w:rPr>
          <w:rFonts w:hint="default" w:ascii="Times New Roman" w:hAnsi="Times New Roman" w:cs="Times New Roman"/>
          <w:color w:val="auto"/>
          <w:sz w:val="24"/>
          <w:highlight w:val="none"/>
        </w:rPr>
        <w:t>产者,它可以通过光合作</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为</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中</w:t>
      </w:r>
      <w:r>
        <w:rPr>
          <w:rFonts w:hint="default" w:ascii="Times New Roman" w:hAnsi="Times New Roman" w:cs="Times New Roman"/>
          <w:color w:val="auto"/>
          <w:sz w:val="24"/>
          <w:highlight w:val="none"/>
          <w:lang w:val="en-US" w:eastAsia="zh-CN"/>
        </w:rPr>
        <w:t>生</w:t>
      </w:r>
      <w:r>
        <w:rPr>
          <w:rFonts w:hint="default" w:ascii="Times New Roman" w:hAnsi="Times New Roman" w:cs="Times New Roman"/>
          <w:color w:val="auto"/>
          <w:sz w:val="24"/>
          <w:highlight w:val="none"/>
        </w:rPr>
        <w:t>物提供氧</w:t>
      </w:r>
      <w:r>
        <w:rPr>
          <w:rFonts w:hint="default" w:ascii="Times New Roman" w:hAnsi="Times New Roman" w:cs="Times New Roman"/>
          <w:color w:val="auto"/>
          <w:sz w:val="24"/>
          <w:highlight w:val="none"/>
          <w:lang w:val="en-US" w:eastAsia="zh-CN"/>
        </w:rPr>
        <w:t>气</w:t>
      </w:r>
      <w:r>
        <w:rPr>
          <w:rFonts w:hint="default" w:ascii="Times New Roman" w:hAnsi="Times New Roman" w:cs="Times New Roman"/>
          <w:color w:val="auto"/>
          <w:sz w:val="24"/>
          <w:highlight w:val="none"/>
        </w:rPr>
        <w:t>，可分解</w:t>
      </w:r>
      <w:r>
        <w:rPr>
          <w:rFonts w:hint="default" w:ascii="Times New Roman" w:hAnsi="Times New Roman" w:cs="Times New Roman"/>
          <w:color w:val="auto"/>
          <w:sz w:val="24"/>
          <w:highlight w:val="none"/>
          <w:lang w:val="en-US" w:eastAsia="zh-CN"/>
        </w:rPr>
        <w:t>水生生</w:t>
      </w:r>
      <w:r>
        <w:rPr>
          <w:rFonts w:hint="default" w:ascii="Times New Roman" w:hAnsi="Times New Roman" w:cs="Times New Roman"/>
          <w:color w:val="auto"/>
          <w:sz w:val="24"/>
          <w:highlight w:val="none"/>
        </w:rPr>
        <w:t>物的代谢产物及</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环境中富营养物质</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可作为</w:t>
      </w:r>
      <w:r>
        <w:rPr>
          <w:rFonts w:hint="default" w:ascii="Times New Roman" w:hAnsi="Times New Roman" w:cs="Times New Roman"/>
          <w:color w:val="auto"/>
          <w:sz w:val="24"/>
          <w:highlight w:val="none"/>
          <w:lang w:val="en-US" w:eastAsia="zh-CN"/>
        </w:rPr>
        <w:t>水生生</w:t>
      </w:r>
      <w:r>
        <w:rPr>
          <w:rFonts w:hint="default" w:ascii="Times New Roman" w:hAnsi="Times New Roman" w:cs="Times New Roman"/>
          <w:color w:val="auto"/>
          <w:sz w:val="24"/>
          <w:highlight w:val="none"/>
        </w:rPr>
        <w:t>物的优良饵料，对维持</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环境的</w:t>
      </w:r>
      <w:r>
        <w:rPr>
          <w:rFonts w:hint="default" w:ascii="Times New Roman" w:hAnsi="Times New Roman" w:cs="Times New Roman"/>
          <w:color w:val="auto"/>
          <w:sz w:val="24"/>
          <w:highlight w:val="none"/>
          <w:lang w:val="en-US" w:eastAsia="zh-CN"/>
        </w:rPr>
        <w:t>生</w:t>
      </w:r>
      <w:r>
        <w:rPr>
          <w:rFonts w:hint="default" w:ascii="Times New Roman" w:hAnsi="Times New Roman" w:cs="Times New Roman"/>
          <w:color w:val="auto"/>
          <w:sz w:val="24"/>
          <w:highlight w:val="none"/>
        </w:rPr>
        <w:t>态平衡起着举</w:t>
      </w:r>
      <w:r>
        <w:rPr>
          <w:rFonts w:hint="default" w:ascii="Times New Roman" w:hAnsi="Times New Roman" w:cs="Times New Roman"/>
          <w:color w:val="auto"/>
          <w:sz w:val="24"/>
          <w:highlight w:val="none"/>
          <w:lang w:val="en-US" w:eastAsia="zh-CN"/>
        </w:rPr>
        <w:t>足</w:t>
      </w:r>
      <w:r>
        <w:rPr>
          <w:rFonts w:hint="default" w:ascii="Times New Roman" w:hAnsi="Times New Roman" w:cs="Times New Roman"/>
          <w:color w:val="auto"/>
          <w:sz w:val="24"/>
          <w:highlight w:val="none"/>
        </w:rPr>
        <w:t>轻</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的作</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。浮游植物不仅是</w:t>
      </w:r>
      <w:r>
        <w:rPr>
          <w:rFonts w:hint="default" w:ascii="Times New Roman" w:hAnsi="Times New Roman" w:cs="Times New Roman"/>
          <w:color w:val="auto"/>
          <w:sz w:val="24"/>
          <w:highlight w:val="none"/>
          <w:lang w:val="en-US" w:eastAsia="zh-CN"/>
        </w:rPr>
        <w:t>鱼</w:t>
      </w:r>
      <w:r>
        <w:rPr>
          <w:rFonts w:hint="default" w:ascii="Times New Roman" w:hAnsi="Times New Roman" w:cs="Times New Roman"/>
          <w:color w:val="auto"/>
          <w:sz w:val="24"/>
          <w:highlight w:val="none"/>
        </w:rPr>
        <w:t>苗和部分成</w:t>
      </w:r>
      <w:r>
        <w:rPr>
          <w:rFonts w:hint="default" w:ascii="Times New Roman" w:hAnsi="Times New Roman" w:cs="Times New Roman"/>
          <w:color w:val="auto"/>
          <w:sz w:val="24"/>
          <w:highlight w:val="none"/>
          <w:lang w:val="en-US" w:eastAsia="zh-CN"/>
        </w:rPr>
        <w:t>鱼</w:t>
      </w:r>
      <w:r>
        <w:rPr>
          <w:rFonts w:hint="default" w:ascii="Times New Roman" w:hAnsi="Times New Roman" w:cs="Times New Roman"/>
          <w:color w:val="auto"/>
          <w:sz w:val="24"/>
          <w:highlight w:val="none"/>
        </w:rPr>
        <w:t>的天然饵料，也是</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体供饵能</w:t>
      </w:r>
      <w:r>
        <w:rPr>
          <w:rFonts w:hint="default" w:ascii="Times New Roman" w:hAnsi="Times New Roman" w:cs="Times New Roman"/>
          <w:color w:val="auto"/>
          <w:sz w:val="24"/>
          <w:highlight w:val="none"/>
          <w:lang w:val="en-US" w:eastAsia="zh-CN"/>
        </w:rPr>
        <w:t>力高</w:t>
      </w:r>
      <w:r>
        <w:rPr>
          <w:rFonts w:hint="default" w:ascii="Times New Roman" w:hAnsi="Times New Roman" w:cs="Times New Roman"/>
          <w:color w:val="auto"/>
          <w:sz w:val="24"/>
          <w:highlight w:val="none"/>
        </w:rPr>
        <w:t>低的标志</w:t>
      </w:r>
      <w:r>
        <w:rPr>
          <w:rFonts w:hint="eastAsia" w:cs="Times New Roman"/>
          <w:color w:val="auto"/>
          <w:sz w:val="24"/>
          <w:highlight w:val="none"/>
          <w:lang w:val="en-US" w:eastAsia="zh-CN"/>
        </w:rPr>
        <w:t>之一</w:t>
      </w:r>
      <w:r>
        <w:rPr>
          <w:rFonts w:hint="default" w:ascii="Times New Roman" w:hAnsi="Times New Roman" w:cs="Times New Roman"/>
          <w:color w:val="auto"/>
          <w:sz w:val="24"/>
          <w:highlight w:val="none"/>
        </w:rPr>
        <w:t>，其丰</w:t>
      </w:r>
      <w:r>
        <w:rPr>
          <w:rFonts w:hint="default" w:ascii="Times New Roman" w:hAnsi="Times New Roman" w:cs="Times New Roman"/>
          <w:color w:val="auto"/>
          <w:sz w:val="24"/>
          <w:highlight w:val="none"/>
          <w:lang w:val="en-US" w:eastAsia="zh-CN"/>
        </w:rPr>
        <w:t>欠</w:t>
      </w:r>
      <w:r>
        <w:rPr>
          <w:rFonts w:hint="default" w:ascii="Times New Roman" w:hAnsi="Times New Roman" w:cs="Times New Roman"/>
          <w:color w:val="auto"/>
          <w:sz w:val="24"/>
          <w:highlight w:val="none"/>
        </w:rPr>
        <w:t>程度决定着</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体</w:t>
      </w:r>
      <w:r>
        <w:rPr>
          <w:rFonts w:hint="default" w:ascii="Times New Roman" w:hAnsi="Times New Roman" w:cs="Times New Roman"/>
          <w:color w:val="auto"/>
          <w:sz w:val="24"/>
          <w:highlight w:val="none"/>
          <w:lang w:val="en-US" w:eastAsia="zh-CN"/>
        </w:rPr>
        <w:t>鱼</w:t>
      </w:r>
      <w:r>
        <w:rPr>
          <w:rFonts w:hint="default" w:ascii="Times New Roman" w:hAnsi="Times New Roman" w:cs="Times New Roman"/>
          <w:color w:val="auto"/>
          <w:sz w:val="24"/>
          <w:highlight w:val="none"/>
        </w:rPr>
        <w:t>类动物</w:t>
      </w:r>
      <w:r>
        <w:rPr>
          <w:rFonts w:hint="default" w:ascii="Times New Roman" w:hAnsi="Times New Roman" w:cs="Times New Roman"/>
          <w:color w:val="auto"/>
          <w:sz w:val="24"/>
          <w:highlight w:val="none"/>
          <w:lang w:val="en-US" w:eastAsia="zh-CN"/>
        </w:rPr>
        <w:t>生产力</w:t>
      </w:r>
      <w:r>
        <w:rPr>
          <w:rFonts w:hint="default" w:ascii="Times New Roman" w:hAnsi="Times New Roman" w:cs="Times New Roman"/>
          <w:color w:val="auto"/>
          <w:sz w:val="24"/>
          <w:highlight w:val="none"/>
        </w:rPr>
        <w:t>的</w:t>
      </w:r>
      <w:r>
        <w:rPr>
          <w:rFonts w:hint="default" w:ascii="Times New Roman" w:hAnsi="Times New Roman" w:cs="Times New Roman"/>
          <w:color w:val="auto"/>
          <w:sz w:val="24"/>
          <w:highlight w:val="none"/>
          <w:lang w:val="en-US" w:eastAsia="zh-CN"/>
        </w:rPr>
        <w:t>大小</w:t>
      </w:r>
      <w:r>
        <w:rPr>
          <w:rFonts w:hint="default" w:ascii="Times New Roman" w:hAnsi="Times New Roman" w:cs="Times New Roman"/>
          <w:color w:val="auto"/>
          <w:sz w:val="24"/>
          <w:highlight w:val="none"/>
        </w:rPr>
        <w:t>，有些种类还可以作为</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质的指示植物。在进</w:t>
      </w:r>
      <w:r>
        <w:rPr>
          <w:rFonts w:hint="default" w:ascii="Times New Roman" w:hAnsi="Times New Roman" w:cs="Times New Roman"/>
          <w:color w:val="auto"/>
          <w:sz w:val="24"/>
          <w:highlight w:val="none"/>
          <w:lang w:val="en-US" w:eastAsia="zh-CN"/>
        </w:rPr>
        <w:t>行</w:t>
      </w:r>
      <w:r>
        <w:rPr>
          <w:rFonts w:hint="default" w:ascii="Times New Roman" w:hAnsi="Times New Roman" w:cs="Times New Roman"/>
          <w:color w:val="auto"/>
          <w:sz w:val="24"/>
          <w:highlight w:val="none"/>
        </w:rPr>
        <w:t>渔业资源调查时，浮游植物定性（种类鉴定）和定</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（丰盛度）测定是</w:t>
      </w:r>
      <w:r>
        <w:rPr>
          <w:rFonts w:hint="default" w:ascii="Times New Roman" w:hAnsi="Times New Roman" w:cs="Times New Roman"/>
          <w:color w:val="auto"/>
          <w:sz w:val="24"/>
          <w:highlight w:val="none"/>
          <w:lang w:val="en-US" w:eastAsia="zh-CN"/>
        </w:rPr>
        <w:t>十</w:t>
      </w:r>
      <w:r>
        <w:rPr>
          <w:rFonts w:hint="default" w:ascii="Times New Roman" w:hAnsi="Times New Roman" w:cs="Times New Roman"/>
          <w:color w:val="auto"/>
          <w:sz w:val="24"/>
          <w:highlight w:val="none"/>
        </w:rPr>
        <w:t>分</w:t>
      </w:r>
      <w:r>
        <w:rPr>
          <w:rFonts w:hint="default" w:ascii="Times New Roman" w:hAnsi="Times New Roman" w:cs="Times New Roman"/>
          <w:color w:val="auto"/>
          <w:sz w:val="24"/>
          <w:highlight w:val="none"/>
          <w:lang w:val="en-US" w:eastAsia="zh-CN"/>
        </w:rPr>
        <w:t>重</w:t>
      </w:r>
      <w:r>
        <w:rPr>
          <w:rFonts w:hint="default" w:ascii="Times New Roman" w:hAnsi="Times New Roman" w:cs="Times New Roman"/>
          <w:color w:val="auto"/>
          <w:sz w:val="24"/>
          <w:highlight w:val="none"/>
        </w:rPr>
        <w:t>要的。</w:t>
      </w:r>
    </w:p>
    <w:p w14:paraId="1B2874D2">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1）定性样品的采集</w:t>
      </w:r>
    </w:p>
    <w:p w14:paraId="4ED320D8">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用25号浮游生物网（网目为0.064mm），在水面和0.1m深水层之间以每秒20~30cm的速度作“∞”字形循回缓慢拖动（网内不得有气泡）5min左右（视浮游生物多寡而定）采样。将收集的水样装⼊编号塑料瓶内，加⼊少量鲁哥氏液（⼀般为胶头吸管5滴）固定保存。</w:t>
      </w:r>
    </w:p>
    <w:p w14:paraId="093BA2C1">
      <w:pPr>
        <w:numPr>
          <w:ilvl w:val="0"/>
          <w:numId w:val="28"/>
        </w:num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定量样品采集</w:t>
      </w:r>
    </w:p>
    <w:p w14:paraId="32F8FAF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用1L有机玻璃采水桶在距水面0.1m和0.5m的水层中采水10L，</w:t>
      </w:r>
      <w:r>
        <w:rPr>
          <w:rFonts w:hint="eastAsia" w:cs="Times New Roman"/>
          <w:highlight w:val="none"/>
          <w:lang w:val="en-US" w:eastAsia="zh-CN"/>
        </w:rPr>
        <w:t>用</w:t>
      </w:r>
      <w:r>
        <w:rPr>
          <w:rFonts w:hint="default" w:ascii="Times New Roman" w:hAnsi="Times New Roman" w:cs="Times New Roman"/>
          <w:highlight w:val="none"/>
          <w:lang w:val="en-US" w:eastAsia="zh-CN"/>
        </w:rPr>
        <w:t>25号浮游生物网过滤后，收集水样装⼊编号塑料瓶内，加⼊少量鲁哥氏液（⼀般为胶头吸管5滴）固定保存。</w:t>
      </w:r>
    </w:p>
    <w:p w14:paraId="43E4F5E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3）浮游藻类物种鉴定</w:t>
      </w:r>
    </w:p>
    <w:p w14:paraId="57057CA9">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在显微镜下采用16×10倍或16×40倍进行观察，对所采到的浮游藻类植物进行物种鉴定，一般可鉴定到种，少数特点显著的藻类可以鉴定到变种，也有极少数标本因植体不完善或无繁殖器官，只能鉴定到属。</w:t>
      </w:r>
    </w:p>
    <w:p w14:paraId="4809F51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4）浮游藻类定量分析</w:t>
      </w:r>
    </w:p>
    <w:p w14:paraId="06E17C2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用显微镜计数法可排除杂质，鉴别物种，计算出单位水体中浮游藻类植物的个体数量，较准确地换算出单位体积中的生物量，能有效地评价水质和了解水体中浮游藻类植物的物种和更新数量变动。</w:t>
      </w:r>
    </w:p>
    <w:p w14:paraId="4CFD795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定量分析前，先将样品静置48h以上，用虹吸原理仔细吸出上部不含藻类的上清液，将样品浓缩到20mL，然后将样品摇匀，迅速准确吸出0.1mL水样，注⼊0.1mL玻璃计数框内（</w:t>
      </w:r>
      <w:r>
        <w:rPr>
          <w:rFonts w:hint="eastAsia" w:cs="Times New Roman"/>
          <w:highlight w:val="none"/>
          <w:lang w:val="en-US" w:eastAsia="zh-CN"/>
        </w:rPr>
        <w:t>面</w:t>
      </w:r>
      <w:r>
        <w:rPr>
          <w:rFonts w:hint="default" w:ascii="Times New Roman" w:hAnsi="Times New Roman" w:cs="Times New Roman"/>
          <w:highlight w:val="none"/>
          <w:lang w:val="en-US" w:eastAsia="zh-CN"/>
        </w:rPr>
        <w:t>积20×20mm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盖上盖玻片，在10×40倍显微镜下观察100个视野并计数。每瓶标本计数两片取其平均值，并换算成每升水体的藻类数量，即种群密度。同一样的两片标本主计数结果与其平均数之差，如不大于10%则为有效计数，否则须测第三片，直至符合要求。</w:t>
      </w:r>
    </w:p>
    <w:p w14:paraId="2C29A5A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每升水中浮游植物的数量计算公式为：</w:t>
      </w:r>
    </w:p>
    <w:p w14:paraId="6067B628">
      <w:pPr>
        <w:bidi w:val="0"/>
        <w:rPr>
          <w:rFonts w:hint="default" w:ascii="Times New Roman" w:hAnsi="Times New Roman" w:cs="Times New Roman"/>
          <w:i w:val="0"/>
          <w:kern w:val="2"/>
          <w:sz w:val="24"/>
          <w:szCs w:val="24"/>
          <w:highlight w:val="none"/>
          <w:lang w:val="en-US" w:eastAsia="zh-CN" w:bidi="ar-SA"/>
        </w:rPr>
      </w:pPr>
      <m:oMathPara>
        <m:oMath>
          <m:r>
            <m:rPr>
              <m:sty m:val="p"/>
            </m:rPr>
            <w:rPr>
              <w:rFonts w:hint="default" w:ascii="Cambria Math" w:hAnsi="Cambria Math" w:cs="Times New Roman"/>
              <w:kern w:val="2"/>
              <w:sz w:val="24"/>
              <w:szCs w:val="24"/>
              <w:highlight w:val="none"/>
              <w:lang w:val="en-US" w:eastAsia="zh-CN" w:bidi="ar-SA"/>
            </w:rPr>
            <m:t>N=</m:t>
          </m:r>
          <m:f>
            <m:fPr>
              <m:ctrlPr>
                <w:rPr>
                  <w:rFonts w:hint="default" w:ascii="Cambria Math" w:hAnsi="Cambria Math" w:cs="Times New Roman"/>
                  <w:kern w:val="2"/>
                  <w:sz w:val="24"/>
                  <w:szCs w:val="24"/>
                  <w:highlight w:val="none"/>
                  <w:lang w:val="en-US" w:eastAsia="zh-CN" w:bidi="ar-SA"/>
                </w:rPr>
              </m:ctrlPr>
            </m:fPr>
            <m:num>
              <m:r>
                <m:rPr>
                  <m:sty m:val="p"/>
                </m:rPr>
                <w:rPr>
                  <w:rFonts w:hint="default" w:ascii="Cambria Math" w:hAnsi="Cambria Math" w:cs="Times New Roman"/>
                  <w:kern w:val="2"/>
                  <w:sz w:val="24"/>
                  <w:szCs w:val="24"/>
                  <w:highlight w:val="none"/>
                  <w:lang w:val="en-US" w:eastAsia="zh-CN" w:bidi="ar-SA"/>
                </w:rPr>
                <m:t>Cs</m:t>
              </m:r>
              <m:ctrlPr>
                <w:rPr>
                  <w:rFonts w:hint="default" w:ascii="Cambria Math" w:hAnsi="Cambria Math" w:cs="Times New Roman"/>
                  <w:kern w:val="2"/>
                  <w:sz w:val="24"/>
                  <w:szCs w:val="24"/>
                  <w:highlight w:val="none"/>
                  <w:lang w:val="en-US" w:eastAsia="zh-CN" w:bidi="ar-SA"/>
                </w:rPr>
              </m:ctrlPr>
            </m:num>
            <m:den>
              <m:r>
                <m:rPr>
                  <m:sty m:val="p"/>
                </m:rPr>
                <w:rPr>
                  <w:rFonts w:hint="default" w:ascii="Cambria Math" w:hAnsi="Cambria Math" w:cs="Times New Roman"/>
                  <w:kern w:val="2"/>
                  <w:sz w:val="24"/>
                  <w:szCs w:val="24"/>
                  <w:highlight w:val="none"/>
                  <w:lang w:val="en-US" w:eastAsia="zh-CN" w:bidi="ar-SA"/>
                </w:rPr>
                <m:t>Fs</m:t>
              </m:r>
              <m:r>
                <m:rPr>
                  <m:sty m:val="p"/>
                </m:rPr>
                <w:rPr>
                  <w:rFonts w:hint="default" w:ascii="Cambria Math" w:hAnsi="Cambria Math" w:cs="Times New Roman"/>
                  <w:kern w:val="2"/>
                  <w:sz w:val="24"/>
                  <w:szCs w:val="24"/>
                  <w:highlight w:val="none"/>
                  <w:lang w:val="en-US" w:bidi="ar-SA"/>
                </w:rPr>
                <m:t>∙</m:t>
              </m:r>
              <m:r>
                <m:rPr>
                  <m:sty m:val="p"/>
                </m:rPr>
                <w:rPr>
                  <w:rFonts w:hint="default" w:ascii="Cambria Math" w:hAnsi="Cambria Math" w:cs="Times New Roman"/>
                  <w:kern w:val="2"/>
                  <w:sz w:val="24"/>
                  <w:szCs w:val="24"/>
                  <w:highlight w:val="none"/>
                  <w:lang w:val="en-US" w:eastAsia="zh-CN" w:bidi="ar-SA"/>
                </w:rPr>
                <m:t>Fn</m:t>
              </m:r>
              <m:ctrlPr>
                <w:rPr>
                  <w:rFonts w:hint="default" w:ascii="Cambria Math" w:hAnsi="Cambria Math" w:cs="Times New Roman"/>
                  <w:kern w:val="2"/>
                  <w:sz w:val="24"/>
                  <w:szCs w:val="24"/>
                  <w:highlight w:val="none"/>
                  <w:lang w:val="en-US" w:eastAsia="zh-CN" w:bidi="ar-SA"/>
                </w:rPr>
              </m:ctrlPr>
            </m:den>
          </m:f>
          <m:r>
            <m:rPr>
              <m:sty m:val="p"/>
            </m:rPr>
            <w:rPr>
              <w:rFonts w:hint="default" w:ascii="Cambria Math" w:hAnsi="Cambria Math" w:cs="Times New Roman"/>
              <w:kern w:val="2"/>
              <w:sz w:val="24"/>
              <w:szCs w:val="24"/>
              <w:highlight w:val="none"/>
              <w:lang w:val="en-US" w:bidi="ar-SA"/>
            </w:rPr>
            <m:t>×</m:t>
          </m:r>
          <m:f>
            <m:fPr>
              <m:ctrlPr>
                <w:rPr>
                  <w:rFonts w:hint="default" w:ascii="Cambria Math" w:hAnsi="Cambria Math" w:cs="Times New Roman"/>
                  <w:i w:val="0"/>
                  <w:kern w:val="2"/>
                  <w:sz w:val="24"/>
                  <w:szCs w:val="24"/>
                  <w:highlight w:val="none"/>
                  <w:lang w:val="en-US" w:eastAsia="zh-CN" w:bidi="ar-SA"/>
                </w:rPr>
              </m:ctrlPr>
            </m:fPr>
            <m:num>
              <m:r>
                <m:rPr>
                  <m:sty m:val="p"/>
                </m:rPr>
                <w:rPr>
                  <w:rFonts w:hint="default" w:ascii="Cambria Math" w:hAnsi="Cambria Math" w:cs="Times New Roman"/>
                  <w:kern w:val="2"/>
                  <w:sz w:val="24"/>
                  <w:szCs w:val="24"/>
                  <w:highlight w:val="none"/>
                  <w:lang w:val="en-US" w:eastAsia="zh-CN" w:bidi="ar-SA"/>
                </w:rPr>
                <m:t>V</m:t>
              </m:r>
              <m:ctrlPr>
                <w:rPr>
                  <w:rFonts w:hint="default" w:ascii="Cambria Math" w:hAnsi="Cambria Math" w:cs="Times New Roman"/>
                  <w:i w:val="0"/>
                  <w:kern w:val="2"/>
                  <w:sz w:val="24"/>
                  <w:szCs w:val="24"/>
                  <w:highlight w:val="none"/>
                  <w:lang w:val="en-US" w:eastAsia="zh-CN" w:bidi="ar-SA"/>
                </w:rPr>
              </m:ctrlPr>
            </m:num>
            <m:den>
              <m:r>
                <m:rPr>
                  <m:sty m:val="p"/>
                </m:rPr>
                <w:rPr>
                  <w:rFonts w:hint="default" w:ascii="Cambria Math" w:hAnsi="Cambria Math" w:cs="Times New Roman"/>
                  <w:kern w:val="2"/>
                  <w:sz w:val="24"/>
                  <w:szCs w:val="24"/>
                  <w:highlight w:val="none"/>
                  <w:lang w:val="en-US" w:eastAsia="zh-CN" w:bidi="ar-SA"/>
                </w:rPr>
                <m:t>U</m:t>
              </m:r>
              <m:ctrlPr>
                <w:rPr>
                  <w:rFonts w:hint="default" w:ascii="Cambria Math" w:hAnsi="Cambria Math" w:cs="Times New Roman"/>
                  <w:kern w:val="2"/>
                  <w:sz w:val="24"/>
                  <w:szCs w:val="24"/>
                  <w:highlight w:val="none"/>
                  <w:lang w:val="en-US" w:eastAsia="zh-CN" w:bidi="ar-SA"/>
                </w:rPr>
              </m:ctrlPr>
            </m:den>
          </m:f>
          <m:r>
            <m:rPr>
              <m:sty m:val="p"/>
            </m:rPr>
            <w:rPr>
              <w:rFonts w:hint="default" w:ascii="Cambria Math" w:hAnsi="Cambria Math" w:cs="Times New Roman"/>
              <w:kern w:val="2"/>
              <w:sz w:val="24"/>
              <w:szCs w:val="24"/>
              <w:highlight w:val="none"/>
              <w:lang w:val="en-US" w:bidi="ar-SA"/>
            </w:rPr>
            <m:t>×</m:t>
          </m:r>
          <m:r>
            <m:rPr>
              <m:sty m:val="p"/>
            </m:rPr>
            <w:rPr>
              <w:rFonts w:hint="default" w:ascii="Cambria Math" w:hAnsi="Cambria Math" w:cs="Times New Roman"/>
              <w:kern w:val="2"/>
              <w:sz w:val="24"/>
              <w:szCs w:val="24"/>
              <w:highlight w:val="none"/>
              <w:lang w:val="en-US" w:eastAsia="zh-CN" w:bidi="ar-SA"/>
            </w:rPr>
            <m:t>Pn</m:t>
          </m:r>
        </m:oMath>
      </m:oMathPara>
    </w:p>
    <w:p w14:paraId="014A2D36">
      <w:pPr>
        <w:bidi w:val="0"/>
        <w:rPr>
          <w:rFonts w:hint="default" w:ascii="Times New Roman" w:hAnsi="Times New Roman" w:cs="Times New Roman"/>
          <w:i w:val="0"/>
          <w:kern w:val="2"/>
          <w:sz w:val="24"/>
          <w:szCs w:val="24"/>
          <w:highlight w:val="none"/>
          <w:lang w:val="en-US" w:eastAsia="zh-CN" w:bidi="ar-SA"/>
        </w:rPr>
      </w:pPr>
      <w:r>
        <w:rPr>
          <w:rFonts w:hint="default" w:ascii="Times New Roman" w:hAnsi="Times New Roman" w:cs="Times New Roman"/>
          <w:i w:val="0"/>
          <w:kern w:val="2"/>
          <w:sz w:val="24"/>
          <w:szCs w:val="24"/>
          <w:highlight w:val="none"/>
          <w:lang w:val="en-US" w:eastAsia="zh-CN" w:bidi="ar-SA"/>
        </w:rPr>
        <w:t>式中：Cs</w:t>
      </w:r>
      <w:r>
        <w:rPr>
          <w:rFonts w:hint="eastAsia" w:cs="Times New Roman"/>
          <w:i w:val="0"/>
          <w:kern w:val="2"/>
          <w:sz w:val="24"/>
          <w:szCs w:val="24"/>
          <w:highlight w:val="none"/>
          <w:lang w:val="en-US" w:eastAsia="zh-CN" w:bidi="ar-SA"/>
        </w:rPr>
        <w:t>--</w:t>
      </w:r>
      <w:r>
        <w:rPr>
          <w:rFonts w:hint="default" w:ascii="Times New Roman" w:hAnsi="Times New Roman" w:cs="Times New Roman"/>
          <w:i w:val="0"/>
          <w:kern w:val="2"/>
          <w:sz w:val="24"/>
          <w:szCs w:val="24"/>
          <w:highlight w:val="none"/>
          <w:lang w:val="en-US" w:eastAsia="zh-CN" w:bidi="ar-SA"/>
        </w:rPr>
        <w:t>计数框面积（mm</w:t>
      </w:r>
      <w:r>
        <w:rPr>
          <w:rFonts w:hint="default" w:ascii="Times New Roman" w:hAnsi="Times New Roman" w:cs="Times New Roman"/>
          <w:i w:val="0"/>
          <w:kern w:val="2"/>
          <w:sz w:val="24"/>
          <w:szCs w:val="24"/>
          <w:highlight w:val="none"/>
          <w:vertAlign w:val="superscript"/>
          <w:lang w:val="en-US" w:eastAsia="zh-CN" w:bidi="ar-SA"/>
        </w:rPr>
        <w:t>2</w:t>
      </w:r>
      <w:r>
        <w:rPr>
          <w:rFonts w:hint="default" w:ascii="Times New Roman" w:hAnsi="Times New Roman" w:cs="Times New Roman"/>
          <w:i w:val="0"/>
          <w:kern w:val="2"/>
          <w:sz w:val="24"/>
          <w:szCs w:val="24"/>
          <w:highlight w:val="none"/>
          <w:lang w:val="en-US" w:eastAsia="zh-CN" w:bidi="ar-SA"/>
        </w:rPr>
        <w:t>）</w:t>
      </w:r>
    </w:p>
    <w:p w14:paraId="556CD836">
      <w:pPr>
        <w:bidi w:val="0"/>
        <w:rPr>
          <w:rFonts w:hint="default" w:ascii="Times New Roman" w:hAnsi="Times New Roman" w:cs="Times New Roman"/>
          <w:i w:val="0"/>
          <w:kern w:val="2"/>
          <w:sz w:val="24"/>
          <w:szCs w:val="24"/>
          <w:highlight w:val="none"/>
          <w:lang w:val="en-US" w:eastAsia="zh-CN" w:bidi="ar-SA"/>
        </w:rPr>
      </w:pPr>
      <w:r>
        <w:rPr>
          <w:rFonts w:hint="default" w:ascii="Times New Roman" w:hAnsi="Times New Roman" w:cs="Times New Roman"/>
          <w:i w:val="0"/>
          <w:kern w:val="2"/>
          <w:sz w:val="24"/>
          <w:szCs w:val="24"/>
          <w:highlight w:val="none"/>
          <w:lang w:val="en-US" w:eastAsia="zh-CN" w:bidi="ar-SA"/>
        </w:rPr>
        <w:t>Fs</w:t>
      </w:r>
      <w:r>
        <w:rPr>
          <w:rFonts w:hint="eastAsia" w:cs="Times New Roman"/>
          <w:i w:val="0"/>
          <w:kern w:val="2"/>
          <w:sz w:val="24"/>
          <w:szCs w:val="24"/>
          <w:highlight w:val="none"/>
          <w:lang w:val="en-US" w:eastAsia="zh-CN" w:bidi="ar-SA"/>
        </w:rPr>
        <w:t>--</w:t>
      </w:r>
      <w:r>
        <w:rPr>
          <w:rFonts w:hint="default" w:ascii="Times New Roman" w:hAnsi="Times New Roman" w:cs="Times New Roman"/>
          <w:i w:val="0"/>
          <w:kern w:val="2"/>
          <w:sz w:val="24"/>
          <w:szCs w:val="24"/>
          <w:highlight w:val="none"/>
          <w:lang w:val="en-US" w:eastAsia="zh-CN" w:bidi="ar-SA"/>
        </w:rPr>
        <w:t>每个视野的面积（mm</w:t>
      </w:r>
      <w:r>
        <w:rPr>
          <w:rFonts w:hint="default" w:ascii="Times New Roman" w:hAnsi="Times New Roman" w:cs="Times New Roman"/>
          <w:i w:val="0"/>
          <w:kern w:val="2"/>
          <w:sz w:val="24"/>
          <w:szCs w:val="24"/>
          <w:highlight w:val="none"/>
          <w:vertAlign w:val="superscript"/>
          <w:lang w:val="en-US" w:eastAsia="zh-CN" w:bidi="ar-SA"/>
        </w:rPr>
        <w:t>2</w:t>
      </w:r>
      <w:r>
        <w:rPr>
          <w:rFonts w:hint="default" w:ascii="Times New Roman" w:hAnsi="Times New Roman" w:cs="Times New Roman"/>
          <w:i w:val="0"/>
          <w:kern w:val="2"/>
          <w:sz w:val="24"/>
          <w:szCs w:val="24"/>
          <w:highlight w:val="none"/>
          <w:lang w:val="en-US" w:eastAsia="zh-CN" w:bidi="ar-SA"/>
        </w:rPr>
        <w:t>）</w:t>
      </w:r>
    </w:p>
    <w:p w14:paraId="5A48B04A">
      <w:pPr>
        <w:bidi w:val="0"/>
        <w:rPr>
          <w:rFonts w:hint="default" w:ascii="Times New Roman" w:hAnsi="Times New Roman" w:cs="Times New Roman"/>
          <w:i w:val="0"/>
          <w:kern w:val="2"/>
          <w:sz w:val="24"/>
          <w:szCs w:val="24"/>
          <w:highlight w:val="none"/>
          <w:lang w:val="en-US" w:eastAsia="zh-CN" w:bidi="ar-SA"/>
        </w:rPr>
      </w:pPr>
      <w:r>
        <w:rPr>
          <w:rFonts w:hint="default" w:ascii="Times New Roman" w:hAnsi="Times New Roman" w:cs="Times New Roman"/>
          <w:i w:val="0"/>
          <w:kern w:val="2"/>
          <w:sz w:val="24"/>
          <w:szCs w:val="24"/>
          <w:highlight w:val="none"/>
          <w:lang w:val="en-US" w:eastAsia="zh-CN" w:bidi="ar-SA"/>
        </w:rPr>
        <w:t>Fn</w:t>
      </w:r>
      <w:r>
        <w:rPr>
          <w:rFonts w:hint="eastAsia" w:cs="Times New Roman"/>
          <w:i w:val="0"/>
          <w:kern w:val="2"/>
          <w:sz w:val="24"/>
          <w:szCs w:val="24"/>
          <w:highlight w:val="none"/>
          <w:lang w:val="en-US" w:eastAsia="zh-CN" w:bidi="ar-SA"/>
        </w:rPr>
        <w:t>--</w:t>
      </w:r>
      <w:r>
        <w:rPr>
          <w:rFonts w:hint="default" w:ascii="Times New Roman" w:hAnsi="Times New Roman" w:cs="Times New Roman"/>
          <w:i w:val="0"/>
          <w:kern w:val="2"/>
          <w:sz w:val="24"/>
          <w:szCs w:val="24"/>
          <w:highlight w:val="none"/>
          <w:lang w:val="en-US" w:eastAsia="zh-CN" w:bidi="ar-SA"/>
        </w:rPr>
        <w:t>计数过的视野数</w:t>
      </w:r>
    </w:p>
    <w:p w14:paraId="42D8B83B">
      <w:pPr>
        <w:bidi w:val="0"/>
        <w:rPr>
          <w:rFonts w:hint="default" w:ascii="Times New Roman" w:hAnsi="Times New Roman" w:cs="Times New Roman"/>
          <w:i w:val="0"/>
          <w:kern w:val="2"/>
          <w:sz w:val="24"/>
          <w:szCs w:val="24"/>
          <w:highlight w:val="none"/>
          <w:lang w:val="en-US" w:eastAsia="zh-CN" w:bidi="ar-SA"/>
        </w:rPr>
      </w:pPr>
      <w:r>
        <w:rPr>
          <w:rFonts w:hint="default" w:ascii="Times New Roman" w:hAnsi="Times New Roman" w:cs="Times New Roman"/>
          <w:i w:val="0"/>
          <w:kern w:val="2"/>
          <w:sz w:val="24"/>
          <w:szCs w:val="24"/>
          <w:highlight w:val="none"/>
          <w:lang w:val="en-US" w:eastAsia="zh-CN" w:bidi="ar-SA"/>
        </w:rPr>
        <w:t>V</w:t>
      </w:r>
      <w:r>
        <w:rPr>
          <w:rFonts w:hint="eastAsia" w:cs="Times New Roman"/>
          <w:i w:val="0"/>
          <w:kern w:val="2"/>
          <w:sz w:val="24"/>
          <w:szCs w:val="24"/>
          <w:highlight w:val="none"/>
          <w:lang w:val="en-US" w:eastAsia="zh-CN" w:bidi="ar-SA"/>
        </w:rPr>
        <w:t>--</w:t>
      </w:r>
      <w:r>
        <w:rPr>
          <w:rFonts w:hint="default" w:ascii="Times New Roman" w:hAnsi="Times New Roman" w:cs="Times New Roman"/>
          <w:i w:val="0"/>
          <w:kern w:val="2"/>
          <w:sz w:val="24"/>
          <w:szCs w:val="24"/>
          <w:highlight w:val="none"/>
          <w:lang w:val="en-US" w:eastAsia="zh-CN" w:bidi="ar-SA"/>
        </w:rPr>
        <w:t>1L水样经沉淀浓缩后的体积（mL）</w:t>
      </w:r>
    </w:p>
    <w:p w14:paraId="5C42A814">
      <w:pPr>
        <w:bidi w:val="0"/>
        <w:rPr>
          <w:rFonts w:hint="default" w:ascii="Times New Roman" w:hAnsi="Times New Roman" w:cs="Times New Roman"/>
          <w:i w:val="0"/>
          <w:kern w:val="2"/>
          <w:sz w:val="24"/>
          <w:szCs w:val="24"/>
          <w:highlight w:val="none"/>
          <w:lang w:val="en-US" w:eastAsia="zh-CN" w:bidi="ar-SA"/>
        </w:rPr>
      </w:pPr>
      <w:r>
        <w:rPr>
          <w:rFonts w:hint="default" w:ascii="Times New Roman" w:hAnsi="Times New Roman" w:cs="Times New Roman"/>
          <w:i w:val="0"/>
          <w:kern w:val="2"/>
          <w:sz w:val="24"/>
          <w:szCs w:val="24"/>
          <w:highlight w:val="none"/>
          <w:lang w:val="en-US" w:eastAsia="zh-CN" w:bidi="ar-SA"/>
        </w:rPr>
        <w:t>U</w:t>
      </w:r>
      <w:r>
        <w:rPr>
          <w:rFonts w:hint="eastAsia" w:cs="Times New Roman"/>
          <w:i w:val="0"/>
          <w:kern w:val="2"/>
          <w:sz w:val="24"/>
          <w:szCs w:val="24"/>
          <w:highlight w:val="none"/>
          <w:lang w:val="en-US" w:eastAsia="zh-CN" w:bidi="ar-SA"/>
        </w:rPr>
        <w:t>--</w:t>
      </w:r>
      <w:r>
        <w:rPr>
          <w:rFonts w:hint="default" w:ascii="Times New Roman" w:hAnsi="Times New Roman" w:cs="Times New Roman"/>
          <w:i w:val="0"/>
          <w:kern w:val="2"/>
          <w:sz w:val="24"/>
          <w:szCs w:val="24"/>
          <w:highlight w:val="none"/>
          <w:lang w:val="en-US" w:eastAsia="zh-CN" w:bidi="ar-SA"/>
        </w:rPr>
        <w:t>计数框的体积（mL）</w:t>
      </w:r>
    </w:p>
    <w:p w14:paraId="7ED62D7C">
      <w:pPr>
        <w:bidi w:val="0"/>
        <w:rPr>
          <w:rFonts w:hint="default" w:ascii="Times New Roman" w:hAnsi="Times New Roman" w:cs="Times New Roman"/>
          <w:i w:val="0"/>
          <w:kern w:val="2"/>
          <w:sz w:val="24"/>
          <w:szCs w:val="24"/>
          <w:highlight w:val="none"/>
          <w:lang w:val="en-US" w:eastAsia="zh-CN" w:bidi="ar-SA"/>
        </w:rPr>
      </w:pPr>
      <w:r>
        <w:rPr>
          <w:rFonts w:hint="default" w:ascii="Times New Roman" w:hAnsi="Times New Roman" w:cs="Times New Roman"/>
          <w:i w:val="0"/>
          <w:kern w:val="2"/>
          <w:sz w:val="24"/>
          <w:szCs w:val="24"/>
          <w:highlight w:val="none"/>
          <w:lang w:val="en-US" w:eastAsia="zh-CN" w:bidi="ar-SA"/>
        </w:rPr>
        <w:t>Pn</w:t>
      </w:r>
      <w:r>
        <w:rPr>
          <w:rFonts w:hint="eastAsia" w:cs="Times New Roman"/>
          <w:i w:val="0"/>
          <w:kern w:val="2"/>
          <w:sz w:val="24"/>
          <w:szCs w:val="24"/>
          <w:highlight w:val="none"/>
          <w:lang w:val="en-US" w:eastAsia="zh-CN" w:bidi="ar-SA"/>
        </w:rPr>
        <w:t>--</w:t>
      </w:r>
      <w:r>
        <w:rPr>
          <w:rFonts w:hint="default" w:ascii="Times New Roman" w:hAnsi="Times New Roman" w:cs="Times New Roman"/>
          <w:i w:val="0"/>
          <w:kern w:val="2"/>
          <w:sz w:val="24"/>
          <w:szCs w:val="24"/>
          <w:highlight w:val="none"/>
          <w:lang w:val="en-US" w:eastAsia="zh-CN" w:bidi="ar-SA"/>
        </w:rPr>
        <w:t>每片计算出的浮游植物个数</w:t>
      </w:r>
    </w:p>
    <w:p w14:paraId="3ED26E8E">
      <w:pPr>
        <w:bidi w:val="0"/>
        <w:rPr>
          <w:rFonts w:hint="default" w:ascii="Times New Roman" w:hAnsi="Times New Roman" w:cs="Times New Roman"/>
          <w:i w:val="0"/>
          <w:kern w:val="2"/>
          <w:sz w:val="24"/>
          <w:szCs w:val="24"/>
          <w:highlight w:val="none"/>
          <w:lang w:val="en-US" w:eastAsia="zh-CN" w:bidi="ar-SA"/>
        </w:rPr>
      </w:pPr>
      <w:r>
        <w:rPr>
          <w:rFonts w:hint="default" w:ascii="Times New Roman" w:hAnsi="Times New Roman" w:cs="Times New Roman"/>
          <w:i w:val="0"/>
          <w:kern w:val="2"/>
          <w:sz w:val="24"/>
          <w:szCs w:val="24"/>
          <w:highlight w:val="none"/>
          <w:lang w:val="en-US" w:eastAsia="zh-CN" w:bidi="ar-SA"/>
        </w:rPr>
        <w:t>浮游藻类植物个体</w:t>
      </w:r>
      <w:r>
        <w:rPr>
          <w:rFonts w:hint="eastAsia" w:cs="Times New Roman"/>
          <w:i w:val="0"/>
          <w:kern w:val="2"/>
          <w:sz w:val="24"/>
          <w:szCs w:val="24"/>
          <w:highlight w:val="none"/>
          <w:lang w:val="en-US" w:eastAsia="zh-CN" w:bidi="ar-SA"/>
        </w:rPr>
        <w:t>微小</w:t>
      </w:r>
      <w:r>
        <w:rPr>
          <w:rFonts w:hint="default" w:ascii="Times New Roman" w:hAnsi="Times New Roman" w:cs="Times New Roman"/>
          <w:i w:val="0"/>
          <w:kern w:val="2"/>
          <w:sz w:val="24"/>
          <w:szCs w:val="24"/>
          <w:highlight w:val="none"/>
          <w:lang w:val="en-US" w:eastAsia="zh-CN" w:bidi="ar-SA"/>
        </w:rPr>
        <w:t>，不可能直接称重量，一般按体积来换算重量。大多数藻类的细胞形状比较规则，可用形状相似的几何体积公式来计算其体积。浮游植物悬浮在水中生活，其比重应近于其生活水体中水的比重，即近于1。因此体积值（µm</w:t>
      </w:r>
      <w:r>
        <w:rPr>
          <w:rFonts w:hint="default" w:ascii="Times New Roman" w:hAnsi="Times New Roman" w:cs="Times New Roman"/>
          <w:i w:val="0"/>
          <w:kern w:val="2"/>
          <w:sz w:val="24"/>
          <w:szCs w:val="24"/>
          <w:highlight w:val="none"/>
          <w:vertAlign w:val="superscript"/>
          <w:lang w:val="en-US" w:eastAsia="zh-CN" w:bidi="ar-SA"/>
        </w:rPr>
        <w:t>3</w:t>
      </w:r>
      <w:r>
        <w:rPr>
          <w:rFonts w:hint="default" w:ascii="Times New Roman" w:hAnsi="Times New Roman" w:cs="Times New Roman"/>
          <w:i w:val="0"/>
          <w:kern w:val="2"/>
          <w:sz w:val="24"/>
          <w:szCs w:val="24"/>
          <w:highlight w:val="none"/>
          <w:lang w:val="en-US" w:eastAsia="zh-CN" w:bidi="ar-SA"/>
        </w:rPr>
        <w:t>）可换算为重量值（109µm</w:t>
      </w:r>
      <w:r>
        <w:rPr>
          <w:rFonts w:hint="default" w:ascii="Times New Roman" w:hAnsi="Times New Roman" w:cs="Times New Roman"/>
          <w:i w:val="0"/>
          <w:kern w:val="2"/>
          <w:sz w:val="24"/>
          <w:szCs w:val="24"/>
          <w:highlight w:val="none"/>
          <w:vertAlign w:val="superscript"/>
          <w:lang w:val="en-US" w:eastAsia="zh-CN" w:bidi="ar-SA"/>
        </w:rPr>
        <w:t>3</w:t>
      </w:r>
      <w:r>
        <w:rPr>
          <w:rFonts w:hint="default" w:ascii="Times New Roman" w:hAnsi="Times New Roman" w:cs="Times New Roman"/>
          <w:i w:val="0"/>
          <w:kern w:val="2"/>
          <w:sz w:val="24"/>
          <w:szCs w:val="24"/>
          <w:highlight w:val="none"/>
          <w:lang w:val="en-US" w:eastAsia="zh-CN" w:bidi="ar-SA"/>
        </w:rPr>
        <w:t>=1mg湿重）。</w:t>
      </w:r>
    </w:p>
    <w:p w14:paraId="2AFE27DD">
      <w:pPr>
        <w:bidi w:val="0"/>
        <w:rPr>
          <w:rFonts w:hint="default"/>
          <w:highlight w:val="none"/>
          <w:lang w:val="en-US" w:eastAsia="zh-CN"/>
        </w:rPr>
      </w:pPr>
      <w:r>
        <w:rPr>
          <w:rFonts w:hint="default"/>
          <w:highlight w:val="none"/>
        </w:rPr>
        <w:t>（2）</w:t>
      </w:r>
      <w:r>
        <w:rPr>
          <w:rFonts w:hint="default"/>
          <w:highlight w:val="none"/>
          <w:lang w:val="en-US" w:eastAsia="zh-CN"/>
        </w:rPr>
        <w:t>浮游动物</w:t>
      </w:r>
    </w:p>
    <w:p w14:paraId="5D2F1951">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浮游动物定性标本的采集：选择不同的</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域区，</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25号或13号浮游</w:t>
      </w:r>
      <w:r>
        <w:rPr>
          <w:rFonts w:hint="default" w:ascii="Times New Roman" w:hAnsi="Times New Roman" w:cs="Times New Roman"/>
          <w:color w:val="auto"/>
          <w:sz w:val="24"/>
          <w:highlight w:val="none"/>
          <w:lang w:val="en-US" w:eastAsia="zh-CN"/>
        </w:rPr>
        <w:t>生物网</w:t>
      </w:r>
      <w:r>
        <w:rPr>
          <w:rFonts w:hint="default" w:ascii="Times New Roman" w:hAnsi="Times New Roman" w:cs="Times New Roman"/>
          <w:color w:val="auto"/>
          <w:sz w:val="24"/>
          <w:highlight w:val="none"/>
        </w:rPr>
        <w:t>采集</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样，将采得的</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样装</w:t>
      </w:r>
      <w:r>
        <w:rPr>
          <w:rFonts w:hint="eastAsia" w:cs="Times New Roman"/>
          <w:color w:val="auto"/>
          <w:sz w:val="24"/>
          <w:highlight w:val="none"/>
          <w:lang w:val="en-US" w:eastAsia="zh-CN"/>
        </w:rPr>
        <w:t>入</w:t>
      </w:r>
      <w:r>
        <w:rPr>
          <w:rFonts w:hint="default" w:ascii="Times New Roman" w:hAnsi="Times New Roman" w:cs="Times New Roman"/>
          <w:color w:val="auto"/>
          <w:sz w:val="24"/>
          <w:highlight w:val="none"/>
        </w:rPr>
        <w:t>编号塑料瓶中。每瓶</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样每升加鲁哥</w:t>
      </w:r>
      <w:r>
        <w:rPr>
          <w:rFonts w:hint="default" w:ascii="Times New Roman" w:hAnsi="Times New Roman" w:cs="Times New Roman"/>
          <w:color w:val="auto"/>
          <w:sz w:val="24"/>
          <w:highlight w:val="none"/>
          <w:lang w:val="en-US" w:eastAsia="zh-CN"/>
        </w:rPr>
        <w:t>氏</w:t>
      </w:r>
      <w:r>
        <w:rPr>
          <w:rFonts w:hint="default" w:ascii="Times New Roman" w:hAnsi="Times New Roman" w:cs="Times New Roman"/>
          <w:color w:val="auto"/>
          <w:sz w:val="24"/>
          <w:highlight w:val="none"/>
        </w:rPr>
        <w:t>液15mL或5%的甲醛液固定，带回实验室后在显微镜和解剖镜下进</w:t>
      </w:r>
      <w:r>
        <w:rPr>
          <w:rFonts w:hint="default" w:ascii="Times New Roman" w:hAnsi="Times New Roman" w:cs="Times New Roman"/>
          <w:color w:val="auto"/>
          <w:sz w:val="24"/>
          <w:highlight w:val="none"/>
          <w:lang w:val="en-US" w:eastAsia="zh-CN"/>
        </w:rPr>
        <w:t>行</w:t>
      </w:r>
      <w:r>
        <w:rPr>
          <w:rFonts w:hint="default" w:ascii="Times New Roman" w:hAnsi="Times New Roman" w:cs="Times New Roman"/>
          <w:color w:val="auto"/>
          <w:sz w:val="24"/>
          <w:highlight w:val="none"/>
        </w:rPr>
        <w:t>种类鉴定。</w:t>
      </w:r>
    </w:p>
    <w:p w14:paraId="5CEA334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浮游动物定</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标本的采集：</w:t>
      </w:r>
      <w:r>
        <w:rPr>
          <w:rFonts w:hint="eastAsia" w:cs="Times New Roman"/>
          <w:color w:val="auto"/>
          <w:sz w:val="24"/>
          <w:highlight w:val="none"/>
          <w:lang w:val="en-US" w:eastAsia="zh-CN"/>
        </w:rPr>
        <w:t>用</w:t>
      </w:r>
      <w:r>
        <w:rPr>
          <w:rFonts w:hint="default" w:ascii="Times New Roman" w:hAnsi="Times New Roman" w:cs="Times New Roman"/>
          <w:color w:val="auto"/>
          <w:sz w:val="24"/>
          <w:highlight w:val="none"/>
        </w:rPr>
        <w:t>1L的有机玻璃采</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桶采集。因河流</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流湍急，浮游动物数</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稀少，每采样点均采</w:t>
      </w:r>
      <w:r>
        <w:rPr>
          <w:rFonts w:hint="eastAsia" w:cs="Times New Roman"/>
          <w:color w:val="auto"/>
          <w:sz w:val="24"/>
          <w:highlight w:val="none"/>
          <w:lang w:val="en-US" w:eastAsia="zh-CN"/>
        </w:rPr>
        <w:t>水</w:t>
      </w:r>
      <w:r>
        <w:rPr>
          <w:rFonts w:hint="default" w:ascii="Times New Roman" w:hAnsi="Times New Roman" w:cs="Times New Roman"/>
          <w:color w:val="auto"/>
          <w:sz w:val="24"/>
          <w:highlight w:val="none"/>
        </w:rPr>
        <w:t>样10L，</w:t>
      </w:r>
      <w:r>
        <w:rPr>
          <w:rFonts w:hint="eastAsia" w:cs="Times New Roman"/>
          <w:color w:val="auto"/>
          <w:sz w:val="24"/>
          <w:highlight w:val="none"/>
          <w:lang w:val="en-US" w:eastAsia="zh-CN"/>
        </w:rPr>
        <w:t>用</w:t>
      </w:r>
      <w:r>
        <w:rPr>
          <w:rFonts w:hint="default" w:ascii="Times New Roman" w:hAnsi="Times New Roman" w:cs="Times New Roman"/>
          <w:color w:val="auto"/>
          <w:sz w:val="24"/>
          <w:highlight w:val="none"/>
        </w:rPr>
        <w:t>25号浮游</w:t>
      </w:r>
      <w:r>
        <w:rPr>
          <w:rFonts w:hint="default" w:ascii="Times New Roman" w:hAnsi="Times New Roman" w:cs="Times New Roman"/>
          <w:color w:val="auto"/>
          <w:sz w:val="24"/>
          <w:highlight w:val="none"/>
          <w:lang w:val="en-US" w:eastAsia="zh-CN"/>
        </w:rPr>
        <w:t>生物网</w:t>
      </w:r>
      <w:r>
        <w:rPr>
          <w:rFonts w:hint="default" w:ascii="Times New Roman" w:hAnsi="Times New Roman" w:cs="Times New Roman"/>
          <w:color w:val="auto"/>
          <w:sz w:val="24"/>
          <w:highlight w:val="none"/>
        </w:rPr>
        <w:t>过滤，收集</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样装</w:t>
      </w:r>
      <w:r>
        <w:rPr>
          <w:rFonts w:hint="eastAsia" w:cs="Times New Roman"/>
          <w:color w:val="auto"/>
          <w:sz w:val="24"/>
          <w:highlight w:val="none"/>
          <w:lang w:val="en-US" w:eastAsia="zh-CN"/>
        </w:rPr>
        <w:t>入</w:t>
      </w:r>
      <w:r>
        <w:rPr>
          <w:rFonts w:hint="default" w:ascii="Times New Roman" w:hAnsi="Times New Roman" w:cs="Times New Roman"/>
          <w:color w:val="auto"/>
          <w:sz w:val="24"/>
          <w:highlight w:val="none"/>
        </w:rPr>
        <w:t>编号塑料瓶中，加</w:t>
      </w:r>
      <w:r>
        <w:rPr>
          <w:rFonts w:hint="eastAsia" w:cs="Times New Roman"/>
          <w:color w:val="auto"/>
          <w:sz w:val="24"/>
          <w:highlight w:val="none"/>
          <w:lang w:val="en-US" w:eastAsia="zh-CN"/>
        </w:rPr>
        <w:t>入</w:t>
      </w:r>
      <w:r>
        <w:rPr>
          <w:rFonts w:hint="default" w:ascii="Times New Roman" w:hAnsi="Times New Roman" w:cs="Times New Roman"/>
          <w:color w:val="auto"/>
          <w:sz w:val="24"/>
          <w:highlight w:val="none"/>
        </w:rPr>
        <w:t>少</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鲁哥</w:t>
      </w:r>
      <w:r>
        <w:rPr>
          <w:rFonts w:hint="default" w:ascii="Times New Roman" w:hAnsi="Times New Roman" w:cs="Times New Roman"/>
          <w:color w:val="auto"/>
          <w:sz w:val="24"/>
          <w:highlight w:val="none"/>
          <w:lang w:val="en-US" w:eastAsia="zh-CN"/>
        </w:rPr>
        <w:t>氏</w:t>
      </w:r>
      <w:r>
        <w:rPr>
          <w:rFonts w:hint="default" w:ascii="Times New Roman" w:hAnsi="Times New Roman" w:cs="Times New Roman"/>
          <w:color w:val="auto"/>
          <w:sz w:val="24"/>
          <w:highlight w:val="none"/>
        </w:rPr>
        <w:t>液固定后，</w:t>
      </w:r>
      <w:r>
        <w:rPr>
          <w:rFonts w:hint="eastAsia" w:cs="Times New Roman"/>
          <w:color w:val="auto"/>
          <w:sz w:val="24"/>
          <w:highlight w:val="none"/>
          <w:lang w:val="en-US" w:eastAsia="zh-CN"/>
        </w:rPr>
        <w:t>用</w:t>
      </w:r>
      <w:r>
        <w:rPr>
          <w:rFonts w:hint="default" w:ascii="Times New Roman" w:hAnsi="Times New Roman" w:cs="Times New Roman"/>
          <w:color w:val="auto"/>
          <w:sz w:val="24"/>
          <w:highlight w:val="none"/>
        </w:rPr>
        <w:t>5%福尔</w:t>
      </w:r>
      <w:r>
        <w:rPr>
          <w:rFonts w:hint="default" w:ascii="Times New Roman" w:hAnsi="Times New Roman" w:cs="Times New Roman"/>
          <w:color w:val="auto"/>
          <w:sz w:val="24"/>
          <w:highlight w:val="none"/>
          <w:lang w:val="en-US" w:eastAsia="zh-CN"/>
        </w:rPr>
        <w:t>马</w:t>
      </w:r>
      <w:r>
        <w:rPr>
          <w:rFonts w:hint="default" w:ascii="Times New Roman" w:hAnsi="Times New Roman" w:cs="Times New Roman"/>
          <w:color w:val="auto"/>
          <w:sz w:val="24"/>
          <w:highlight w:val="none"/>
        </w:rPr>
        <w:t>林保存。</w:t>
      </w:r>
    </w:p>
    <w:p w14:paraId="37D2F281">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将</w:t>
      </w:r>
      <w:r>
        <w:rPr>
          <w:rFonts w:hint="default" w:ascii="Times New Roman" w:hAnsi="Times New Roman" w:cs="Times New Roman"/>
          <w:color w:val="auto"/>
          <w:sz w:val="24"/>
          <w:highlight w:val="none"/>
          <w:lang w:val="en-US" w:eastAsia="zh-CN"/>
        </w:rPr>
        <w:t>野</w:t>
      </w:r>
      <w:r>
        <w:rPr>
          <w:rFonts w:hint="default" w:ascii="Times New Roman" w:hAnsi="Times New Roman" w:cs="Times New Roman"/>
          <w:color w:val="auto"/>
          <w:sz w:val="24"/>
          <w:highlight w:val="none"/>
        </w:rPr>
        <w:t>外采集的</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样，分别倒</w:t>
      </w:r>
      <w:r>
        <w:rPr>
          <w:rFonts w:hint="eastAsia" w:cs="Times New Roman"/>
          <w:color w:val="auto"/>
          <w:sz w:val="24"/>
          <w:highlight w:val="none"/>
          <w:lang w:val="en-US" w:eastAsia="zh-CN"/>
        </w:rPr>
        <w:t>入</w:t>
      </w:r>
      <w:r>
        <w:rPr>
          <w:rFonts w:hint="default" w:ascii="Times New Roman" w:hAnsi="Times New Roman" w:cs="Times New Roman"/>
          <w:color w:val="auto"/>
          <w:sz w:val="24"/>
          <w:highlight w:val="none"/>
        </w:rPr>
        <w:t>沉淀器静置48~72h，让样品</w:t>
      </w:r>
      <w:r>
        <w:rPr>
          <w:rFonts w:hint="default" w:ascii="Times New Roman" w:hAnsi="Times New Roman" w:cs="Times New Roman"/>
          <w:color w:val="auto"/>
          <w:sz w:val="24"/>
          <w:highlight w:val="none"/>
          <w:lang w:val="en-US" w:eastAsia="zh-CN"/>
        </w:rPr>
        <w:t>自</w:t>
      </w:r>
      <w:r>
        <w:rPr>
          <w:rFonts w:hint="default" w:ascii="Times New Roman" w:hAnsi="Times New Roman" w:cs="Times New Roman"/>
          <w:color w:val="auto"/>
          <w:sz w:val="24"/>
          <w:highlight w:val="none"/>
        </w:rPr>
        <w:t>然沉淀，然后</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虹吸法吸去上层清</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，浓缩</w:t>
      </w:r>
      <w:r>
        <w:rPr>
          <w:rFonts w:hint="default" w:ascii="Times New Roman" w:hAnsi="Times New Roman" w:cs="Times New Roman"/>
          <w:color w:val="auto"/>
          <w:sz w:val="24"/>
          <w:highlight w:val="none"/>
          <w:lang w:val="en-US" w:eastAsia="zh-CN"/>
        </w:rPr>
        <w:t>至</w:t>
      </w:r>
      <w:r>
        <w:rPr>
          <w:rFonts w:hint="default" w:ascii="Times New Roman" w:hAnsi="Times New Roman" w:cs="Times New Roman"/>
          <w:color w:val="auto"/>
          <w:sz w:val="24"/>
          <w:highlight w:val="none"/>
        </w:rPr>
        <w:t>20mL。每样取浓缩液0.1mL于</w:t>
      </w:r>
      <w:r>
        <w:rPr>
          <w:rFonts w:hint="default" w:ascii="Times New Roman" w:hAnsi="Times New Roman" w:cs="Times New Roman"/>
          <w:color w:val="auto"/>
          <w:sz w:val="24"/>
          <w:highlight w:val="none"/>
          <w:lang w:val="en-US" w:eastAsia="zh-CN"/>
        </w:rPr>
        <w:t>生</w:t>
      </w:r>
      <w:r>
        <w:rPr>
          <w:rFonts w:hint="default" w:ascii="Times New Roman" w:hAnsi="Times New Roman" w:cs="Times New Roman"/>
          <w:color w:val="auto"/>
          <w:sz w:val="24"/>
          <w:highlight w:val="none"/>
        </w:rPr>
        <w:t>物计数框中镜检，每样品检查2-3次。定性样品，物种鉴定到属或种，并统计优势种类。</w:t>
      </w:r>
    </w:p>
    <w:p w14:paraId="0D7BF243">
      <w:pPr>
        <w:spacing w:line="360" w:lineRule="auto"/>
        <w:ind w:firstLine="480"/>
        <w:rPr>
          <w:rFonts w:hint="default" w:ascii="Times New Roman" w:hAnsi="Times New Roman" w:cs="Times New Roman"/>
          <w:color w:val="FF0000"/>
          <w:sz w:val="24"/>
          <w:highlight w:val="none"/>
        </w:rPr>
      </w:pPr>
      <w:r>
        <w:rPr>
          <w:rFonts w:hint="default" w:ascii="Times New Roman" w:hAnsi="Times New Roman" w:cs="Times New Roman"/>
          <w:color w:val="auto"/>
          <w:sz w:val="24"/>
          <w:highlight w:val="none"/>
        </w:rPr>
        <w:t>定</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样品，在10×10倍的显微镜下，逐</w:t>
      </w:r>
      <w:r>
        <w:rPr>
          <w:rFonts w:hint="default" w:ascii="Times New Roman" w:hAnsi="Times New Roman" w:cs="Times New Roman"/>
          <w:color w:val="auto"/>
          <w:sz w:val="24"/>
          <w:highlight w:val="none"/>
          <w:lang w:val="en-US" w:eastAsia="zh-CN"/>
        </w:rPr>
        <w:t>一</w:t>
      </w:r>
      <w:r>
        <w:rPr>
          <w:rFonts w:hint="default" w:ascii="Times New Roman" w:hAnsi="Times New Roman" w:cs="Times New Roman"/>
          <w:color w:val="auto"/>
          <w:sz w:val="24"/>
          <w:highlight w:val="none"/>
        </w:rPr>
        <w:t>统计动物种类和每种的个体数</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。每</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样连续统计两次，如两次统计结果差异很</w:t>
      </w:r>
      <w:r>
        <w:rPr>
          <w:rFonts w:hint="default" w:ascii="Times New Roman" w:hAnsi="Times New Roman" w:cs="Times New Roman"/>
          <w:color w:val="auto"/>
          <w:sz w:val="24"/>
          <w:highlight w:val="none"/>
          <w:lang w:val="en-US" w:eastAsia="zh-CN"/>
        </w:rPr>
        <w:t>大</w:t>
      </w:r>
      <w:r>
        <w:rPr>
          <w:rFonts w:hint="default" w:ascii="Times New Roman" w:hAnsi="Times New Roman" w:cs="Times New Roman"/>
          <w:color w:val="auto"/>
          <w:sz w:val="24"/>
          <w:highlight w:val="none"/>
        </w:rPr>
        <w:t>，则需再镜检和统计</w:t>
      </w:r>
      <w:r>
        <w:rPr>
          <w:rFonts w:hint="default" w:ascii="Times New Roman" w:hAnsi="Times New Roman" w:cs="Times New Roman"/>
          <w:color w:val="auto"/>
          <w:sz w:val="24"/>
          <w:highlight w:val="none"/>
          <w:lang w:val="en-US" w:eastAsia="zh-CN"/>
        </w:rPr>
        <w:t>一至二</w:t>
      </w:r>
      <w:r>
        <w:rPr>
          <w:rFonts w:hint="default" w:ascii="Times New Roman" w:hAnsi="Times New Roman" w:cs="Times New Roman"/>
          <w:color w:val="auto"/>
          <w:sz w:val="24"/>
          <w:highlight w:val="none"/>
        </w:rPr>
        <w:t>次，将各次统计的数据平均，按下式计算每升</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中浮游动物的数</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，并根据每升</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中种的数</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，再换算出每升</w:t>
      </w:r>
      <w:r>
        <w:rPr>
          <w:rFonts w:hint="default" w:ascii="Times New Roman" w:hAnsi="Times New Roman" w:cs="Times New Roman"/>
          <w:color w:val="auto"/>
          <w:sz w:val="24"/>
          <w:highlight w:val="none"/>
          <w:lang w:val="en-US" w:eastAsia="zh-CN"/>
        </w:rPr>
        <w:t>水</w:t>
      </w:r>
      <w:r>
        <w:rPr>
          <w:rFonts w:hint="default" w:ascii="Times New Roman" w:hAnsi="Times New Roman" w:cs="Times New Roman"/>
          <w:color w:val="auto"/>
          <w:sz w:val="24"/>
          <w:highlight w:val="none"/>
        </w:rPr>
        <w:t>中种的</w:t>
      </w:r>
      <w:r>
        <w:rPr>
          <w:rFonts w:hint="default" w:ascii="Times New Roman" w:hAnsi="Times New Roman" w:cs="Times New Roman"/>
          <w:color w:val="auto"/>
          <w:sz w:val="24"/>
          <w:highlight w:val="none"/>
          <w:lang w:val="en-US" w:eastAsia="zh-CN"/>
        </w:rPr>
        <w:t>重量</w:t>
      </w:r>
      <w:r>
        <w:rPr>
          <w:rFonts w:hint="default" w:ascii="Times New Roman" w:hAnsi="Times New Roman" w:cs="Times New Roman"/>
          <w:color w:val="auto"/>
          <w:sz w:val="24"/>
          <w:highlight w:val="none"/>
        </w:rPr>
        <w:t>，即</w:t>
      </w:r>
      <w:r>
        <w:rPr>
          <w:rFonts w:hint="default" w:ascii="Times New Roman" w:hAnsi="Times New Roman" w:cs="Times New Roman"/>
          <w:color w:val="auto"/>
          <w:sz w:val="24"/>
          <w:highlight w:val="none"/>
          <w:lang w:val="en-US" w:eastAsia="zh-CN"/>
        </w:rPr>
        <w:t>生</w:t>
      </w:r>
      <w:r>
        <w:rPr>
          <w:rFonts w:hint="default" w:ascii="Times New Roman" w:hAnsi="Times New Roman" w:cs="Times New Roman"/>
          <w:color w:val="auto"/>
          <w:sz w:val="24"/>
          <w:highlight w:val="none"/>
        </w:rPr>
        <w:t>物</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w:t>
      </w:r>
    </w:p>
    <w:p w14:paraId="4FA6F09E">
      <w:pPr>
        <w:bidi w:val="0"/>
        <w:rPr>
          <w:rFonts w:hint="default"/>
          <w:highlight w:val="none"/>
          <w:lang w:val="en-US" w:eastAsia="zh-CN"/>
        </w:rPr>
      </w:pPr>
      <w:r>
        <w:rPr>
          <w:rFonts w:hint="default"/>
          <w:highlight w:val="none"/>
        </w:rPr>
        <w:t>（3）</w:t>
      </w:r>
      <w:r>
        <w:rPr>
          <w:rFonts w:hint="default"/>
          <w:highlight w:val="none"/>
          <w:lang w:val="en-US" w:eastAsia="zh-CN"/>
        </w:rPr>
        <w:t>底栖动物</w:t>
      </w:r>
    </w:p>
    <w:p w14:paraId="51B2EAB9">
      <w:pPr>
        <w:bidi w:val="0"/>
        <w:rPr>
          <w:rFonts w:hint="default" w:ascii="Times New Roman" w:hAnsi="Times New Roman" w:cs="Times New Roman"/>
          <w:color w:val="auto"/>
          <w:sz w:val="24"/>
          <w:highlight w:val="none"/>
        </w:rPr>
      </w:pPr>
      <w:r>
        <w:rPr>
          <w:rFonts w:hint="default" w:ascii="Times New Roman" w:hAnsi="Times New Roman" w:cs="Times New Roman"/>
          <w:highlight w:val="none"/>
        </w:rPr>
        <w:t>底栖动物定性标本的采集：在采集断</w:t>
      </w:r>
      <w:r>
        <w:rPr>
          <w:rFonts w:hint="default" w:ascii="Times New Roman" w:hAnsi="Times New Roman" w:cs="Times New Roman"/>
          <w:highlight w:val="none"/>
          <w:lang w:val="en-US" w:eastAsia="zh-CN"/>
        </w:rPr>
        <w:t>面</w:t>
      </w:r>
      <w:r>
        <w:rPr>
          <w:rFonts w:hint="default" w:ascii="Times New Roman" w:hAnsi="Times New Roman" w:cs="Times New Roman"/>
          <w:highlight w:val="none"/>
        </w:rPr>
        <w:t>附近河岸寻找不同</w:t>
      </w:r>
      <w:r>
        <w:rPr>
          <w:rFonts w:hint="default" w:ascii="Times New Roman" w:hAnsi="Times New Roman" w:cs="Times New Roman"/>
          <w:highlight w:val="none"/>
          <w:lang w:val="en-US" w:eastAsia="zh-CN"/>
        </w:rPr>
        <w:t>水</w:t>
      </w:r>
      <w:r>
        <w:rPr>
          <w:rFonts w:hint="default" w:ascii="Times New Roman" w:hAnsi="Times New Roman" w:cs="Times New Roman"/>
          <w:highlight w:val="none"/>
        </w:rPr>
        <w:t>域环境，翻捡卵</w:t>
      </w:r>
      <w:r>
        <w:rPr>
          <w:rFonts w:hint="default" w:ascii="Times New Roman" w:hAnsi="Times New Roman" w:cs="Times New Roman"/>
          <w:highlight w:val="none"/>
          <w:lang w:val="en-US" w:eastAsia="zh-CN"/>
        </w:rPr>
        <w:t>石</w:t>
      </w:r>
      <w:r>
        <w:rPr>
          <w:rFonts w:hint="default" w:ascii="Times New Roman" w:hAnsi="Times New Roman" w:cs="Times New Roman"/>
          <w:highlight w:val="none"/>
        </w:rPr>
        <w:t>和</w:t>
      </w:r>
      <w:r>
        <w:rPr>
          <w:rFonts w:hint="default" w:ascii="Times New Roman" w:hAnsi="Times New Roman" w:cs="Times New Roman"/>
          <w:highlight w:val="none"/>
          <w:lang w:val="en-US" w:eastAsia="zh-CN"/>
        </w:rPr>
        <w:t>石</w:t>
      </w:r>
      <w:r>
        <w:rPr>
          <w:rFonts w:hint="default" w:ascii="Times New Roman" w:hAnsi="Times New Roman" w:cs="Times New Roman"/>
          <w:highlight w:val="none"/>
        </w:rPr>
        <w:t>块等，</w:t>
      </w:r>
      <w:r>
        <w:rPr>
          <w:rFonts w:hint="default" w:ascii="Times New Roman" w:hAnsi="Times New Roman" w:cs="Times New Roman"/>
          <w:highlight w:val="none"/>
          <w:lang w:val="en-US" w:eastAsia="zh-CN"/>
        </w:rPr>
        <w:t>用手</w:t>
      </w:r>
      <w:r>
        <w:rPr>
          <w:rFonts w:hint="default" w:ascii="Times New Roman" w:hAnsi="Times New Roman" w:cs="Times New Roman"/>
          <w:highlight w:val="none"/>
        </w:rPr>
        <w:t>刷或镊</w:t>
      </w:r>
      <w:r>
        <w:rPr>
          <w:rFonts w:hint="default" w:ascii="Times New Roman" w:hAnsi="Times New Roman" w:cs="Times New Roman"/>
          <w:highlight w:val="none"/>
          <w:lang w:val="en-US" w:eastAsia="zh-CN"/>
        </w:rPr>
        <w:t>子</w:t>
      </w:r>
      <w:r>
        <w:rPr>
          <w:rFonts w:hint="default" w:ascii="Times New Roman" w:hAnsi="Times New Roman" w:cs="Times New Roman"/>
          <w:highlight w:val="none"/>
        </w:rPr>
        <w:t>收取标本，或</w:t>
      </w:r>
      <w:r>
        <w:rPr>
          <w:rFonts w:hint="default" w:ascii="Times New Roman" w:hAnsi="Times New Roman" w:cs="Times New Roman"/>
          <w:highlight w:val="none"/>
          <w:lang w:val="en-US" w:eastAsia="zh-CN"/>
        </w:rPr>
        <w:t>用手</w:t>
      </w:r>
      <w:r>
        <w:rPr>
          <w:rFonts w:hint="default" w:ascii="Times New Roman" w:hAnsi="Times New Roman" w:cs="Times New Roman"/>
          <w:highlight w:val="none"/>
        </w:rPr>
        <w:t>抄</w:t>
      </w:r>
      <w:r>
        <w:rPr>
          <w:rFonts w:hint="default" w:ascii="Times New Roman" w:hAnsi="Times New Roman" w:cs="Times New Roman"/>
          <w:highlight w:val="none"/>
          <w:lang w:val="en-US" w:eastAsia="zh-CN"/>
        </w:rPr>
        <w:t>网</w:t>
      </w:r>
      <w:r>
        <w:rPr>
          <w:rFonts w:hint="default" w:ascii="Times New Roman" w:hAnsi="Times New Roman" w:cs="Times New Roman"/>
          <w:highlight w:val="none"/>
        </w:rPr>
        <w:t>捞取河道底层物，淘洗后捡出标本，</w:t>
      </w:r>
      <w:r>
        <w:rPr>
          <w:rFonts w:hint="default" w:ascii="Times New Roman" w:hAnsi="Times New Roman" w:cs="Times New Roman"/>
          <w:highlight w:val="none"/>
          <w:lang w:val="en-US" w:eastAsia="zh-CN"/>
        </w:rPr>
        <w:t>用</w:t>
      </w:r>
      <w:r>
        <w:rPr>
          <w:rFonts w:hint="default" w:ascii="Times New Roman" w:hAnsi="Times New Roman" w:cs="Times New Roman"/>
          <w:highlight w:val="none"/>
        </w:rPr>
        <w:t>10%</w:t>
      </w:r>
      <w:r>
        <w:rPr>
          <w:rFonts w:hint="default" w:ascii="Times New Roman" w:hAnsi="Times New Roman" w:cs="Times New Roman"/>
          <w:color w:val="auto"/>
          <w:sz w:val="24"/>
          <w:highlight w:val="none"/>
        </w:rPr>
        <w:t>福尔</w:t>
      </w:r>
      <w:r>
        <w:rPr>
          <w:rFonts w:hint="default" w:ascii="Times New Roman" w:hAnsi="Times New Roman" w:cs="Times New Roman"/>
          <w:color w:val="auto"/>
          <w:sz w:val="24"/>
          <w:highlight w:val="none"/>
          <w:lang w:val="en-US" w:eastAsia="zh-CN"/>
        </w:rPr>
        <w:t>马</w:t>
      </w:r>
      <w:r>
        <w:rPr>
          <w:rFonts w:hint="default" w:ascii="Times New Roman" w:hAnsi="Times New Roman" w:cs="Times New Roman"/>
          <w:color w:val="auto"/>
          <w:sz w:val="24"/>
          <w:highlight w:val="none"/>
        </w:rPr>
        <w:t>林液固定。</w:t>
      </w:r>
    </w:p>
    <w:p w14:paraId="385D4C12">
      <w:pPr>
        <w:bidi w:val="0"/>
        <w:rPr>
          <w:rFonts w:hint="default" w:ascii="Times New Roman" w:hAnsi="Times New Roman" w:cs="Times New Roman"/>
          <w:color w:val="FF0000"/>
          <w:sz w:val="24"/>
          <w:highlight w:val="none"/>
        </w:rPr>
      </w:pPr>
      <w:r>
        <w:rPr>
          <w:rFonts w:hint="default" w:ascii="Times New Roman" w:hAnsi="Times New Roman" w:cs="Times New Roman"/>
          <w:color w:val="auto"/>
          <w:sz w:val="24"/>
          <w:highlight w:val="none"/>
        </w:rPr>
        <w:t>底栖动物分三</w:t>
      </w:r>
      <w:r>
        <w:rPr>
          <w:rFonts w:hint="default" w:ascii="Times New Roman" w:hAnsi="Times New Roman" w:cs="Times New Roman"/>
          <w:color w:val="auto"/>
          <w:sz w:val="24"/>
          <w:highlight w:val="none"/>
          <w:lang w:val="en-US" w:eastAsia="zh-CN"/>
        </w:rPr>
        <w:t>大</w:t>
      </w:r>
      <w:r>
        <w:rPr>
          <w:rFonts w:hint="default" w:ascii="Times New Roman" w:hAnsi="Times New Roman" w:cs="Times New Roman"/>
          <w:color w:val="auto"/>
          <w:sz w:val="24"/>
          <w:highlight w:val="none"/>
        </w:rPr>
        <w:t>类</w:t>
      </w:r>
      <w:r>
        <w:rPr>
          <w:rFonts w:hint="default" w:ascii="Times New Roman" w:hAnsi="Times New Roman" w:cs="Times New Roman"/>
          <w:color w:val="auto"/>
          <w:sz w:val="24"/>
          <w:highlight w:val="none"/>
          <w:lang w:val="en-US" w:eastAsia="zh-CN"/>
        </w:rPr>
        <w:t>水生</w:t>
      </w:r>
      <w:r>
        <w:rPr>
          <w:rFonts w:hint="default" w:ascii="Times New Roman" w:hAnsi="Times New Roman" w:cs="Times New Roman"/>
          <w:color w:val="auto"/>
          <w:sz w:val="24"/>
          <w:highlight w:val="none"/>
        </w:rPr>
        <w:t>昆</w:t>
      </w:r>
      <w:r>
        <w:rPr>
          <w:rFonts w:hint="default" w:ascii="Times New Roman" w:hAnsi="Times New Roman" w:cs="Times New Roman"/>
          <w:color w:val="auto"/>
          <w:sz w:val="24"/>
          <w:highlight w:val="none"/>
          <w:lang w:val="en-US" w:eastAsia="zh-CN"/>
        </w:rPr>
        <w:t>虫</w:t>
      </w:r>
      <w:r>
        <w:rPr>
          <w:rFonts w:hint="default" w:ascii="Times New Roman" w:hAnsi="Times New Roman" w:cs="Times New Roman"/>
          <w:color w:val="auto"/>
          <w:sz w:val="24"/>
          <w:highlight w:val="none"/>
        </w:rPr>
        <w:t>、寡</w:t>
      </w:r>
      <w:r>
        <w:rPr>
          <w:rFonts w:hint="default" w:ascii="Times New Roman" w:hAnsi="Times New Roman" w:cs="Times New Roman"/>
          <w:color w:val="auto"/>
          <w:sz w:val="24"/>
          <w:highlight w:val="none"/>
          <w:lang w:val="en-US" w:eastAsia="zh-CN"/>
        </w:rPr>
        <w:t>毛</w:t>
      </w:r>
      <w:r>
        <w:rPr>
          <w:rFonts w:hint="default" w:ascii="Times New Roman" w:hAnsi="Times New Roman" w:cs="Times New Roman"/>
          <w:color w:val="auto"/>
          <w:sz w:val="24"/>
          <w:highlight w:val="none"/>
        </w:rPr>
        <w:t>类和软体动物。依据断</w:t>
      </w:r>
      <w:r>
        <w:rPr>
          <w:rFonts w:hint="default" w:ascii="Times New Roman" w:hAnsi="Times New Roman" w:cs="Times New Roman"/>
          <w:color w:val="auto"/>
          <w:sz w:val="24"/>
          <w:highlight w:val="none"/>
          <w:lang w:val="en-US" w:eastAsia="zh-CN"/>
        </w:rPr>
        <w:t>面长</w:t>
      </w:r>
      <w:r>
        <w:rPr>
          <w:rFonts w:hint="default" w:ascii="Times New Roman" w:hAnsi="Times New Roman" w:cs="Times New Roman"/>
          <w:color w:val="auto"/>
          <w:sz w:val="24"/>
          <w:highlight w:val="none"/>
        </w:rPr>
        <w:t>度布设采样点，</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索伯</w:t>
      </w:r>
      <w:r>
        <w:rPr>
          <w:rFonts w:hint="default" w:ascii="Times New Roman" w:hAnsi="Times New Roman" w:cs="Times New Roman"/>
          <w:color w:val="auto"/>
          <w:sz w:val="24"/>
          <w:highlight w:val="none"/>
          <w:lang w:val="en-US" w:eastAsia="zh-CN"/>
        </w:rPr>
        <w:t>网</w:t>
      </w:r>
      <w:r>
        <w:rPr>
          <w:rFonts w:hint="default" w:ascii="Times New Roman" w:hAnsi="Times New Roman" w:cs="Times New Roman"/>
          <w:color w:val="auto"/>
          <w:sz w:val="24"/>
          <w:highlight w:val="none"/>
        </w:rPr>
        <w:t>采集定</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样品，每个采样点采集2~3个</w:t>
      </w:r>
      <w:r>
        <w:rPr>
          <w:rFonts w:hint="default" w:ascii="Times New Roman" w:hAnsi="Times New Roman" w:cs="Times New Roman"/>
          <w:color w:val="auto"/>
          <w:sz w:val="24"/>
          <w:highlight w:val="none"/>
          <w:lang w:val="en-US" w:eastAsia="zh-CN"/>
        </w:rPr>
        <w:t>重</w:t>
      </w:r>
      <w:r>
        <w:rPr>
          <w:rFonts w:hint="default" w:ascii="Times New Roman" w:hAnsi="Times New Roman" w:cs="Times New Roman"/>
          <w:color w:val="auto"/>
          <w:sz w:val="24"/>
          <w:highlight w:val="none"/>
        </w:rPr>
        <w:t>复。将采集的泥样，</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60#分样筛筛洗，然后装⼊封</w:t>
      </w:r>
      <w:r>
        <w:rPr>
          <w:rFonts w:hint="eastAsia" w:cs="Times New Roman"/>
          <w:color w:val="auto"/>
          <w:sz w:val="24"/>
          <w:highlight w:val="none"/>
          <w:lang w:val="en-US" w:eastAsia="zh-CN"/>
        </w:rPr>
        <w:t>口</w:t>
      </w:r>
      <w:r>
        <w:rPr>
          <w:rFonts w:hint="default" w:ascii="Times New Roman" w:hAnsi="Times New Roman" w:cs="Times New Roman"/>
          <w:color w:val="auto"/>
          <w:sz w:val="24"/>
          <w:highlight w:val="none"/>
        </w:rPr>
        <w:t>塑料袋中，室内进</w:t>
      </w:r>
      <w:r>
        <w:rPr>
          <w:rFonts w:hint="default" w:ascii="Times New Roman" w:hAnsi="Times New Roman" w:cs="Times New Roman"/>
          <w:color w:val="auto"/>
          <w:sz w:val="24"/>
          <w:highlight w:val="none"/>
          <w:lang w:val="en-US" w:eastAsia="zh-CN"/>
        </w:rPr>
        <w:t>行</w:t>
      </w:r>
      <w:r>
        <w:rPr>
          <w:rFonts w:hint="default" w:ascii="Times New Roman" w:hAnsi="Times New Roman" w:cs="Times New Roman"/>
          <w:color w:val="auto"/>
          <w:sz w:val="24"/>
          <w:highlight w:val="none"/>
        </w:rPr>
        <w:t>挑拣，把底栖动物标本拣⼊标本瓶中，</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7％的福尔</w:t>
      </w:r>
      <w:r>
        <w:rPr>
          <w:rFonts w:hint="default" w:ascii="Times New Roman" w:hAnsi="Times New Roman" w:cs="Times New Roman"/>
          <w:color w:val="auto"/>
          <w:sz w:val="24"/>
          <w:highlight w:val="none"/>
          <w:lang w:val="en-US" w:eastAsia="zh-CN"/>
        </w:rPr>
        <w:t>马</w:t>
      </w:r>
      <w:r>
        <w:rPr>
          <w:rFonts w:hint="default" w:ascii="Times New Roman" w:hAnsi="Times New Roman" w:cs="Times New Roman"/>
          <w:color w:val="auto"/>
          <w:sz w:val="24"/>
          <w:highlight w:val="none"/>
        </w:rPr>
        <w:t>林溶液保存待检。软体动物定</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样品</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索伯</w:t>
      </w:r>
      <w:r>
        <w:rPr>
          <w:rFonts w:hint="default" w:ascii="Times New Roman" w:hAnsi="Times New Roman" w:cs="Times New Roman"/>
          <w:color w:val="auto"/>
          <w:sz w:val="24"/>
          <w:highlight w:val="none"/>
          <w:lang w:val="en-US" w:eastAsia="zh-CN"/>
        </w:rPr>
        <w:t>网</w:t>
      </w:r>
      <w:r>
        <w:rPr>
          <w:rFonts w:hint="default" w:ascii="Times New Roman" w:hAnsi="Times New Roman" w:cs="Times New Roman"/>
          <w:color w:val="auto"/>
          <w:sz w:val="24"/>
          <w:highlight w:val="none"/>
        </w:rPr>
        <w:t>进</w:t>
      </w:r>
      <w:r>
        <w:rPr>
          <w:rFonts w:hint="default" w:ascii="Times New Roman" w:hAnsi="Times New Roman" w:cs="Times New Roman"/>
          <w:color w:val="auto"/>
          <w:sz w:val="24"/>
          <w:highlight w:val="none"/>
          <w:lang w:val="en-US" w:eastAsia="zh-CN"/>
        </w:rPr>
        <w:t>行</w:t>
      </w:r>
      <w:r>
        <w:rPr>
          <w:rFonts w:hint="default" w:ascii="Times New Roman" w:hAnsi="Times New Roman" w:cs="Times New Roman"/>
          <w:color w:val="auto"/>
          <w:sz w:val="24"/>
          <w:highlight w:val="none"/>
        </w:rPr>
        <w:t>采集，</w:t>
      </w:r>
      <w:r>
        <w:rPr>
          <w:rFonts w:hint="default" w:ascii="Times New Roman" w:hAnsi="Times New Roman" w:cs="Times New Roman"/>
          <w:color w:val="auto"/>
          <w:sz w:val="24"/>
          <w:highlight w:val="none"/>
          <w:lang w:val="en-US" w:eastAsia="zh-CN"/>
        </w:rPr>
        <w:t>水生</w:t>
      </w:r>
      <w:r>
        <w:rPr>
          <w:rFonts w:hint="default" w:ascii="Times New Roman" w:hAnsi="Times New Roman" w:cs="Times New Roman"/>
          <w:color w:val="auto"/>
          <w:sz w:val="24"/>
          <w:highlight w:val="none"/>
        </w:rPr>
        <w:t>昆</w:t>
      </w:r>
      <w:r>
        <w:rPr>
          <w:rFonts w:hint="default" w:ascii="Times New Roman" w:hAnsi="Times New Roman" w:cs="Times New Roman"/>
          <w:color w:val="auto"/>
          <w:sz w:val="24"/>
          <w:highlight w:val="none"/>
          <w:lang w:val="en-US" w:eastAsia="zh-CN"/>
        </w:rPr>
        <w:t>虫</w:t>
      </w:r>
      <w:r>
        <w:rPr>
          <w:rFonts w:hint="default" w:ascii="Times New Roman" w:hAnsi="Times New Roman" w:cs="Times New Roman"/>
          <w:color w:val="auto"/>
          <w:sz w:val="24"/>
          <w:highlight w:val="none"/>
        </w:rPr>
        <w:t>和寡</w:t>
      </w:r>
      <w:r>
        <w:rPr>
          <w:rFonts w:hint="default" w:ascii="Times New Roman" w:hAnsi="Times New Roman" w:cs="Times New Roman"/>
          <w:color w:val="auto"/>
          <w:sz w:val="24"/>
          <w:highlight w:val="none"/>
          <w:lang w:val="en-US" w:eastAsia="zh-CN"/>
        </w:rPr>
        <w:t>毛</w:t>
      </w:r>
      <w:r>
        <w:rPr>
          <w:rFonts w:hint="default" w:ascii="Times New Roman" w:hAnsi="Times New Roman" w:cs="Times New Roman"/>
          <w:color w:val="auto"/>
          <w:sz w:val="24"/>
          <w:highlight w:val="none"/>
        </w:rPr>
        <w:t>类定性样品采集同定</w:t>
      </w:r>
      <w:r>
        <w:rPr>
          <w:rFonts w:hint="default" w:ascii="Times New Roman" w:hAnsi="Times New Roman" w:cs="Times New Roman"/>
          <w:color w:val="auto"/>
          <w:sz w:val="24"/>
          <w:highlight w:val="none"/>
          <w:lang w:val="en-US" w:eastAsia="zh-CN"/>
        </w:rPr>
        <w:t>量</w:t>
      </w:r>
      <w:r>
        <w:rPr>
          <w:rFonts w:hint="default" w:ascii="Times New Roman" w:hAnsi="Times New Roman" w:cs="Times New Roman"/>
          <w:color w:val="auto"/>
          <w:sz w:val="24"/>
          <w:highlight w:val="none"/>
        </w:rPr>
        <w:t>样品。室内</w:t>
      </w:r>
      <w:r>
        <w:rPr>
          <w:rFonts w:hint="default" w:ascii="Times New Roman" w:hAnsi="Times New Roman" w:cs="Times New Roman"/>
          <w:color w:val="auto"/>
          <w:sz w:val="24"/>
          <w:highlight w:val="none"/>
          <w:lang w:val="en-US" w:eastAsia="zh-CN"/>
        </w:rPr>
        <w:t>用</w:t>
      </w:r>
      <w:r>
        <w:rPr>
          <w:rFonts w:hint="default" w:ascii="Times New Roman" w:hAnsi="Times New Roman" w:cs="Times New Roman"/>
          <w:color w:val="auto"/>
          <w:sz w:val="24"/>
          <w:highlight w:val="none"/>
        </w:rPr>
        <w:t>解剖镜和显微镜对底栖动物定性样品进</w:t>
      </w:r>
      <w:r>
        <w:rPr>
          <w:rFonts w:hint="default" w:ascii="Times New Roman" w:hAnsi="Times New Roman" w:cs="Times New Roman"/>
          <w:color w:val="auto"/>
          <w:sz w:val="24"/>
          <w:highlight w:val="none"/>
          <w:lang w:val="en-US" w:eastAsia="zh-CN"/>
        </w:rPr>
        <w:t>行</w:t>
      </w:r>
      <w:r>
        <w:rPr>
          <w:rFonts w:hint="default" w:ascii="Times New Roman" w:hAnsi="Times New Roman" w:cs="Times New Roman"/>
          <w:color w:val="auto"/>
          <w:sz w:val="24"/>
          <w:highlight w:val="none"/>
        </w:rPr>
        <w:t>分类鉴定。</w:t>
      </w:r>
    </w:p>
    <w:p w14:paraId="542F5D20">
      <w:pPr>
        <w:numPr>
          <w:ilvl w:val="0"/>
          <w:numId w:val="29"/>
        </w:numPr>
        <w:bidi w:val="0"/>
        <w:rPr>
          <w:rFonts w:hint="default"/>
          <w:highlight w:val="none"/>
          <w:lang w:val="en-US" w:eastAsia="zh-CN"/>
        </w:rPr>
      </w:pPr>
      <w:r>
        <w:rPr>
          <w:rFonts w:hint="default"/>
          <w:highlight w:val="none"/>
          <w:lang w:val="en-US" w:eastAsia="zh-CN"/>
        </w:rPr>
        <w:t>鱼类</w:t>
      </w:r>
    </w:p>
    <w:p w14:paraId="14849FD6">
      <w:pPr>
        <w:numPr>
          <w:ilvl w:val="0"/>
          <w:numId w:val="30"/>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鱼类区系组成</w:t>
      </w:r>
    </w:p>
    <w:p w14:paraId="2D58ECC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综合历史文献资料，并采用现场调查和走访相结合的方法了解工程影响江段附近鱼类种类。采集的鱼类标本用福尔马林固定保存。通过对标本的分类鉴定和对资料的分析整理，最后编制出鱼类种类组成名录。</w:t>
      </w:r>
    </w:p>
    <w:p w14:paraId="275DFE93">
      <w:pPr>
        <w:numPr>
          <w:ilvl w:val="0"/>
          <w:numId w:val="30"/>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鱼类“三场”</w:t>
      </w:r>
    </w:p>
    <w:p w14:paraId="59F8F0E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走访沿河居民和当地渔业捕捞⼈员，了解不同季节鱼类主要集中地和鱼类繁殖情况，结合鱼类生物学特性和水文学特征，分析出鱼类“三场”分布情况，并通过有经验的捕捞人员进行验证。</w:t>
      </w:r>
    </w:p>
    <w:p w14:paraId="15AB9D9C">
      <w:pPr>
        <w:numPr>
          <w:ilvl w:val="0"/>
          <w:numId w:val="30"/>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业内分析</w:t>
      </w:r>
    </w:p>
    <w:p w14:paraId="3CB6810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在实验室进行资料整理，根据所取得的调查数据和文献资料进行报告编写。内业分析工作主要包括以下几个方面：</w:t>
      </w:r>
    </w:p>
    <w:p w14:paraId="5393AE13">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1）查阅有关文献资源，摸清工程影响区鱼类的本底现状；</w:t>
      </w:r>
    </w:p>
    <w:p w14:paraId="76BC0C91">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2）统计鱼类的组成，分析资源现状；</w:t>
      </w:r>
    </w:p>
    <w:p w14:paraId="71A0E1E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3）根据工程基本情况及运行特点，工程与周围环境的关系以及调查结果，综合分析本工程建设和运行对鱼类的影响程度，提出针对性措施和建议。</w:t>
      </w:r>
    </w:p>
    <w:p w14:paraId="386485AD">
      <w:pPr>
        <w:pStyle w:val="6"/>
        <w:bidi w:val="0"/>
        <w:rPr>
          <w:rFonts w:hint="default"/>
          <w:highlight w:val="none"/>
          <w:lang w:val="en-US" w:eastAsia="zh-CN"/>
        </w:rPr>
      </w:pPr>
      <w:r>
        <w:rPr>
          <w:rFonts w:hint="default"/>
          <w:highlight w:val="none"/>
          <w:lang w:val="en-US" w:eastAsia="zh-CN"/>
        </w:rPr>
        <w:t>调查结果及评价</w:t>
      </w:r>
    </w:p>
    <w:p w14:paraId="7ED8A917">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1、</w:t>
      </w:r>
      <w:r>
        <w:rPr>
          <w:rFonts w:hint="default" w:ascii="Times New Roman" w:hAnsi="Times New Roman" w:cs="Times New Roman"/>
          <w:b/>
          <w:bCs/>
          <w:highlight w:val="none"/>
        </w:rPr>
        <w:t>浮游植物</w:t>
      </w:r>
    </w:p>
    <w:p w14:paraId="6384A05E">
      <w:pPr>
        <w:bidi w:val="0"/>
        <w:rPr>
          <w:rFonts w:hint="default"/>
          <w:highlight w:val="none"/>
          <w:lang w:val="en-US" w:eastAsia="zh-CN"/>
        </w:rPr>
      </w:pPr>
      <w:r>
        <w:rPr>
          <w:rFonts w:hint="default"/>
          <w:highlight w:val="none"/>
          <w:lang w:eastAsia="zh-CN"/>
        </w:rPr>
        <w:t>（</w:t>
      </w:r>
      <w:r>
        <w:rPr>
          <w:rFonts w:hint="default"/>
          <w:highlight w:val="none"/>
          <w:lang w:val="en-US" w:eastAsia="zh-CN"/>
        </w:rPr>
        <w:t>1）种类组成及特点</w:t>
      </w:r>
    </w:p>
    <w:p w14:paraId="78635EA9">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2023年12月，在工程影响水域共观察到有到浮游植物有5门，12科，19属，35种。其中，硅藻门4科，6属，17种，占总数48.60%；绿藻门5科，8属，12种，占总数32.29%；蓝藻门1科，2属，3种，占总数8.57%；裸藻门1科，2属，2种，占总数 5.71%；甲藻门1科，1属，1种，占总数2.86%。</w:t>
      </w:r>
    </w:p>
    <w:p w14:paraId="5DDEDDDD">
      <w:pPr>
        <w:spacing w:line="360" w:lineRule="auto"/>
        <w:ind w:left="0" w:leftChars="0" w:firstLine="0" w:firstLineChars="0"/>
        <w:rPr>
          <w:rFonts w:hint="default" w:ascii="Times New Roman" w:hAnsi="Times New Roman" w:cs="Times New Roman"/>
          <w:color w:val="auto"/>
          <w:sz w:val="24"/>
          <w:highlight w:val="none"/>
          <w:lang w:val="en-US" w:eastAsia="zh-CN"/>
        </w:rPr>
        <w:sectPr>
          <w:headerReference r:id="rId9" w:type="default"/>
          <w:footerReference r:id="rId10" w:type="default"/>
          <w:pgSz w:w="11906" w:h="16838"/>
          <w:pgMar w:top="1440" w:right="1800" w:bottom="1440" w:left="1800" w:header="851" w:footer="992" w:gutter="0"/>
          <w:pgNumType w:fmt="decimal"/>
          <w:cols w:space="425" w:num="1"/>
          <w:docGrid w:type="lines" w:linePitch="312" w:charSpace="0"/>
        </w:sectPr>
      </w:pPr>
    </w:p>
    <w:p w14:paraId="13516686">
      <w:pPr>
        <w:pStyle w:val="11"/>
        <w:spacing w:line="360" w:lineRule="auto"/>
        <w:ind w:left="0" w:leftChars="0" w:firstLine="0" w:firstLineChars="0"/>
        <w:rPr>
          <w:rFonts w:hint="default" w:ascii="Times New Roman" w:hAnsi="Times New Roman" w:eastAsia="黑体" w:cs="Times New Roman"/>
          <w:color w:val="auto"/>
          <w:sz w:val="24"/>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45</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工程影响水域浮游藻类名录</w:t>
      </w:r>
    </w:p>
    <w:tbl>
      <w:tblPr>
        <w:tblStyle w:val="24"/>
        <w:tblW w:w="13453"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0"/>
        <w:gridCol w:w="1857"/>
        <w:gridCol w:w="1910"/>
        <w:gridCol w:w="2357"/>
        <w:gridCol w:w="534"/>
        <w:gridCol w:w="534"/>
        <w:gridCol w:w="535"/>
        <w:gridCol w:w="534"/>
        <w:gridCol w:w="534"/>
        <w:gridCol w:w="534"/>
        <w:gridCol w:w="534"/>
        <w:gridCol w:w="535"/>
        <w:gridCol w:w="535"/>
        <w:gridCol w:w="535"/>
        <w:gridCol w:w="535"/>
        <w:gridCol w:w="540"/>
      </w:tblGrid>
      <w:tr w14:paraId="44076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restart"/>
            <w:vAlign w:val="center"/>
          </w:tcPr>
          <w:p w14:paraId="46C9E500">
            <w:pPr>
              <w:pStyle w:val="22"/>
              <w:bidi w:val="0"/>
              <w:jc w:val="center"/>
              <w:rPr>
                <w:rFonts w:hint="eastAsia" w:ascii="Times New Roman" w:hAnsi="Times New Roman" w:cs="Times New Roman" w:eastAsiaTheme="minorEastAsia"/>
                <w:highlight w:val="none"/>
                <w:lang w:eastAsia="zh-CN"/>
              </w:rPr>
            </w:pPr>
            <w:r>
              <w:rPr>
                <w:rFonts w:hint="eastAsia" w:cs="Times New Roman"/>
                <w:highlight w:val="none"/>
                <w:lang w:eastAsia="zh-CN"/>
              </w:rPr>
              <w:t>门</w:t>
            </w:r>
          </w:p>
        </w:tc>
        <w:tc>
          <w:tcPr>
            <w:tcW w:w="1857" w:type="dxa"/>
            <w:vMerge w:val="restart"/>
            <w:vAlign w:val="center"/>
          </w:tcPr>
          <w:p w14:paraId="12C950E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科</w:t>
            </w:r>
          </w:p>
        </w:tc>
        <w:tc>
          <w:tcPr>
            <w:tcW w:w="1910" w:type="dxa"/>
            <w:vMerge w:val="restart"/>
            <w:vAlign w:val="center"/>
          </w:tcPr>
          <w:p w14:paraId="756C72A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属</w:t>
            </w:r>
          </w:p>
        </w:tc>
        <w:tc>
          <w:tcPr>
            <w:tcW w:w="2357" w:type="dxa"/>
            <w:vMerge w:val="restart"/>
            <w:vAlign w:val="center"/>
          </w:tcPr>
          <w:p w14:paraId="106FEF1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种类</w:t>
            </w:r>
          </w:p>
        </w:tc>
        <w:tc>
          <w:tcPr>
            <w:tcW w:w="3205" w:type="dxa"/>
            <w:gridSpan w:val="6"/>
            <w:vAlign w:val="center"/>
          </w:tcPr>
          <w:p w14:paraId="3E9CC923">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2023年12</w:t>
            </w:r>
            <w:r>
              <w:rPr>
                <w:rFonts w:hint="eastAsia" w:cs="Times New Roman"/>
                <w:highlight w:val="none"/>
                <w:lang w:eastAsia="zh-CN"/>
              </w:rPr>
              <w:t>月</w:t>
            </w:r>
          </w:p>
        </w:tc>
        <w:tc>
          <w:tcPr>
            <w:tcW w:w="3214" w:type="dxa"/>
            <w:gridSpan w:val="6"/>
            <w:vAlign w:val="center"/>
          </w:tcPr>
          <w:p w14:paraId="16FB81FA">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2024 年3</w:t>
            </w:r>
            <w:r>
              <w:rPr>
                <w:rFonts w:hint="eastAsia" w:cs="Times New Roman"/>
                <w:highlight w:val="none"/>
                <w:lang w:eastAsia="zh-CN"/>
              </w:rPr>
              <w:t>月</w:t>
            </w:r>
          </w:p>
        </w:tc>
      </w:tr>
      <w:tr w14:paraId="7761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578FA7E5">
            <w:pPr>
              <w:pStyle w:val="22"/>
              <w:bidi w:val="0"/>
              <w:jc w:val="center"/>
              <w:rPr>
                <w:rFonts w:hint="default" w:ascii="Times New Roman" w:hAnsi="Times New Roman" w:cs="Times New Roman"/>
                <w:highlight w:val="none"/>
              </w:rPr>
            </w:pPr>
          </w:p>
        </w:tc>
        <w:tc>
          <w:tcPr>
            <w:tcW w:w="1857" w:type="dxa"/>
            <w:vMerge w:val="continue"/>
            <w:vAlign w:val="center"/>
          </w:tcPr>
          <w:p w14:paraId="268A46C1">
            <w:pPr>
              <w:pStyle w:val="22"/>
              <w:bidi w:val="0"/>
              <w:jc w:val="center"/>
              <w:rPr>
                <w:rFonts w:hint="default" w:ascii="Times New Roman" w:hAnsi="Times New Roman" w:cs="Times New Roman"/>
                <w:highlight w:val="none"/>
              </w:rPr>
            </w:pPr>
          </w:p>
        </w:tc>
        <w:tc>
          <w:tcPr>
            <w:tcW w:w="1910" w:type="dxa"/>
            <w:vMerge w:val="continue"/>
            <w:vAlign w:val="center"/>
          </w:tcPr>
          <w:p w14:paraId="6ACDF45E">
            <w:pPr>
              <w:pStyle w:val="22"/>
              <w:bidi w:val="0"/>
              <w:jc w:val="center"/>
              <w:rPr>
                <w:rFonts w:hint="default" w:ascii="Times New Roman" w:hAnsi="Times New Roman" w:cs="Times New Roman"/>
                <w:highlight w:val="none"/>
              </w:rPr>
            </w:pPr>
          </w:p>
        </w:tc>
        <w:tc>
          <w:tcPr>
            <w:tcW w:w="2357" w:type="dxa"/>
            <w:vMerge w:val="continue"/>
            <w:vAlign w:val="center"/>
          </w:tcPr>
          <w:p w14:paraId="3C22ED08">
            <w:pPr>
              <w:pStyle w:val="22"/>
              <w:bidi w:val="0"/>
              <w:jc w:val="center"/>
              <w:rPr>
                <w:rFonts w:hint="default" w:ascii="Times New Roman" w:hAnsi="Times New Roman" w:cs="Times New Roman"/>
                <w:highlight w:val="none"/>
              </w:rPr>
            </w:pPr>
          </w:p>
        </w:tc>
        <w:tc>
          <w:tcPr>
            <w:tcW w:w="534" w:type="dxa"/>
            <w:vAlign w:val="center"/>
          </w:tcPr>
          <w:p w14:paraId="3FE146B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样点1</w:t>
            </w:r>
          </w:p>
        </w:tc>
        <w:tc>
          <w:tcPr>
            <w:tcW w:w="534" w:type="dxa"/>
            <w:vAlign w:val="center"/>
          </w:tcPr>
          <w:p w14:paraId="1728F75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样点2</w:t>
            </w:r>
          </w:p>
        </w:tc>
        <w:tc>
          <w:tcPr>
            <w:tcW w:w="535" w:type="dxa"/>
            <w:vAlign w:val="center"/>
          </w:tcPr>
          <w:p w14:paraId="210615E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样点3</w:t>
            </w:r>
          </w:p>
        </w:tc>
        <w:tc>
          <w:tcPr>
            <w:tcW w:w="534" w:type="dxa"/>
            <w:vAlign w:val="center"/>
          </w:tcPr>
          <w:p w14:paraId="1C14B62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样点4</w:t>
            </w:r>
          </w:p>
        </w:tc>
        <w:tc>
          <w:tcPr>
            <w:tcW w:w="534" w:type="dxa"/>
            <w:vAlign w:val="center"/>
          </w:tcPr>
          <w:p w14:paraId="682068D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样点5</w:t>
            </w:r>
          </w:p>
        </w:tc>
        <w:tc>
          <w:tcPr>
            <w:tcW w:w="534" w:type="dxa"/>
            <w:vAlign w:val="center"/>
          </w:tcPr>
          <w:p w14:paraId="681CC44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样点6</w:t>
            </w:r>
          </w:p>
        </w:tc>
        <w:tc>
          <w:tcPr>
            <w:tcW w:w="534" w:type="dxa"/>
            <w:vAlign w:val="center"/>
          </w:tcPr>
          <w:p w14:paraId="08F8612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样点1</w:t>
            </w:r>
          </w:p>
        </w:tc>
        <w:tc>
          <w:tcPr>
            <w:tcW w:w="535" w:type="dxa"/>
            <w:vAlign w:val="center"/>
          </w:tcPr>
          <w:p w14:paraId="03707FA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样点2</w:t>
            </w:r>
          </w:p>
        </w:tc>
        <w:tc>
          <w:tcPr>
            <w:tcW w:w="535" w:type="dxa"/>
            <w:vAlign w:val="center"/>
          </w:tcPr>
          <w:p w14:paraId="18E1209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样点3</w:t>
            </w:r>
          </w:p>
        </w:tc>
        <w:tc>
          <w:tcPr>
            <w:tcW w:w="535" w:type="dxa"/>
            <w:vAlign w:val="center"/>
          </w:tcPr>
          <w:p w14:paraId="440983F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样点4</w:t>
            </w:r>
          </w:p>
        </w:tc>
        <w:tc>
          <w:tcPr>
            <w:tcW w:w="535" w:type="dxa"/>
            <w:vAlign w:val="center"/>
          </w:tcPr>
          <w:p w14:paraId="2C564C5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 点 5</w:t>
            </w:r>
          </w:p>
        </w:tc>
        <w:tc>
          <w:tcPr>
            <w:tcW w:w="540" w:type="dxa"/>
            <w:vAlign w:val="center"/>
          </w:tcPr>
          <w:p w14:paraId="1C31954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样点6</w:t>
            </w:r>
          </w:p>
        </w:tc>
      </w:tr>
      <w:tr w14:paraId="1BFA5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restart"/>
            <w:vAlign w:val="center"/>
          </w:tcPr>
          <w:p w14:paraId="574BDF50">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1.硅藻</w:t>
            </w:r>
            <w:r>
              <w:rPr>
                <w:rFonts w:hint="eastAsia" w:cs="Times New Roman"/>
                <w:highlight w:val="none"/>
                <w:lang w:eastAsia="zh-CN"/>
              </w:rPr>
              <w:t>门</w:t>
            </w:r>
          </w:p>
        </w:tc>
        <w:tc>
          <w:tcPr>
            <w:tcW w:w="1857" w:type="dxa"/>
            <w:vMerge w:val="restart"/>
            <w:vAlign w:val="center"/>
          </w:tcPr>
          <w:p w14:paraId="0476B9C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1.脆杆藻科</w:t>
            </w:r>
            <w:r>
              <w:rPr>
                <w:rFonts w:hint="default" w:ascii="Times New Roman" w:hAnsi="Times New Roman" w:cs="Times New Roman"/>
                <w:i/>
                <w:iCs w:val="0"/>
                <w:highlight w:val="none"/>
              </w:rPr>
              <w:t>Fragilariaceae</w:t>
            </w:r>
          </w:p>
        </w:tc>
        <w:tc>
          <w:tcPr>
            <w:tcW w:w="1910" w:type="dxa"/>
            <w:vMerge w:val="restart"/>
            <w:vAlign w:val="center"/>
          </w:tcPr>
          <w:p w14:paraId="72E7642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1.等片藻属</w:t>
            </w:r>
          </w:p>
          <w:p w14:paraId="0117B15B">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Diatoma</w:t>
            </w:r>
          </w:p>
        </w:tc>
        <w:tc>
          <w:tcPr>
            <w:tcW w:w="2357" w:type="dxa"/>
            <w:vAlign w:val="center"/>
          </w:tcPr>
          <w:p w14:paraId="1557C577">
            <w:pPr>
              <w:pStyle w:val="22"/>
              <w:numPr>
                <w:ilvl w:val="0"/>
                <w:numId w:val="31"/>
              </w:numPr>
              <w:bidi w:val="0"/>
              <w:jc w:val="center"/>
              <w:rPr>
                <w:rFonts w:hint="default" w:ascii="Times New Roman" w:hAnsi="Times New Roman" w:cs="Times New Roman"/>
                <w:highlight w:val="none"/>
              </w:rPr>
            </w:pPr>
            <w:r>
              <w:rPr>
                <w:rFonts w:hint="default" w:ascii="Times New Roman" w:hAnsi="Times New Roman" w:cs="Times New Roman"/>
                <w:highlight w:val="none"/>
              </w:rPr>
              <w:t>长等片藻</w:t>
            </w:r>
          </w:p>
          <w:p w14:paraId="04C8E024">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Diatoma elongatum</w:t>
            </w:r>
          </w:p>
        </w:tc>
        <w:tc>
          <w:tcPr>
            <w:tcW w:w="534" w:type="dxa"/>
            <w:vAlign w:val="center"/>
          </w:tcPr>
          <w:p w14:paraId="131857D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73B84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60B5837">
            <w:pPr>
              <w:pStyle w:val="22"/>
              <w:bidi w:val="0"/>
              <w:jc w:val="center"/>
              <w:rPr>
                <w:rFonts w:hint="default" w:ascii="Times New Roman" w:hAnsi="Times New Roman" w:cs="Times New Roman"/>
                <w:highlight w:val="none"/>
              </w:rPr>
            </w:pPr>
          </w:p>
        </w:tc>
        <w:tc>
          <w:tcPr>
            <w:tcW w:w="534" w:type="dxa"/>
            <w:vAlign w:val="center"/>
          </w:tcPr>
          <w:p w14:paraId="040393F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46044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4359FBE">
            <w:pPr>
              <w:pStyle w:val="22"/>
              <w:bidi w:val="0"/>
              <w:jc w:val="center"/>
              <w:rPr>
                <w:rFonts w:hint="default" w:ascii="Times New Roman" w:hAnsi="Times New Roman" w:cs="Times New Roman"/>
                <w:highlight w:val="none"/>
              </w:rPr>
            </w:pPr>
          </w:p>
        </w:tc>
        <w:tc>
          <w:tcPr>
            <w:tcW w:w="534" w:type="dxa"/>
            <w:vAlign w:val="center"/>
          </w:tcPr>
          <w:p w14:paraId="0140E7D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87BE9F7">
            <w:pPr>
              <w:pStyle w:val="22"/>
              <w:bidi w:val="0"/>
              <w:jc w:val="center"/>
              <w:rPr>
                <w:rFonts w:hint="default" w:ascii="Times New Roman" w:hAnsi="Times New Roman" w:cs="Times New Roman"/>
                <w:highlight w:val="none"/>
              </w:rPr>
            </w:pPr>
          </w:p>
        </w:tc>
        <w:tc>
          <w:tcPr>
            <w:tcW w:w="535" w:type="dxa"/>
            <w:vAlign w:val="center"/>
          </w:tcPr>
          <w:p w14:paraId="24C4F72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AD8EFFE">
            <w:pPr>
              <w:pStyle w:val="22"/>
              <w:bidi w:val="0"/>
              <w:jc w:val="center"/>
              <w:rPr>
                <w:rFonts w:hint="default" w:ascii="Times New Roman" w:hAnsi="Times New Roman" w:cs="Times New Roman"/>
                <w:highlight w:val="none"/>
              </w:rPr>
            </w:pPr>
          </w:p>
        </w:tc>
        <w:tc>
          <w:tcPr>
            <w:tcW w:w="535" w:type="dxa"/>
            <w:vAlign w:val="center"/>
          </w:tcPr>
          <w:p w14:paraId="78B6A8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1D20D691">
            <w:pPr>
              <w:pStyle w:val="22"/>
              <w:bidi w:val="0"/>
              <w:jc w:val="center"/>
              <w:rPr>
                <w:rFonts w:hint="default" w:ascii="Times New Roman" w:hAnsi="Times New Roman" w:cs="Times New Roman"/>
                <w:highlight w:val="none"/>
              </w:rPr>
            </w:pPr>
          </w:p>
        </w:tc>
      </w:tr>
      <w:tr w14:paraId="18A1F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0DBFF756">
            <w:pPr>
              <w:pStyle w:val="22"/>
              <w:bidi w:val="0"/>
              <w:jc w:val="center"/>
              <w:rPr>
                <w:rFonts w:hint="default" w:ascii="Times New Roman" w:hAnsi="Times New Roman" w:cs="Times New Roman"/>
                <w:highlight w:val="none"/>
              </w:rPr>
            </w:pPr>
          </w:p>
        </w:tc>
        <w:tc>
          <w:tcPr>
            <w:tcW w:w="1857" w:type="dxa"/>
            <w:vMerge w:val="continue"/>
            <w:vAlign w:val="center"/>
          </w:tcPr>
          <w:p w14:paraId="2DE4993A">
            <w:pPr>
              <w:pStyle w:val="22"/>
              <w:bidi w:val="0"/>
              <w:jc w:val="center"/>
              <w:rPr>
                <w:rFonts w:hint="default" w:ascii="Times New Roman" w:hAnsi="Times New Roman" w:cs="Times New Roman"/>
                <w:highlight w:val="none"/>
              </w:rPr>
            </w:pPr>
          </w:p>
        </w:tc>
        <w:tc>
          <w:tcPr>
            <w:tcW w:w="1910" w:type="dxa"/>
            <w:vMerge w:val="continue"/>
            <w:vAlign w:val="center"/>
          </w:tcPr>
          <w:p w14:paraId="370BBF40">
            <w:pPr>
              <w:pStyle w:val="22"/>
              <w:bidi w:val="0"/>
              <w:jc w:val="center"/>
              <w:rPr>
                <w:rFonts w:hint="default" w:ascii="Times New Roman" w:hAnsi="Times New Roman" w:cs="Times New Roman"/>
                <w:highlight w:val="none"/>
              </w:rPr>
            </w:pPr>
          </w:p>
        </w:tc>
        <w:tc>
          <w:tcPr>
            <w:tcW w:w="2357" w:type="dxa"/>
            <w:vAlign w:val="center"/>
          </w:tcPr>
          <w:p w14:paraId="06DD8BFE">
            <w:pPr>
              <w:pStyle w:val="22"/>
              <w:numPr>
                <w:ilvl w:val="0"/>
                <w:numId w:val="32"/>
              </w:numPr>
              <w:bidi w:val="0"/>
              <w:jc w:val="center"/>
              <w:rPr>
                <w:rFonts w:hint="default" w:ascii="Times New Roman" w:hAnsi="Times New Roman" w:cs="Times New Roman"/>
                <w:highlight w:val="none"/>
              </w:rPr>
            </w:pPr>
            <w:r>
              <w:rPr>
                <w:rFonts w:hint="default" w:ascii="Times New Roman" w:hAnsi="Times New Roman" w:cs="Times New Roman"/>
                <w:highlight w:val="none"/>
              </w:rPr>
              <w:t>普通等片藻</w:t>
            </w:r>
          </w:p>
          <w:p w14:paraId="6084EBF8">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Diatoma vulgare</w:t>
            </w:r>
          </w:p>
        </w:tc>
        <w:tc>
          <w:tcPr>
            <w:tcW w:w="534" w:type="dxa"/>
            <w:vAlign w:val="center"/>
          </w:tcPr>
          <w:p w14:paraId="7AC2A6B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08E2F17">
            <w:pPr>
              <w:pStyle w:val="22"/>
              <w:bidi w:val="0"/>
              <w:jc w:val="center"/>
              <w:rPr>
                <w:rFonts w:hint="default" w:ascii="Times New Roman" w:hAnsi="Times New Roman" w:cs="Times New Roman"/>
                <w:highlight w:val="none"/>
              </w:rPr>
            </w:pPr>
          </w:p>
        </w:tc>
        <w:tc>
          <w:tcPr>
            <w:tcW w:w="535" w:type="dxa"/>
            <w:vAlign w:val="center"/>
          </w:tcPr>
          <w:p w14:paraId="75835D2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42D9AA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F6225E0">
            <w:pPr>
              <w:pStyle w:val="22"/>
              <w:bidi w:val="0"/>
              <w:jc w:val="center"/>
              <w:rPr>
                <w:rFonts w:hint="default" w:ascii="Times New Roman" w:hAnsi="Times New Roman" w:cs="Times New Roman"/>
                <w:highlight w:val="none"/>
              </w:rPr>
            </w:pPr>
          </w:p>
        </w:tc>
        <w:tc>
          <w:tcPr>
            <w:tcW w:w="534" w:type="dxa"/>
            <w:vAlign w:val="center"/>
          </w:tcPr>
          <w:p w14:paraId="2FEF2AF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5909D3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064934E">
            <w:pPr>
              <w:pStyle w:val="22"/>
              <w:bidi w:val="0"/>
              <w:jc w:val="center"/>
              <w:rPr>
                <w:rFonts w:hint="default" w:ascii="Times New Roman" w:hAnsi="Times New Roman" w:cs="Times New Roman"/>
                <w:highlight w:val="none"/>
              </w:rPr>
            </w:pPr>
          </w:p>
        </w:tc>
        <w:tc>
          <w:tcPr>
            <w:tcW w:w="535" w:type="dxa"/>
            <w:vAlign w:val="center"/>
          </w:tcPr>
          <w:p w14:paraId="38FE32A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117AAE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14D7D23">
            <w:pPr>
              <w:pStyle w:val="22"/>
              <w:bidi w:val="0"/>
              <w:jc w:val="center"/>
              <w:rPr>
                <w:rFonts w:hint="default" w:ascii="Times New Roman" w:hAnsi="Times New Roman" w:cs="Times New Roman"/>
                <w:highlight w:val="none"/>
              </w:rPr>
            </w:pPr>
          </w:p>
        </w:tc>
        <w:tc>
          <w:tcPr>
            <w:tcW w:w="540" w:type="dxa"/>
            <w:vAlign w:val="center"/>
          </w:tcPr>
          <w:p w14:paraId="4DD60C1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1F5FF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6246CF4E">
            <w:pPr>
              <w:pStyle w:val="22"/>
              <w:bidi w:val="0"/>
              <w:jc w:val="center"/>
              <w:rPr>
                <w:rFonts w:hint="default" w:ascii="Times New Roman" w:hAnsi="Times New Roman" w:cs="Times New Roman"/>
                <w:highlight w:val="none"/>
              </w:rPr>
            </w:pPr>
          </w:p>
        </w:tc>
        <w:tc>
          <w:tcPr>
            <w:tcW w:w="1857" w:type="dxa"/>
            <w:vMerge w:val="continue"/>
            <w:vAlign w:val="center"/>
          </w:tcPr>
          <w:p w14:paraId="308D51DD">
            <w:pPr>
              <w:pStyle w:val="22"/>
              <w:bidi w:val="0"/>
              <w:jc w:val="center"/>
              <w:rPr>
                <w:rFonts w:hint="default" w:ascii="Times New Roman" w:hAnsi="Times New Roman" w:cs="Times New Roman"/>
                <w:highlight w:val="none"/>
              </w:rPr>
            </w:pPr>
          </w:p>
        </w:tc>
        <w:tc>
          <w:tcPr>
            <w:tcW w:w="1910" w:type="dxa"/>
            <w:vMerge w:val="restart"/>
            <w:vAlign w:val="center"/>
          </w:tcPr>
          <w:p w14:paraId="4628087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2.蛾眉藻属</w:t>
            </w:r>
            <w:r>
              <w:rPr>
                <w:rFonts w:hint="default" w:ascii="Times New Roman" w:hAnsi="Times New Roman" w:cs="Times New Roman"/>
                <w:i/>
                <w:iCs w:val="0"/>
                <w:highlight w:val="none"/>
              </w:rPr>
              <w:t>Ceratoneis</w:t>
            </w:r>
          </w:p>
        </w:tc>
        <w:tc>
          <w:tcPr>
            <w:tcW w:w="2357" w:type="dxa"/>
            <w:vAlign w:val="center"/>
          </w:tcPr>
          <w:p w14:paraId="1B84EF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3.弧形娥眉藻</w:t>
            </w:r>
          </w:p>
          <w:p w14:paraId="484358AB">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Fragilaria capucina</w:t>
            </w:r>
          </w:p>
        </w:tc>
        <w:tc>
          <w:tcPr>
            <w:tcW w:w="534" w:type="dxa"/>
            <w:vAlign w:val="center"/>
          </w:tcPr>
          <w:p w14:paraId="4742B0BF">
            <w:pPr>
              <w:pStyle w:val="22"/>
              <w:bidi w:val="0"/>
              <w:jc w:val="center"/>
              <w:rPr>
                <w:rFonts w:hint="default" w:ascii="Times New Roman" w:hAnsi="Times New Roman" w:cs="Times New Roman"/>
                <w:highlight w:val="none"/>
              </w:rPr>
            </w:pPr>
          </w:p>
        </w:tc>
        <w:tc>
          <w:tcPr>
            <w:tcW w:w="534" w:type="dxa"/>
            <w:vAlign w:val="center"/>
          </w:tcPr>
          <w:p w14:paraId="217DF53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34192796">
            <w:pPr>
              <w:pStyle w:val="22"/>
              <w:bidi w:val="0"/>
              <w:jc w:val="center"/>
              <w:rPr>
                <w:rFonts w:hint="default" w:ascii="Times New Roman" w:hAnsi="Times New Roman" w:cs="Times New Roman"/>
                <w:highlight w:val="none"/>
              </w:rPr>
            </w:pPr>
          </w:p>
        </w:tc>
        <w:tc>
          <w:tcPr>
            <w:tcW w:w="534" w:type="dxa"/>
            <w:vAlign w:val="center"/>
          </w:tcPr>
          <w:p w14:paraId="62A8D262">
            <w:pPr>
              <w:pStyle w:val="22"/>
              <w:bidi w:val="0"/>
              <w:jc w:val="center"/>
              <w:rPr>
                <w:rFonts w:hint="default" w:ascii="Times New Roman" w:hAnsi="Times New Roman" w:cs="Times New Roman"/>
                <w:highlight w:val="none"/>
              </w:rPr>
            </w:pPr>
          </w:p>
        </w:tc>
        <w:tc>
          <w:tcPr>
            <w:tcW w:w="534" w:type="dxa"/>
            <w:vAlign w:val="center"/>
          </w:tcPr>
          <w:p w14:paraId="3FF4A54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8BA2974">
            <w:pPr>
              <w:pStyle w:val="22"/>
              <w:bidi w:val="0"/>
              <w:jc w:val="center"/>
              <w:rPr>
                <w:rFonts w:hint="default" w:ascii="Times New Roman" w:hAnsi="Times New Roman" w:cs="Times New Roman"/>
                <w:highlight w:val="none"/>
              </w:rPr>
            </w:pPr>
          </w:p>
        </w:tc>
        <w:tc>
          <w:tcPr>
            <w:tcW w:w="534" w:type="dxa"/>
            <w:vAlign w:val="center"/>
          </w:tcPr>
          <w:p w14:paraId="1B4BCD89">
            <w:pPr>
              <w:pStyle w:val="22"/>
              <w:bidi w:val="0"/>
              <w:jc w:val="center"/>
              <w:rPr>
                <w:rFonts w:hint="default" w:ascii="Times New Roman" w:hAnsi="Times New Roman" w:cs="Times New Roman"/>
                <w:highlight w:val="none"/>
              </w:rPr>
            </w:pPr>
          </w:p>
        </w:tc>
        <w:tc>
          <w:tcPr>
            <w:tcW w:w="535" w:type="dxa"/>
            <w:vAlign w:val="center"/>
          </w:tcPr>
          <w:p w14:paraId="794415E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D837345">
            <w:pPr>
              <w:pStyle w:val="22"/>
              <w:bidi w:val="0"/>
              <w:jc w:val="center"/>
              <w:rPr>
                <w:rFonts w:hint="default" w:ascii="Times New Roman" w:hAnsi="Times New Roman" w:cs="Times New Roman"/>
                <w:highlight w:val="none"/>
              </w:rPr>
            </w:pPr>
          </w:p>
        </w:tc>
        <w:tc>
          <w:tcPr>
            <w:tcW w:w="535" w:type="dxa"/>
            <w:vAlign w:val="center"/>
          </w:tcPr>
          <w:p w14:paraId="1FEF179C">
            <w:pPr>
              <w:pStyle w:val="22"/>
              <w:bidi w:val="0"/>
              <w:jc w:val="center"/>
              <w:rPr>
                <w:rFonts w:hint="default" w:ascii="Times New Roman" w:hAnsi="Times New Roman" w:cs="Times New Roman"/>
                <w:highlight w:val="none"/>
              </w:rPr>
            </w:pPr>
          </w:p>
        </w:tc>
        <w:tc>
          <w:tcPr>
            <w:tcW w:w="535" w:type="dxa"/>
            <w:vAlign w:val="center"/>
          </w:tcPr>
          <w:p w14:paraId="5F85543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58701AE4">
            <w:pPr>
              <w:pStyle w:val="22"/>
              <w:bidi w:val="0"/>
              <w:jc w:val="center"/>
              <w:rPr>
                <w:rFonts w:hint="default" w:ascii="Times New Roman" w:hAnsi="Times New Roman" w:cs="Times New Roman"/>
                <w:highlight w:val="none"/>
              </w:rPr>
            </w:pPr>
          </w:p>
        </w:tc>
      </w:tr>
      <w:tr w14:paraId="40FF0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7DDA7A35">
            <w:pPr>
              <w:pStyle w:val="22"/>
              <w:bidi w:val="0"/>
              <w:jc w:val="center"/>
              <w:rPr>
                <w:rFonts w:hint="default" w:ascii="Times New Roman" w:hAnsi="Times New Roman" w:cs="Times New Roman"/>
                <w:highlight w:val="none"/>
              </w:rPr>
            </w:pPr>
          </w:p>
        </w:tc>
        <w:tc>
          <w:tcPr>
            <w:tcW w:w="1857" w:type="dxa"/>
            <w:vMerge w:val="continue"/>
            <w:vAlign w:val="center"/>
          </w:tcPr>
          <w:p w14:paraId="50B6F3D8">
            <w:pPr>
              <w:pStyle w:val="22"/>
              <w:bidi w:val="0"/>
              <w:jc w:val="center"/>
              <w:rPr>
                <w:rFonts w:hint="default" w:ascii="Times New Roman" w:hAnsi="Times New Roman" w:cs="Times New Roman"/>
                <w:highlight w:val="none"/>
              </w:rPr>
            </w:pPr>
          </w:p>
        </w:tc>
        <w:tc>
          <w:tcPr>
            <w:tcW w:w="1910" w:type="dxa"/>
            <w:vMerge w:val="continue"/>
            <w:vAlign w:val="center"/>
          </w:tcPr>
          <w:p w14:paraId="5AECDAF5">
            <w:pPr>
              <w:pStyle w:val="22"/>
              <w:bidi w:val="0"/>
              <w:jc w:val="center"/>
              <w:rPr>
                <w:rFonts w:hint="default" w:ascii="Times New Roman" w:hAnsi="Times New Roman" w:cs="Times New Roman"/>
                <w:highlight w:val="none"/>
              </w:rPr>
            </w:pPr>
          </w:p>
        </w:tc>
        <w:tc>
          <w:tcPr>
            <w:tcW w:w="2357" w:type="dxa"/>
            <w:vAlign w:val="center"/>
          </w:tcPr>
          <w:p w14:paraId="0506893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4.弧形蛾眉藻双尖变种</w:t>
            </w:r>
            <w:r>
              <w:rPr>
                <w:rFonts w:hint="default" w:ascii="Times New Roman" w:hAnsi="Times New Roman" w:cs="Times New Roman"/>
                <w:i/>
                <w:iCs w:val="0"/>
                <w:highlight w:val="none"/>
              </w:rPr>
              <w:t>Ceratoneis arcus var.</w:t>
            </w:r>
          </w:p>
        </w:tc>
        <w:tc>
          <w:tcPr>
            <w:tcW w:w="534" w:type="dxa"/>
            <w:vAlign w:val="center"/>
          </w:tcPr>
          <w:p w14:paraId="6C22849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33065FC5">
            <w:pPr>
              <w:pStyle w:val="22"/>
              <w:bidi w:val="0"/>
              <w:jc w:val="center"/>
              <w:rPr>
                <w:rFonts w:hint="default" w:ascii="Times New Roman" w:hAnsi="Times New Roman" w:cs="Times New Roman"/>
                <w:highlight w:val="none"/>
              </w:rPr>
            </w:pPr>
          </w:p>
        </w:tc>
        <w:tc>
          <w:tcPr>
            <w:tcW w:w="535" w:type="dxa"/>
            <w:vAlign w:val="center"/>
          </w:tcPr>
          <w:p w14:paraId="4239320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B2447C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EDF94E0">
            <w:pPr>
              <w:pStyle w:val="22"/>
              <w:bidi w:val="0"/>
              <w:jc w:val="center"/>
              <w:rPr>
                <w:rFonts w:hint="default" w:ascii="Times New Roman" w:hAnsi="Times New Roman" w:cs="Times New Roman"/>
                <w:highlight w:val="none"/>
              </w:rPr>
            </w:pPr>
          </w:p>
        </w:tc>
        <w:tc>
          <w:tcPr>
            <w:tcW w:w="534" w:type="dxa"/>
            <w:vAlign w:val="center"/>
          </w:tcPr>
          <w:p w14:paraId="134EA3D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17FF3D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3DA6F7DF">
            <w:pPr>
              <w:pStyle w:val="22"/>
              <w:bidi w:val="0"/>
              <w:jc w:val="center"/>
              <w:rPr>
                <w:rFonts w:hint="default" w:ascii="Times New Roman" w:hAnsi="Times New Roman" w:cs="Times New Roman"/>
                <w:highlight w:val="none"/>
              </w:rPr>
            </w:pPr>
          </w:p>
        </w:tc>
        <w:tc>
          <w:tcPr>
            <w:tcW w:w="535" w:type="dxa"/>
            <w:vAlign w:val="center"/>
          </w:tcPr>
          <w:p w14:paraId="240C48E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EC752A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819A0F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67D1E18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12B73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3B48F7ED">
            <w:pPr>
              <w:pStyle w:val="22"/>
              <w:bidi w:val="0"/>
              <w:jc w:val="center"/>
              <w:rPr>
                <w:rFonts w:hint="default" w:ascii="Times New Roman" w:hAnsi="Times New Roman" w:cs="Times New Roman"/>
                <w:highlight w:val="none"/>
              </w:rPr>
            </w:pPr>
          </w:p>
        </w:tc>
        <w:tc>
          <w:tcPr>
            <w:tcW w:w="1857" w:type="dxa"/>
            <w:vMerge w:val="continue"/>
            <w:vAlign w:val="center"/>
          </w:tcPr>
          <w:p w14:paraId="59900099">
            <w:pPr>
              <w:pStyle w:val="22"/>
              <w:bidi w:val="0"/>
              <w:jc w:val="center"/>
              <w:rPr>
                <w:rFonts w:hint="default" w:ascii="Times New Roman" w:hAnsi="Times New Roman" w:cs="Times New Roman"/>
                <w:highlight w:val="none"/>
              </w:rPr>
            </w:pPr>
          </w:p>
        </w:tc>
        <w:tc>
          <w:tcPr>
            <w:tcW w:w="1910" w:type="dxa"/>
            <w:vMerge w:val="continue"/>
            <w:vAlign w:val="center"/>
          </w:tcPr>
          <w:p w14:paraId="566BC27B">
            <w:pPr>
              <w:pStyle w:val="22"/>
              <w:bidi w:val="0"/>
              <w:jc w:val="center"/>
              <w:rPr>
                <w:rFonts w:hint="default" w:ascii="Times New Roman" w:hAnsi="Times New Roman" w:cs="Times New Roman"/>
                <w:highlight w:val="none"/>
              </w:rPr>
            </w:pPr>
          </w:p>
        </w:tc>
        <w:tc>
          <w:tcPr>
            <w:tcW w:w="2357" w:type="dxa"/>
            <w:vAlign w:val="center"/>
          </w:tcPr>
          <w:p w14:paraId="6D97099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5.弧形蛾眉藻直变种</w:t>
            </w:r>
          </w:p>
          <w:p w14:paraId="132C8061">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Ceratoneis arcus var.</w:t>
            </w:r>
          </w:p>
        </w:tc>
        <w:tc>
          <w:tcPr>
            <w:tcW w:w="534" w:type="dxa"/>
            <w:vAlign w:val="center"/>
          </w:tcPr>
          <w:p w14:paraId="174C31CD">
            <w:pPr>
              <w:pStyle w:val="22"/>
              <w:bidi w:val="0"/>
              <w:jc w:val="center"/>
              <w:rPr>
                <w:rFonts w:hint="default" w:ascii="Times New Roman" w:hAnsi="Times New Roman" w:cs="Times New Roman"/>
                <w:highlight w:val="none"/>
              </w:rPr>
            </w:pPr>
          </w:p>
        </w:tc>
        <w:tc>
          <w:tcPr>
            <w:tcW w:w="534" w:type="dxa"/>
            <w:vAlign w:val="center"/>
          </w:tcPr>
          <w:p w14:paraId="4FFD6D3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6CF644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A1A10A9">
            <w:pPr>
              <w:pStyle w:val="22"/>
              <w:bidi w:val="0"/>
              <w:jc w:val="center"/>
              <w:rPr>
                <w:rFonts w:hint="default" w:ascii="Times New Roman" w:hAnsi="Times New Roman" w:cs="Times New Roman"/>
                <w:highlight w:val="none"/>
              </w:rPr>
            </w:pPr>
          </w:p>
        </w:tc>
        <w:tc>
          <w:tcPr>
            <w:tcW w:w="534" w:type="dxa"/>
            <w:vAlign w:val="center"/>
          </w:tcPr>
          <w:p w14:paraId="79B2694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D802E0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EA3D346">
            <w:pPr>
              <w:pStyle w:val="22"/>
              <w:bidi w:val="0"/>
              <w:jc w:val="center"/>
              <w:rPr>
                <w:rFonts w:hint="default" w:ascii="Times New Roman" w:hAnsi="Times New Roman" w:cs="Times New Roman"/>
                <w:highlight w:val="none"/>
              </w:rPr>
            </w:pPr>
          </w:p>
        </w:tc>
        <w:tc>
          <w:tcPr>
            <w:tcW w:w="535" w:type="dxa"/>
            <w:vAlign w:val="center"/>
          </w:tcPr>
          <w:p w14:paraId="2544534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C2593D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08C1217">
            <w:pPr>
              <w:pStyle w:val="22"/>
              <w:bidi w:val="0"/>
              <w:jc w:val="center"/>
              <w:rPr>
                <w:rFonts w:hint="default" w:ascii="Times New Roman" w:hAnsi="Times New Roman" w:cs="Times New Roman"/>
                <w:highlight w:val="none"/>
              </w:rPr>
            </w:pPr>
          </w:p>
        </w:tc>
        <w:tc>
          <w:tcPr>
            <w:tcW w:w="535" w:type="dxa"/>
            <w:vAlign w:val="center"/>
          </w:tcPr>
          <w:p w14:paraId="0F915B4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6118F4C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F2C3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7D5E6E69">
            <w:pPr>
              <w:pStyle w:val="22"/>
              <w:bidi w:val="0"/>
              <w:jc w:val="center"/>
              <w:rPr>
                <w:rFonts w:hint="default" w:ascii="Times New Roman" w:hAnsi="Times New Roman" w:cs="Times New Roman"/>
                <w:highlight w:val="none"/>
              </w:rPr>
            </w:pPr>
          </w:p>
        </w:tc>
        <w:tc>
          <w:tcPr>
            <w:tcW w:w="1857" w:type="dxa"/>
            <w:vMerge w:val="restart"/>
            <w:vAlign w:val="center"/>
          </w:tcPr>
          <w:p w14:paraId="76B8870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2.舟形藻科</w:t>
            </w:r>
            <w:r>
              <w:rPr>
                <w:rFonts w:hint="default" w:ascii="Times New Roman" w:hAnsi="Times New Roman" w:cs="Times New Roman"/>
                <w:i/>
                <w:iCs w:val="0"/>
                <w:highlight w:val="none"/>
              </w:rPr>
              <w:t>Naviculaceae</w:t>
            </w:r>
          </w:p>
        </w:tc>
        <w:tc>
          <w:tcPr>
            <w:tcW w:w="1910" w:type="dxa"/>
            <w:vMerge w:val="restart"/>
            <w:vAlign w:val="center"/>
          </w:tcPr>
          <w:p w14:paraId="12EECE6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3.舟形藻属</w:t>
            </w:r>
          </w:p>
          <w:p w14:paraId="0516EC2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Gyrosigma</w:t>
            </w:r>
          </w:p>
          <w:p w14:paraId="4490EE22">
            <w:pPr>
              <w:pStyle w:val="22"/>
              <w:bidi w:val="0"/>
              <w:jc w:val="center"/>
              <w:rPr>
                <w:rFonts w:hint="default" w:ascii="Times New Roman" w:hAnsi="Times New Roman" w:cs="Times New Roman"/>
                <w:highlight w:val="none"/>
              </w:rPr>
            </w:pPr>
          </w:p>
        </w:tc>
        <w:tc>
          <w:tcPr>
            <w:tcW w:w="2357" w:type="dxa"/>
            <w:vAlign w:val="center"/>
          </w:tcPr>
          <w:p w14:paraId="28D5A74A">
            <w:pPr>
              <w:pStyle w:val="22"/>
              <w:numPr>
                <w:ilvl w:val="0"/>
                <w:numId w:val="33"/>
              </w:numPr>
              <w:bidi w:val="0"/>
              <w:jc w:val="center"/>
              <w:rPr>
                <w:rFonts w:hint="default" w:ascii="Times New Roman" w:hAnsi="Times New Roman" w:cs="Times New Roman"/>
                <w:highlight w:val="none"/>
              </w:rPr>
            </w:pPr>
            <w:r>
              <w:rPr>
                <w:rFonts w:hint="default" w:ascii="Times New Roman" w:hAnsi="Times New Roman" w:cs="Times New Roman"/>
                <w:highlight w:val="none"/>
              </w:rPr>
              <w:t>双头舟形藻</w:t>
            </w:r>
          </w:p>
          <w:p w14:paraId="475C2B72">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Navicula dicephala</w:t>
            </w:r>
          </w:p>
        </w:tc>
        <w:tc>
          <w:tcPr>
            <w:tcW w:w="534" w:type="dxa"/>
            <w:vAlign w:val="center"/>
          </w:tcPr>
          <w:p w14:paraId="4561121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CE1BA7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B68E6C8">
            <w:pPr>
              <w:pStyle w:val="22"/>
              <w:bidi w:val="0"/>
              <w:jc w:val="center"/>
              <w:rPr>
                <w:rFonts w:hint="default" w:ascii="Times New Roman" w:hAnsi="Times New Roman" w:cs="Times New Roman"/>
                <w:highlight w:val="none"/>
              </w:rPr>
            </w:pPr>
          </w:p>
        </w:tc>
        <w:tc>
          <w:tcPr>
            <w:tcW w:w="534" w:type="dxa"/>
            <w:vAlign w:val="center"/>
          </w:tcPr>
          <w:p w14:paraId="2A2A6E1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EAB532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6F1F117">
            <w:pPr>
              <w:pStyle w:val="22"/>
              <w:bidi w:val="0"/>
              <w:jc w:val="center"/>
              <w:rPr>
                <w:rFonts w:hint="default" w:ascii="Times New Roman" w:hAnsi="Times New Roman" w:cs="Times New Roman"/>
                <w:highlight w:val="none"/>
              </w:rPr>
            </w:pPr>
          </w:p>
        </w:tc>
        <w:tc>
          <w:tcPr>
            <w:tcW w:w="534" w:type="dxa"/>
            <w:vAlign w:val="center"/>
          </w:tcPr>
          <w:p w14:paraId="2A245C6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BB994D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78DB6EF">
            <w:pPr>
              <w:pStyle w:val="22"/>
              <w:bidi w:val="0"/>
              <w:jc w:val="center"/>
              <w:rPr>
                <w:rFonts w:hint="default" w:ascii="Times New Roman" w:hAnsi="Times New Roman" w:cs="Times New Roman"/>
                <w:highlight w:val="none"/>
              </w:rPr>
            </w:pPr>
          </w:p>
        </w:tc>
        <w:tc>
          <w:tcPr>
            <w:tcW w:w="535" w:type="dxa"/>
            <w:vAlign w:val="center"/>
          </w:tcPr>
          <w:p w14:paraId="449596E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CE5FF3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4107D53F">
            <w:pPr>
              <w:pStyle w:val="22"/>
              <w:bidi w:val="0"/>
              <w:jc w:val="center"/>
              <w:rPr>
                <w:rFonts w:hint="default" w:ascii="Times New Roman" w:hAnsi="Times New Roman" w:cs="Times New Roman"/>
                <w:highlight w:val="none"/>
              </w:rPr>
            </w:pPr>
          </w:p>
        </w:tc>
      </w:tr>
      <w:tr w14:paraId="66D7F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56F75CC5">
            <w:pPr>
              <w:pStyle w:val="22"/>
              <w:bidi w:val="0"/>
              <w:jc w:val="center"/>
              <w:rPr>
                <w:rFonts w:hint="default" w:ascii="Times New Roman" w:hAnsi="Times New Roman" w:cs="Times New Roman"/>
                <w:highlight w:val="none"/>
              </w:rPr>
            </w:pPr>
          </w:p>
        </w:tc>
        <w:tc>
          <w:tcPr>
            <w:tcW w:w="1857" w:type="dxa"/>
            <w:vMerge w:val="continue"/>
            <w:vAlign w:val="center"/>
          </w:tcPr>
          <w:p w14:paraId="124AF8CA">
            <w:pPr>
              <w:pStyle w:val="22"/>
              <w:bidi w:val="0"/>
              <w:jc w:val="center"/>
              <w:rPr>
                <w:rFonts w:hint="default" w:ascii="Times New Roman" w:hAnsi="Times New Roman" w:cs="Times New Roman"/>
                <w:highlight w:val="none"/>
              </w:rPr>
            </w:pPr>
          </w:p>
        </w:tc>
        <w:tc>
          <w:tcPr>
            <w:tcW w:w="1910" w:type="dxa"/>
            <w:vMerge w:val="continue"/>
            <w:vAlign w:val="center"/>
          </w:tcPr>
          <w:p w14:paraId="3F7B8C48">
            <w:pPr>
              <w:pStyle w:val="22"/>
              <w:bidi w:val="0"/>
              <w:jc w:val="center"/>
              <w:rPr>
                <w:rFonts w:hint="default" w:ascii="Times New Roman" w:hAnsi="Times New Roman" w:cs="Times New Roman"/>
                <w:highlight w:val="none"/>
              </w:rPr>
            </w:pPr>
          </w:p>
        </w:tc>
        <w:tc>
          <w:tcPr>
            <w:tcW w:w="2357" w:type="dxa"/>
            <w:vAlign w:val="center"/>
          </w:tcPr>
          <w:p w14:paraId="3F44BBAA">
            <w:pPr>
              <w:pStyle w:val="22"/>
              <w:numPr>
                <w:ilvl w:val="0"/>
                <w:numId w:val="33"/>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简单舟形藻</w:t>
            </w:r>
          </w:p>
          <w:p w14:paraId="1E8385A7">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N.simLex</w:t>
            </w:r>
          </w:p>
        </w:tc>
        <w:tc>
          <w:tcPr>
            <w:tcW w:w="534" w:type="dxa"/>
            <w:vAlign w:val="center"/>
          </w:tcPr>
          <w:p w14:paraId="3F769F64">
            <w:pPr>
              <w:pStyle w:val="22"/>
              <w:bidi w:val="0"/>
              <w:jc w:val="center"/>
              <w:rPr>
                <w:rFonts w:hint="default" w:ascii="Times New Roman" w:hAnsi="Times New Roman" w:cs="Times New Roman"/>
                <w:highlight w:val="none"/>
              </w:rPr>
            </w:pPr>
          </w:p>
        </w:tc>
        <w:tc>
          <w:tcPr>
            <w:tcW w:w="534" w:type="dxa"/>
            <w:vAlign w:val="center"/>
          </w:tcPr>
          <w:p w14:paraId="1D64A1D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2E2790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F38DCE4">
            <w:pPr>
              <w:pStyle w:val="22"/>
              <w:bidi w:val="0"/>
              <w:jc w:val="center"/>
              <w:rPr>
                <w:rFonts w:hint="default" w:ascii="Times New Roman" w:hAnsi="Times New Roman" w:cs="Times New Roman"/>
                <w:highlight w:val="none"/>
              </w:rPr>
            </w:pPr>
          </w:p>
        </w:tc>
        <w:tc>
          <w:tcPr>
            <w:tcW w:w="534" w:type="dxa"/>
            <w:vAlign w:val="center"/>
          </w:tcPr>
          <w:p w14:paraId="5C5C181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369893B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D54D1C8">
            <w:pPr>
              <w:pStyle w:val="22"/>
              <w:bidi w:val="0"/>
              <w:jc w:val="center"/>
              <w:rPr>
                <w:rFonts w:hint="default" w:ascii="Times New Roman" w:hAnsi="Times New Roman" w:cs="Times New Roman"/>
                <w:highlight w:val="none"/>
              </w:rPr>
            </w:pPr>
          </w:p>
        </w:tc>
        <w:tc>
          <w:tcPr>
            <w:tcW w:w="535" w:type="dxa"/>
            <w:vAlign w:val="center"/>
          </w:tcPr>
          <w:p w14:paraId="0596218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AFCEB9F">
            <w:pPr>
              <w:pStyle w:val="22"/>
              <w:bidi w:val="0"/>
              <w:jc w:val="center"/>
              <w:rPr>
                <w:rFonts w:hint="default" w:ascii="Times New Roman" w:hAnsi="Times New Roman" w:cs="Times New Roman"/>
                <w:highlight w:val="none"/>
              </w:rPr>
            </w:pPr>
          </w:p>
        </w:tc>
        <w:tc>
          <w:tcPr>
            <w:tcW w:w="535" w:type="dxa"/>
            <w:vAlign w:val="center"/>
          </w:tcPr>
          <w:p w14:paraId="4D8EFD90">
            <w:pPr>
              <w:pStyle w:val="22"/>
              <w:bidi w:val="0"/>
              <w:jc w:val="center"/>
              <w:rPr>
                <w:rFonts w:hint="default" w:ascii="Times New Roman" w:hAnsi="Times New Roman" w:cs="Times New Roman"/>
                <w:highlight w:val="none"/>
              </w:rPr>
            </w:pPr>
          </w:p>
        </w:tc>
        <w:tc>
          <w:tcPr>
            <w:tcW w:w="535" w:type="dxa"/>
            <w:vAlign w:val="center"/>
          </w:tcPr>
          <w:p w14:paraId="5E6861AD">
            <w:pPr>
              <w:pStyle w:val="22"/>
              <w:bidi w:val="0"/>
              <w:jc w:val="center"/>
              <w:rPr>
                <w:rFonts w:hint="default" w:ascii="Times New Roman" w:hAnsi="Times New Roman" w:cs="Times New Roman"/>
                <w:highlight w:val="none"/>
              </w:rPr>
            </w:pPr>
          </w:p>
        </w:tc>
        <w:tc>
          <w:tcPr>
            <w:tcW w:w="540" w:type="dxa"/>
            <w:vAlign w:val="center"/>
          </w:tcPr>
          <w:p w14:paraId="3AC95E6D">
            <w:pPr>
              <w:pStyle w:val="22"/>
              <w:bidi w:val="0"/>
              <w:jc w:val="center"/>
              <w:rPr>
                <w:rFonts w:hint="default" w:ascii="Times New Roman" w:hAnsi="Times New Roman" w:cs="Times New Roman"/>
                <w:highlight w:val="none"/>
              </w:rPr>
            </w:pPr>
          </w:p>
        </w:tc>
      </w:tr>
      <w:tr w14:paraId="0E759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7B5F6167">
            <w:pPr>
              <w:pStyle w:val="22"/>
              <w:bidi w:val="0"/>
              <w:jc w:val="center"/>
              <w:rPr>
                <w:rFonts w:hint="default" w:ascii="Times New Roman" w:hAnsi="Times New Roman" w:cs="Times New Roman"/>
                <w:highlight w:val="none"/>
              </w:rPr>
            </w:pPr>
          </w:p>
        </w:tc>
        <w:tc>
          <w:tcPr>
            <w:tcW w:w="1857" w:type="dxa"/>
            <w:vMerge w:val="continue"/>
            <w:vAlign w:val="center"/>
          </w:tcPr>
          <w:p w14:paraId="3D4D22D6">
            <w:pPr>
              <w:pStyle w:val="22"/>
              <w:bidi w:val="0"/>
              <w:jc w:val="center"/>
              <w:rPr>
                <w:rFonts w:hint="default" w:ascii="Times New Roman" w:hAnsi="Times New Roman" w:cs="Times New Roman"/>
                <w:highlight w:val="none"/>
              </w:rPr>
            </w:pPr>
          </w:p>
        </w:tc>
        <w:tc>
          <w:tcPr>
            <w:tcW w:w="1910" w:type="dxa"/>
            <w:vMerge w:val="continue"/>
            <w:vAlign w:val="center"/>
          </w:tcPr>
          <w:p w14:paraId="3DE517A5">
            <w:pPr>
              <w:pStyle w:val="22"/>
              <w:bidi w:val="0"/>
              <w:jc w:val="center"/>
              <w:rPr>
                <w:rFonts w:hint="default" w:ascii="Times New Roman" w:hAnsi="Times New Roman" w:cs="Times New Roman"/>
                <w:highlight w:val="none"/>
              </w:rPr>
            </w:pPr>
          </w:p>
        </w:tc>
        <w:tc>
          <w:tcPr>
            <w:tcW w:w="2357" w:type="dxa"/>
            <w:vAlign w:val="center"/>
          </w:tcPr>
          <w:p w14:paraId="05999C9C">
            <w:pPr>
              <w:pStyle w:val="22"/>
              <w:numPr>
                <w:ilvl w:val="0"/>
                <w:numId w:val="33"/>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椭圆舟形藻</w:t>
            </w:r>
          </w:p>
          <w:p w14:paraId="39C63D3C">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Navicula placentula</w:t>
            </w:r>
          </w:p>
        </w:tc>
        <w:tc>
          <w:tcPr>
            <w:tcW w:w="534" w:type="dxa"/>
            <w:vAlign w:val="center"/>
          </w:tcPr>
          <w:p w14:paraId="4F2B479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DA0F81D">
            <w:pPr>
              <w:pStyle w:val="22"/>
              <w:bidi w:val="0"/>
              <w:jc w:val="center"/>
              <w:rPr>
                <w:rFonts w:hint="default" w:ascii="Times New Roman" w:hAnsi="Times New Roman" w:cs="Times New Roman"/>
                <w:highlight w:val="none"/>
              </w:rPr>
            </w:pPr>
          </w:p>
        </w:tc>
        <w:tc>
          <w:tcPr>
            <w:tcW w:w="535" w:type="dxa"/>
            <w:vAlign w:val="center"/>
          </w:tcPr>
          <w:p w14:paraId="107ACA7C">
            <w:pPr>
              <w:pStyle w:val="22"/>
              <w:bidi w:val="0"/>
              <w:jc w:val="center"/>
              <w:rPr>
                <w:rFonts w:hint="default" w:ascii="Times New Roman" w:hAnsi="Times New Roman" w:cs="Times New Roman"/>
                <w:highlight w:val="none"/>
              </w:rPr>
            </w:pPr>
          </w:p>
        </w:tc>
        <w:tc>
          <w:tcPr>
            <w:tcW w:w="534" w:type="dxa"/>
            <w:vAlign w:val="center"/>
          </w:tcPr>
          <w:p w14:paraId="2294656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BCA0AC3">
            <w:pPr>
              <w:pStyle w:val="22"/>
              <w:bidi w:val="0"/>
              <w:jc w:val="center"/>
              <w:rPr>
                <w:rFonts w:hint="default" w:ascii="Times New Roman" w:hAnsi="Times New Roman" w:cs="Times New Roman"/>
                <w:highlight w:val="none"/>
              </w:rPr>
            </w:pPr>
          </w:p>
        </w:tc>
        <w:tc>
          <w:tcPr>
            <w:tcW w:w="534" w:type="dxa"/>
            <w:vAlign w:val="center"/>
          </w:tcPr>
          <w:p w14:paraId="6EC7538D">
            <w:pPr>
              <w:pStyle w:val="22"/>
              <w:bidi w:val="0"/>
              <w:jc w:val="center"/>
              <w:rPr>
                <w:rFonts w:hint="default" w:ascii="Times New Roman" w:hAnsi="Times New Roman" w:cs="Times New Roman"/>
                <w:highlight w:val="none"/>
              </w:rPr>
            </w:pPr>
          </w:p>
        </w:tc>
        <w:tc>
          <w:tcPr>
            <w:tcW w:w="534" w:type="dxa"/>
            <w:vAlign w:val="center"/>
          </w:tcPr>
          <w:p w14:paraId="61DBFFE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7D4E195">
            <w:pPr>
              <w:pStyle w:val="22"/>
              <w:bidi w:val="0"/>
              <w:jc w:val="center"/>
              <w:rPr>
                <w:rFonts w:hint="default" w:ascii="Times New Roman" w:hAnsi="Times New Roman" w:cs="Times New Roman"/>
                <w:highlight w:val="none"/>
              </w:rPr>
            </w:pPr>
          </w:p>
        </w:tc>
        <w:tc>
          <w:tcPr>
            <w:tcW w:w="535" w:type="dxa"/>
            <w:vAlign w:val="center"/>
          </w:tcPr>
          <w:p w14:paraId="02CE5822">
            <w:pPr>
              <w:pStyle w:val="22"/>
              <w:bidi w:val="0"/>
              <w:jc w:val="center"/>
              <w:rPr>
                <w:rFonts w:hint="default" w:ascii="Times New Roman" w:hAnsi="Times New Roman" w:cs="Times New Roman"/>
                <w:highlight w:val="none"/>
              </w:rPr>
            </w:pPr>
          </w:p>
        </w:tc>
        <w:tc>
          <w:tcPr>
            <w:tcW w:w="535" w:type="dxa"/>
            <w:vAlign w:val="center"/>
          </w:tcPr>
          <w:p w14:paraId="3E6C2CD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DD0FE2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083CE69B">
            <w:pPr>
              <w:pStyle w:val="22"/>
              <w:bidi w:val="0"/>
              <w:jc w:val="center"/>
              <w:rPr>
                <w:rFonts w:hint="default" w:ascii="Times New Roman" w:hAnsi="Times New Roman" w:cs="Times New Roman"/>
                <w:highlight w:val="none"/>
              </w:rPr>
            </w:pPr>
          </w:p>
        </w:tc>
      </w:tr>
      <w:tr w14:paraId="5D6FF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77500209">
            <w:pPr>
              <w:pStyle w:val="22"/>
              <w:bidi w:val="0"/>
              <w:jc w:val="center"/>
              <w:rPr>
                <w:rFonts w:hint="default" w:ascii="Times New Roman" w:hAnsi="Times New Roman" w:cs="Times New Roman"/>
                <w:highlight w:val="none"/>
              </w:rPr>
            </w:pPr>
          </w:p>
        </w:tc>
        <w:tc>
          <w:tcPr>
            <w:tcW w:w="1857" w:type="dxa"/>
            <w:vMerge w:val="continue"/>
            <w:vAlign w:val="center"/>
          </w:tcPr>
          <w:p w14:paraId="61968458">
            <w:pPr>
              <w:pStyle w:val="22"/>
              <w:bidi w:val="0"/>
              <w:jc w:val="center"/>
              <w:rPr>
                <w:rFonts w:hint="default" w:ascii="Times New Roman" w:hAnsi="Times New Roman" w:cs="Times New Roman"/>
                <w:highlight w:val="none"/>
              </w:rPr>
            </w:pPr>
          </w:p>
        </w:tc>
        <w:tc>
          <w:tcPr>
            <w:tcW w:w="1910" w:type="dxa"/>
            <w:vMerge w:val="continue"/>
            <w:vAlign w:val="center"/>
          </w:tcPr>
          <w:p w14:paraId="5C991CC9">
            <w:pPr>
              <w:pStyle w:val="22"/>
              <w:bidi w:val="0"/>
              <w:jc w:val="center"/>
              <w:rPr>
                <w:rFonts w:hint="default" w:ascii="Times New Roman" w:hAnsi="Times New Roman" w:cs="Times New Roman"/>
                <w:highlight w:val="none"/>
              </w:rPr>
            </w:pPr>
          </w:p>
        </w:tc>
        <w:tc>
          <w:tcPr>
            <w:tcW w:w="2357" w:type="dxa"/>
            <w:vAlign w:val="center"/>
          </w:tcPr>
          <w:p w14:paraId="264B3B10">
            <w:pPr>
              <w:pStyle w:val="22"/>
              <w:numPr>
                <w:ilvl w:val="0"/>
                <w:numId w:val="33"/>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隐头舟形藻</w:t>
            </w:r>
          </w:p>
          <w:p w14:paraId="02AEDDDA">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Navicula cryptocephala</w:t>
            </w:r>
          </w:p>
        </w:tc>
        <w:tc>
          <w:tcPr>
            <w:tcW w:w="534" w:type="dxa"/>
            <w:vAlign w:val="center"/>
          </w:tcPr>
          <w:p w14:paraId="17E6D84F">
            <w:pPr>
              <w:pStyle w:val="22"/>
              <w:bidi w:val="0"/>
              <w:jc w:val="center"/>
              <w:rPr>
                <w:rFonts w:hint="default" w:ascii="Times New Roman" w:hAnsi="Times New Roman" w:cs="Times New Roman"/>
                <w:highlight w:val="none"/>
              </w:rPr>
            </w:pPr>
          </w:p>
        </w:tc>
        <w:tc>
          <w:tcPr>
            <w:tcW w:w="534" w:type="dxa"/>
            <w:vAlign w:val="center"/>
          </w:tcPr>
          <w:p w14:paraId="4BE61B8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A43491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DB7BEC8">
            <w:pPr>
              <w:pStyle w:val="22"/>
              <w:bidi w:val="0"/>
              <w:jc w:val="center"/>
              <w:rPr>
                <w:rFonts w:hint="default" w:ascii="Times New Roman" w:hAnsi="Times New Roman" w:cs="Times New Roman"/>
                <w:highlight w:val="none"/>
              </w:rPr>
            </w:pPr>
          </w:p>
        </w:tc>
        <w:tc>
          <w:tcPr>
            <w:tcW w:w="534" w:type="dxa"/>
            <w:vAlign w:val="center"/>
          </w:tcPr>
          <w:p w14:paraId="49A1240B">
            <w:pPr>
              <w:pStyle w:val="22"/>
              <w:bidi w:val="0"/>
              <w:jc w:val="center"/>
              <w:rPr>
                <w:rFonts w:hint="default" w:ascii="Times New Roman" w:hAnsi="Times New Roman" w:cs="Times New Roman"/>
                <w:highlight w:val="none"/>
              </w:rPr>
            </w:pPr>
          </w:p>
        </w:tc>
        <w:tc>
          <w:tcPr>
            <w:tcW w:w="534" w:type="dxa"/>
            <w:vAlign w:val="center"/>
          </w:tcPr>
          <w:p w14:paraId="3FE0C310">
            <w:pPr>
              <w:pStyle w:val="22"/>
              <w:bidi w:val="0"/>
              <w:jc w:val="center"/>
              <w:rPr>
                <w:rFonts w:hint="default" w:ascii="Times New Roman" w:hAnsi="Times New Roman" w:cs="Times New Roman"/>
                <w:highlight w:val="none"/>
              </w:rPr>
            </w:pPr>
          </w:p>
        </w:tc>
        <w:tc>
          <w:tcPr>
            <w:tcW w:w="534" w:type="dxa"/>
            <w:vAlign w:val="center"/>
          </w:tcPr>
          <w:p w14:paraId="415C9EFE">
            <w:pPr>
              <w:pStyle w:val="22"/>
              <w:bidi w:val="0"/>
              <w:jc w:val="center"/>
              <w:rPr>
                <w:rFonts w:hint="default" w:ascii="Times New Roman" w:hAnsi="Times New Roman" w:cs="Times New Roman"/>
                <w:highlight w:val="none"/>
              </w:rPr>
            </w:pPr>
          </w:p>
        </w:tc>
        <w:tc>
          <w:tcPr>
            <w:tcW w:w="535" w:type="dxa"/>
            <w:vAlign w:val="center"/>
          </w:tcPr>
          <w:p w14:paraId="455A59E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33091A6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C885949">
            <w:pPr>
              <w:pStyle w:val="22"/>
              <w:bidi w:val="0"/>
              <w:jc w:val="center"/>
              <w:rPr>
                <w:rFonts w:hint="default" w:ascii="Times New Roman" w:hAnsi="Times New Roman" w:cs="Times New Roman"/>
                <w:highlight w:val="none"/>
              </w:rPr>
            </w:pPr>
          </w:p>
        </w:tc>
        <w:tc>
          <w:tcPr>
            <w:tcW w:w="535" w:type="dxa"/>
            <w:vAlign w:val="center"/>
          </w:tcPr>
          <w:p w14:paraId="46FFF9BE">
            <w:pPr>
              <w:pStyle w:val="22"/>
              <w:bidi w:val="0"/>
              <w:jc w:val="center"/>
              <w:rPr>
                <w:rFonts w:hint="default" w:ascii="Times New Roman" w:hAnsi="Times New Roman" w:cs="Times New Roman"/>
                <w:highlight w:val="none"/>
              </w:rPr>
            </w:pPr>
          </w:p>
        </w:tc>
        <w:tc>
          <w:tcPr>
            <w:tcW w:w="540" w:type="dxa"/>
            <w:vAlign w:val="center"/>
          </w:tcPr>
          <w:p w14:paraId="6FDB757F">
            <w:pPr>
              <w:pStyle w:val="22"/>
              <w:bidi w:val="0"/>
              <w:jc w:val="center"/>
              <w:rPr>
                <w:rFonts w:hint="default" w:ascii="Times New Roman" w:hAnsi="Times New Roman" w:cs="Times New Roman"/>
                <w:highlight w:val="none"/>
              </w:rPr>
            </w:pPr>
          </w:p>
        </w:tc>
      </w:tr>
      <w:tr w14:paraId="2206A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910" w:type="dxa"/>
            <w:vMerge w:val="continue"/>
            <w:vAlign w:val="center"/>
          </w:tcPr>
          <w:p w14:paraId="00E65598">
            <w:pPr>
              <w:pStyle w:val="22"/>
              <w:bidi w:val="0"/>
              <w:jc w:val="center"/>
              <w:rPr>
                <w:rFonts w:hint="default" w:ascii="Times New Roman" w:hAnsi="Times New Roman" w:cs="Times New Roman"/>
                <w:highlight w:val="none"/>
              </w:rPr>
            </w:pPr>
          </w:p>
        </w:tc>
        <w:tc>
          <w:tcPr>
            <w:tcW w:w="1857" w:type="dxa"/>
            <w:vMerge w:val="continue"/>
            <w:vAlign w:val="center"/>
          </w:tcPr>
          <w:p w14:paraId="355A419B">
            <w:pPr>
              <w:pStyle w:val="22"/>
              <w:bidi w:val="0"/>
              <w:jc w:val="center"/>
              <w:rPr>
                <w:rFonts w:hint="default" w:ascii="Times New Roman" w:hAnsi="Times New Roman" w:cs="Times New Roman"/>
                <w:highlight w:val="none"/>
              </w:rPr>
            </w:pPr>
          </w:p>
        </w:tc>
        <w:tc>
          <w:tcPr>
            <w:tcW w:w="1910" w:type="dxa"/>
            <w:vMerge w:val="continue"/>
            <w:vAlign w:val="center"/>
          </w:tcPr>
          <w:p w14:paraId="1AE8A810">
            <w:pPr>
              <w:pStyle w:val="22"/>
              <w:bidi w:val="0"/>
              <w:jc w:val="center"/>
              <w:rPr>
                <w:rFonts w:hint="default" w:ascii="Times New Roman" w:hAnsi="Times New Roman" w:cs="Times New Roman"/>
                <w:highlight w:val="none"/>
              </w:rPr>
            </w:pPr>
          </w:p>
        </w:tc>
        <w:tc>
          <w:tcPr>
            <w:tcW w:w="2357" w:type="dxa"/>
            <w:vAlign w:val="center"/>
          </w:tcPr>
          <w:p w14:paraId="03FF6E8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10.瞳孔舟形藻</w:t>
            </w:r>
          </w:p>
          <w:p w14:paraId="716F4C20">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N.viridula</w:t>
            </w:r>
          </w:p>
        </w:tc>
        <w:tc>
          <w:tcPr>
            <w:tcW w:w="534" w:type="dxa"/>
            <w:vAlign w:val="center"/>
          </w:tcPr>
          <w:p w14:paraId="0E83243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63F5075">
            <w:pPr>
              <w:pStyle w:val="22"/>
              <w:bidi w:val="0"/>
              <w:jc w:val="center"/>
              <w:rPr>
                <w:rFonts w:hint="default" w:ascii="Times New Roman" w:hAnsi="Times New Roman" w:cs="Times New Roman"/>
                <w:highlight w:val="none"/>
              </w:rPr>
            </w:pPr>
          </w:p>
        </w:tc>
        <w:tc>
          <w:tcPr>
            <w:tcW w:w="535" w:type="dxa"/>
            <w:vAlign w:val="center"/>
          </w:tcPr>
          <w:p w14:paraId="2573B58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CE2C46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D1B9D6A">
            <w:pPr>
              <w:pStyle w:val="22"/>
              <w:bidi w:val="0"/>
              <w:jc w:val="center"/>
              <w:rPr>
                <w:rFonts w:hint="default" w:ascii="Times New Roman" w:hAnsi="Times New Roman" w:cs="Times New Roman"/>
                <w:highlight w:val="none"/>
              </w:rPr>
            </w:pPr>
          </w:p>
        </w:tc>
        <w:tc>
          <w:tcPr>
            <w:tcW w:w="534" w:type="dxa"/>
            <w:vAlign w:val="center"/>
          </w:tcPr>
          <w:p w14:paraId="4D339A8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C433F7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10E6C79">
            <w:pPr>
              <w:pStyle w:val="22"/>
              <w:bidi w:val="0"/>
              <w:jc w:val="center"/>
              <w:rPr>
                <w:rFonts w:hint="default" w:ascii="Times New Roman" w:hAnsi="Times New Roman" w:cs="Times New Roman"/>
                <w:highlight w:val="none"/>
              </w:rPr>
            </w:pPr>
          </w:p>
        </w:tc>
        <w:tc>
          <w:tcPr>
            <w:tcW w:w="535" w:type="dxa"/>
            <w:vAlign w:val="center"/>
          </w:tcPr>
          <w:p w14:paraId="07F75A6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53597D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25EFA7C">
            <w:pPr>
              <w:pStyle w:val="22"/>
              <w:bidi w:val="0"/>
              <w:jc w:val="center"/>
              <w:rPr>
                <w:rFonts w:hint="default" w:ascii="Times New Roman" w:hAnsi="Times New Roman" w:cs="Times New Roman"/>
                <w:highlight w:val="none"/>
              </w:rPr>
            </w:pPr>
          </w:p>
        </w:tc>
        <w:tc>
          <w:tcPr>
            <w:tcW w:w="540" w:type="dxa"/>
            <w:vAlign w:val="center"/>
          </w:tcPr>
          <w:p w14:paraId="7267121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41302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0D6A1AC3">
            <w:pPr>
              <w:pStyle w:val="22"/>
              <w:bidi w:val="0"/>
              <w:jc w:val="center"/>
              <w:rPr>
                <w:rFonts w:hint="default" w:ascii="Times New Roman" w:hAnsi="Times New Roman" w:cs="Times New Roman"/>
                <w:highlight w:val="none"/>
              </w:rPr>
            </w:pPr>
          </w:p>
        </w:tc>
        <w:tc>
          <w:tcPr>
            <w:tcW w:w="1857" w:type="dxa"/>
            <w:vMerge w:val="continue"/>
            <w:vAlign w:val="center"/>
          </w:tcPr>
          <w:p w14:paraId="143FE679">
            <w:pPr>
              <w:pStyle w:val="22"/>
              <w:bidi w:val="0"/>
              <w:jc w:val="center"/>
              <w:rPr>
                <w:rFonts w:hint="default" w:ascii="Times New Roman" w:hAnsi="Times New Roman" w:cs="Times New Roman"/>
                <w:highlight w:val="none"/>
              </w:rPr>
            </w:pPr>
          </w:p>
        </w:tc>
        <w:tc>
          <w:tcPr>
            <w:tcW w:w="1910" w:type="dxa"/>
            <w:vMerge w:val="restart"/>
            <w:vAlign w:val="center"/>
          </w:tcPr>
          <w:p w14:paraId="3067B08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4.羽纹藻属</w:t>
            </w:r>
          </w:p>
          <w:p w14:paraId="7ABB46C1">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Pinnularia</w:t>
            </w:r>
          </w:p>
        </w:tc>
        <w:tc>
          <w:tcPr>
            <w:tcW w:w="2357" w:type="dxa"/>
            <w:vAlign w:val="center"/>
          </w:tcPr>
          <w:p w14:paraId="40E5BA1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11.著名羽纹藻</w:t>
            </w:r>
          </w:p>
          <w:p w14:paraId="355E4398">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Pinnularia pinnulatia</w:t>
            </w:r>
          </w:p>
        </w:tc>
        <w:tc>
          <w:tcPr>
            <w:tcW w:w="534" w:type="dxa"/>
            <w:vAlign w:val="center"/>
          </w:tcPr>
          <w:p w14:paraId="49C9912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E6CC544">
            <w:pPr>
              <w:pStyle w:val="22"/>
              <w:bidi w:val="0"/>
              <w:jc w:val="center"/>
              <w:rPr>
                <w:rFonts w:hint="default" w:ascii="Times New Roman" w:hAnsi="Times New Roman" w:cs="Times New Roman"/>
                <w:highlight w:val="none"/>
              </w:rPr>
            </w:pPr>
          </w:p>
        </w:tc>
        <w:tc>
          <w:tcPr>
            <w:tcW w:w="535" w:type="dxa"/>
            <w:vAlign w:val="center"/>
          </w:tcPr>
          <w:p w14:paraId="24FA330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357DC22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D79D48F">
            <w:pPr>
              <w:pStyle w:val="22"/>
              <w:bidi w:val="0"/>
              <w:jc w:val="center"/>
              <w:rPr>
                <w:rFonts w:hint="default" w:ascii="Times New Roman" w:hAnsi="Times New Roman" w:cs="Times New Roman"/>
                <w:highlight w:val="none"/>
              </w:rPr>
            </w:pPr>
          </w:p>
        </w:tc>
        <w:tc>
          <w:tcPr>
            <w:tcW w:w="534" w:type="dxa"/>
            <w:vAlign w:val="center"/>
          </w:tcPr>
          <w:p w14:paraId="4ADF48D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646C11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0461B28">
            <w:pPr>
              <w:pStyle w:val="22"/>
              <w:bidi w:val="0"/>
              <w:jc w:val="center"/>
              <w:rPr>
                <w:rFonts w:hint="default" w:ascii="Times New Roman" w:hAnsi="Times New Roman" w:cs="Times New Roman"/>
                <w:highlight w:val="none"/>
              </w:rPr>
            </w:pPr>
          </w:p>
        </w:tc>
        <w:tc>
          <w:tcPr>
            <w:tcW w:w="535" w:type="dxa"/>
            <w:vAlign w:val="center"/>
          </w:tcPr>
          <w:p w14:paraId="14B35C9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3BD8556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4DB1CAB">
            <w:pPr>
              <w:pStyle w:val="22"/>
              <w:bidi w:val="0"/>
              <w:jc w:val="center"/>
              <w:rPr>
                <w:rFonts w:hint="default" w:ascii="Times New Roman" w:hAnsi="Times New Roman" w:cs="Times New Roman"/>
                <w:highlight w:val="none"/>
              </w:rPr>
            </w:pPr>
          </w:p>
        </w:tc>
        <w:tc>
          <w:tcPr>
            <w:tcW w:w="540" w:type="dxa"/>
            <w:vAlign w:val="center"/>
          </w:tcPr>
          <w:p w14:paraId="05CE43B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5C00B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381C6D5C">
            <w:pPr>
              <w:pStyle w:val="22"/>
              <w:bidi w:val="0"/>
              <w:jc w:val="center"/>
              <w:rPr>
                <w:rFonts w:hint="default" w:ascii="Times New Roman" w:hAnsi="Times New Roman" w:cs="Times New Roman"/>
                <w:highlight w:val="none"/>
              </w:rPr>
            </w:pPr>
          </w:p>
        </w:tc>
        <w:tc>
          <w:tcPr>
            <w:tcW w:w="1857" w:type="dxa"/>
            <w:vMerge w:val="continue"/>
            <w:vAlign w:val="center"/>
          </w:tcPr>
          <w:p w14:paraId="15860CF8">
            <w:pPr>
              <w:pStyle w:val="22"/>
              <w:bidi w:val="0"/>
              <w:jc w:val="center"/>
              <w:rPr>
                <w:rFonts w:hint="default" w:ascii="Times New Roman" w:hAnsi="Times New Roman" w:cs="Times New Roman"/>
                <w:highlight w:val="none"/>
              </w:rPr>
            </w:pPr>
          </w:p>
        </w:tc>
        <w:tc>
          <w:tcPr>
            <w:tcW w:w="1910" w:type="dxa"/>
            <w:vMerge w:val="continue"/>
            <w:vAlign w:val="center"/>
          </w:tcPr>
          <w:p w14:paraId="722C9F6E">
            <w:pPr>
              <w:pStyle w:val="22"/>
              <w:bidi w:val="0"/>
              <w:jc w:val="center"/>
              <w:rPr>
                <w:rFonts w:hint="default" w:ascii="Times New Roman" w:hAnsi="Times New Roman" w:cs="Times New Roman"/>
                <w:highlight w:val="none"/>
              </w:rPr>
            </w:pPr>
          </w:p>
        </w:tc>
        <w:tc>
          <w:tcPr>
            <w:tcW w:w="2357" w:type="dxa"/>
            <w:vAlign w:val="center"/>
          </w:tcPr>
          <w:p w14:paraId="2CBB8B19">
            <w:pPr>
              <w:pStyle w:val="22"/>
              <w:numPr>
                <w:ilvl w:val="0"/>
                <w:numId w:val="34"/>
              </w:numPr>
              <w:bidi w:val="0"/>
              <w:jc w:val="center"/>
              <w:rPr>
                <w:rFonts w:hint="default" w:ascii="Times New Roman" w:hAnsi="Times New Roman" w:cs="Times New Roman"/>
                <w:highlight w:val="none"/>
              </w:rPr>
            </w:pPr>
            <w:r>
              <w:rPr>
                <w:rFonts w:hint="default" w:ascii="Times New Roman" w:hAnsi="Times New Roman" w:cs="Times New Roman"/>
                <w:highlight w:val="none"/>
              </w:rPr>
              <w:t>绿羽纹藻</w:t>
            </w:r>
          </w:p>
          <w:p w14:paraId="51523865">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 viridis</w:t>
            </w:r>
          </w:p>
        </w:tc>
        <w:tc>
          <w:tcPr>
            <w:tcW w:w="534" w:type="dxa"/>
            <w:vAlign w:val="center"/>
          </w:tcPr>
          <w:p w14:paraId="305003CC">
            <w:pPr>
              <w:pStyle w:val="22"/>
              <w:bidi w:val="0"/>
              <w:jc w:val="center"/>
              <w:rPr>
                <w:rFonts w:hint="default" w:ascii="Times New Roman" w:hAnsi="Times New Roman" w:cs="Times New Roman"/>
                <w:highlight w:val="none"/>
              </w:rPr>
            </w:pPr>
          </w:p>
        </w:tc>
        <w:tc>
          <w:tcPr>
            <w:tcW w:w="534" w:type="dxa"/>
            <w:vAlign w:val="center"/>
          </w:tcPr>
          <w:p w14:paraId="17FFE4F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E6AEAC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9E2CA8F">
            <w:pPr>
              <w:pStyle w:val="22"/>
              <w:bidi w:val="0"/>
              <w:jc w:val="center"/>
              <w:rPr>
                <w:rFonts w:hint="default" w:ascii="Times New Roman" w:hAnsi="Times New Roman" w:cs="Times New Roman"/>
                <w:highlight w:val="none"/>
              </w:rPr>
            </w:pPr>
          </w:p>
        </w:tc>
        <w:tc>
          <w:tcPr>
            <w:tcW w:w="534" w:type="dxa"/>
            <w:vAlign w:val="center"/>
          </w:tcPr>
          <w:p w14:paraId="0D0CCF3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BFB444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C9A41D3">
            <w:pPr>
              <w:pStyle w:val="22"/>
              <w:bidi w:val="0"/>
              <w:jc w:val="center"/>
              <w:rPr>
                <w:rFonts w:hint="default" w:ascii="Times New Roman" w:hAnsi="Times New Roman" w:cs="Times New Roman"/>
                <w:highlight w:val="none"/>
              </w:rPr>
            </w:pPr>
          </w:p>
        </w:tc>
        <w:tc>
          <w:tcPr>
            <w:tcW w:w="535" w:type="dxa"/>
            <w:vAlign w:val="center"/>
          </w:tcPr>
          <w:p w14:paraId="500F562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593770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3CD5E9C">
            <w:pPr>
              <w:pStyle w:val="22"/>
              <w:bidi w:val="0"/>
              <w:jc w:val="center"/>
              <w:rPr>
                <w:rFonts w:hint="default" w:ascii="Times New Roman" w:hAnsi="Times New Roman" w:cs="Times New Roman"/>
                <w:highlight w:val="none"/>
              </w:rPr>
            </w:pPr>
          </w:p>
        </w:tc>
        <w:tc>
          <w:tcPr>
            <w:tcW w:w="535" w:type="dxa"/>
            <w:vAlign w:val="center"/>
          </w:tcPr>
          <w:p w14:paraId="0A36CCA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0CC61A7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5592F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7B3B3FED">
            <w:pPr>
              <w:pStyle w:val="22"/>
              <w:bidi w:val="0"/>
              <w:jc w:val="center"/>
              <w:rPr>
                <w:rFonts w:hint="default" w:ascii="Times New Roman" w:hAnsi="Times New Roman" w:cs="Times New Roman"/>
                <w:highlight w:val="none"/>
              </w:rPr>
            </w:pPr>
          </w:p>
        </w:tc>
        <w:tc>
          <w:tcPr>
            <w:tcW w:w="1857" w:type="dxa"/>
            <w:vMerge w:val="restart"/>
            <w:vAlign w:val="center"/>
          </w:tcPr>
          <w:p w14:paraId="6F9640C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3.菱形藻科</w:t>
            </w:r>
            <w:r>
              <w:rPr>
                <w:rFonts w:hint="default" w:ascii="Times New Roman" w:hAnsi="Times New Roman" w:cs="Times New Roman"/>
                <w:i/>
                <w:iCs w:val="0"/>
                <w:highlight w:val="none"/>
              </w:rPr>
              <w:t>Nitzschiaceae</w:t>
            </w:r>
          </w:p>
        </w:tc>
        <w:tc>
          <w:tcPr>
            <w:tcW w:w="1910" w:type="dxa"/>
            <w:vMerge w:val="restart"/>
            <w:vAlign w:val="center"/>
          </w:tcPr>
          <w:p w14:paraId="0133D87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5.菱形藻属</w:t>
            </w:r>
          </w:p>
          <w:p w14:paraId="563AFCC5">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Nitzschia</w:t>
            </w:r>
          </w:p>
        </w:tc>
        <w:tc>
          <w:tcPr>
            <w:tcW w:w="2357" w:type="dxa"/>
            <w:vAlign w:val="center"/>
          </w:tcPr>
          <w:p w14:paraId="386D204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13.拟螺形菱形藻</w:t>
            </w:r>
          </w:p>
          <w:p w14:paraId="14F05B63">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Nitzschia sp.</w:t>
            </w:r>
          </w:p>
        </w:tc>
        <w:tc>
          <w:tcPr>
            <w:tcW w:w="534" w:type="dxa"/>
            <w:vAlign w:val="center"/>
          </w:tcPr>
          <w:p w14:paraId="762FEF9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6C0BF05">
            <w:pPr>
              <w:pStyle w:val="22"/>
              <w:bidi w:val="0"/>
              <w:jc w:val="center"/>
              <w:rPr>
                <w:rFonts w:hint="default" w:ascii="Times New Roman" w:hAnsi="Times New Roman" w:cs="Times New Roman"/>
                <w:highlight w:val="none"/>
              </w:rPr>
            </w:pPr>
          </w:p>
        </w:tc>
        <w:tc>
          <w:tcPr>
            <w:tcW w:w="535" w:type="dxa"/>
            <w:vAlign w:val="center"/>
          </w:tcPr>
          <w:p w14:paraId="207C8378">
            <w:pPr>
              <w:pStyle w:val="22"/>
              <w:bidi w:val="0"/>
              <w:jc w:val="center"/>
              <w:rPr>
                <w:rFonts w:hint="default" w:ascii="Times New Roman" w:hAnsi="Times New Roman" w:cs="Times New Roman"/>
                <w:highlight w:val="none"/>
              </w:rPr>
            </w:pPr>
          </w:p>
        </w:tc>
        <w:tc>
          <w:tcPr>
            <w:tcW w:w="534" w:type="dxa"/>
            <w:vAlign w:val="center"/>
          </w:tcPr>
          <w:p w14:paraId="590F34C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3ED4C8BD">
            <w:pPr>
              <w:pStyle w:val="22"/>
              <w:bidi w:val="0"/>
              <w:jc w:val="center"/>
              <w:rPr>
                <w:rFonts w:hint="default" w:ascii="Times New Roman" w:hAnsi="Times New Roman" w:cs="Times New Roman"/>
                <w:highlight w:val="none"/>
              </w:rPr>
            </w:pPr>
          </w:p>
        </w:tc>
        <w:tc>
          <w:tcPr>
            <w:tcW w:w="534" w:type="dxa"/>
            <w:vAlign w:val="center"/>
          </w:tcPr>
          <w:p w14:paraId="686C112A">
            <w:pPr>
              <w:pStyle w:val="22"/>
              <w:bidi w:val="0"/>
              <w:jc w:val="center"/>
              <w:rPr>
                <w:rFonts w:hint="default" w:ascii="Times New Roman" w:hAnsi="Times New Roman" w:cs="Times New Roman"/>
                <w:highlight w:val="none"/>
              </w:rPr>
            </w:pPr>
          </w:p>
        </w:tc>
        <w:tc>
          <w:tcPr>
            <w:tcW w:w="534" w:type="dxa"/>
            <w:vAlign w:val="center"/>
          </w:tcPr>
          <w:p w14:paraId="0DE0B05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238647C">
            <w:pPr>
              <w:pStyle w:val="22"/>
              <w:bidi w:val="0"/>
              <w:jc w:val="center"/>
              <w:rPr>
                <w:rFonts w:hint="default" w:ascii="Times New Roman" w:hAnsi="Times New Roman" w:cs="Times New Roman"/>
                <w:highlight w:val="none"/>
              </w:rPr>
            </w:pPr>
          </w:p>
        </w:tc>
        <w:tc>
          <w:tcPr>
            <w:tcW w:w="535" w:type="dxa"/>
            <w:vAlign w:val="center"/>
          </w:tcPr>
          <w:p w14:paraId="1B93EFE0">
            <w:pPr>
              <w:pStyle w:val="22"/>
              <w:bidi w:val="0"/>
              <w:jc w:val="center"/>
              <w:rPr>
                <w:rFonts w:hint="default" w:ascii="Times New Roman" w:hAnsi="Times New Roman" w:cs="Times New Roman"/>
                <w:highlight w:val="none"/>
              </w:rPr>
            </w:pPr>
          </w:p>
        </w:tc>
        <w:tc>
          <w:tcPr>
            <w:tcW w:w="535" w:type="dxa"/>
            <w:vAlign w:val="center"/>
          </w:tcPr>
          <w:p w14:paraId="3A69EB3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B9855B7">
            <w:pPr>
              <w:pStyle w:val="22"/>
              <w:bidi w:val="0"/>
              <w:jc w:val="center"/>
              <w:rPr>
                <w:rFonts w:hint="default" w:ascii="Times New Roman" w:hAnsi="Times New Roman" w:cs="Times New Roman"/>
                <w:highlight w:val="none"/>
              </w:rPr>
            </w:pPr>
          </w:p>
        </w:tc>
        <w:tc>
          <w:tcPr>
            <w:tcW w:w="540" w:type="dxa"/>
            <w:vAlign w:val="center"/>
          </w:tcPr>
          <w:p w14:paraId="7685FF59">
            <w:pPr>
              <w:pStyle w:val="22"/>
              <w:bidi w:val="0"/>
              <w:jc w:val="center"/>
              <w:rPr>
                <w:rFonts w:hint="default" w:ascii="Times New Roman" w:hAnsi="Times New Roman" w:cs="Times New Roman"/>
                <w:highlight w:val="none"/>
              </w:rPr>
            </w:pPr>
          </w:p>
        </w:tc>
      </w:tr>
      <w:tr w14:paraId="414E1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0B9A998D">
            <w:pPr>
              <w:pStyle w:val="22"/>
              <w:bidi w:val="0"/>
              <w:jc w:val="center"/>
              <w:rPr>
                <w:rFonts w:hint="default" w:ascii="Times New Roman" w:hAnsi="Times New Roman" w:cs="Times New Roman"/>
                <w:highlight w:val="none"/>
              </w:rPr>
            </w:pPr>
          </w:p>
        </w:tc>
        <w:tc>
          <w:tcPr>
            <w:tcW w:w="1857" w:type="dxa"/>
            <w:vMerge w:val="continue"/>
            <w:vAlign w:val="center"/>
          </w:tcPr>
          <w:p w14:paraId="6D56D11C">
            <w:pPr>
              <w:pStyle w:val="22"/>
              <w:bidi w:val="0"/>
              <w:jc w:val="center"/>
              <w:rPr>
                <w:rFonts w:hint="default" w:ascii="Times New Roman" w:hAnsi="Times New Roman" w:cs="Times New Roman"/>
                <w:highlight w:val="none"/>
              </w:rPr>
            </w:pPr>
          </w:p>
        </w:tc>
        <w:tc>
          <w:tcPr>
            <w:tcW w:w="1910" w:type="dxa"/>
            <w:vMerge w:val="continue"/>
            <w:vAlign w:val="center"/>
          </w:tcPr>
          <w:p w14:paraId="016D0271">
            <w:pPr>
              <w:pStyle w:val="22"/>
              <w:bidi w:val="0"/>
              <w:jc w:val="center"/>
              <w:rPr>
                <w:rFonts w:hint="default" w:ascii="Times New Roman" w:hAnsi="Times New Roman" w:cs="Times New Roman"/>
                <w:highlight w:val="none"/>
              </w:rPr>
            </w:pPr>
          </w:p>
        </w:tc>
        <w:tc>
          <w:tcPr>
            <w:tcW w:w="2357" w:type="dxa"/>
            <w:vAlign w:val="center"/>
          </w:tcPr>
          <w:p w14:paraId="135AD71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14.池生菱形藻</w:t>
            </w:r>
          </w:p>
          <w:p w14:paraId="6F89CD6D">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Nitzschia stagnorum</w:t>
            </w:r>
          </w:p>
        </w:tc>
        <w:tc>
          <w:tcPr>
            <w:tcW w:w="534" w:type="dxa"/>
            <w:vAlign w:val="center"/>
          </w:tcPr>
          <w:p w14:paraId="28C2A64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15F3456">
            <w:pPr>
              <w:pStyle w:val="22"/>
              <w:bidi w:val="0"/>
              <w:jc w:val="center"/>
              <w:rPr>
                <w:rFonts w:hint="default" w:ascii="Times New Roman" w:hAnsi="Times New Roman" w:cs="Times New Roman"/>
                <w:highlight w:val="none"/>
              </w:rPr>
            </w:pPr>
          </w:p>
        </w:tc>
        <w:tc>
          <w:tcPr>
            <w:tcW w:w="535" w:type="dxa"/>
            <w:vAlign w:val="center"/>
          </w:tcPr>
          <w:p w14:paraId="388FB8A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C1E496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893E98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309965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E0B5698">
            <w:pPr>
              <w:pStyle w:val="22"/>
              <w:bidi w:val="0"/>
              <w:jc w:val="center"/>
              <w:rPr>
                <w:rFonts w:hint="default" w:ascii="Times New Roman" w:hAnsi="Times New Roman" w:cs="Times New Roman"/>
                <w:highlight w:val="none"/>
              </w:rPr>
            </w:pPr>
          </w:p>
        </w:tc>
        <w:tc>
          <w:tcPr>
            <w:tcW w:w="535" w:type="dxa"/>
            <w:vAlign w:val="center"/>
          </w:tcPr>
          <w:p w14:paraId="26345CB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E8139EA">
            <w:pPr>
              <w:pStyle w:val="22"/>
              <w:bidi w:val="0"/>
              <w:jc w:val="center"/>
              <w:rPr>
                <w:rFonts w:hint="default" w:ascii="Times New Roman" w:hAnsi="Times New Roman" w:cs="Times New Roman"/>
                <w:highlight w:val="none"/>
              </w:rPr>
            </w:pPr>
          </w:p>
        </w:tc>
        <w:tc>
          <w:tcPr>
            <w:tcW w:w="535" w:type="dxa"/>
            <w:vAlign w:val="center"/>
          </w:tcPr>
          <w:p w14:paraId="61443D4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39E1619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2AE9FC8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44B60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361D378B">
            <w:pPr>
              <w:pStyle w:val="22"/>
              <w:bidi w:val="0"/>
              <w:jc w:val="center"/>
              <w:rPr>
                <w:rFonts w:hint="default" w:ascii="Times New Roman" w:hAnsi="Times New Roman" w:cs="Times New Roman"/>
                <w:highlight w:val="none"/>
              </w:rPr>
            </w:pPr>
          </w:p>
        </w:tc>
        <w:tc>
          <w:tcPr>
            <w:tcW w:w="1857" w:type="dxa"/>
            <w:vMerge w:val="continue"/>
            <w:vAlign w:val="center"/>
          </w:tcPr>
          <w:p w14:paraId="4585A35F">
            <w:pPr>
              <w:pStyle w:val="22"/>
              <w:bidi w:val="0"/>
              <w:jc w:val="center"/>
              <w:rPr>
                <w:rFonts w:hint="default" w:ascii="Times New Roman" w:hAnsi="Times New Roman" w:cs="Times New Roman"/>
                <w:highlight w:val="none"/>
              </w:rPr>
            </w:pPr>
          </w:p>
        </w:tc>
        <w:tc>
          <w:tcPr>
            <w:tcW w:w="1910" w:type="dxa"/>
            <w:vMerge w:val="continue"/>
            <w:vAlign w:val="center"/>
          </w:tcPr>
          <w:p w14:paraId="218D5AF1">
            <w:pPr>
              <w:pStyle w:val="22"/>
              <w:bidi w:val="0"/>
              <w:jc w:val="center"/>
              <w:rPr>
                <w:rFonts w:hint="default" w:ascii="Times New Roman" w:hAnsi="Times New Roman" w:cs="Times New Roman"/>
                <w:highlight w:val="none"/>
              </w:rPr>
            </w:pPr>
          </w:p>
        </w:tc>
        <w:tc>
          <w:tcPr>
            <w:tcW w:w="2357" w:type="dxa"/>
            <w:vAlign w:val="center"/>
          </w:tcPr>
          <w:p w14:paraId="4CF0810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15.针形菱形藻</w:t>
            </w:r>
          </w:p>
          <w:p w14:paraId="3235CCF4">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N.acicularis</w:t>
            </w:r>
          </w:p>
        </w:tc>
        <w:tc>
          <w:tcPr>
            <w:tcW w:w="534" w:type="dxa"/>
            <w:vAlign w:val="center"/>
          </w:tcPr>
          <w:p w14:paraId="5E36EC32">
            <w:pPr>
              <w:pStyle w:val="22"/>
              <w:bidi w:val="0"/>
              <w:jc w:val="center"/>
              <w:rPr>
                <w:rFonts w:hint="default" w:ascii="Times New Roman" w:hAnsi="Times New Roman" w:cs="Times New Roman"/>
                <w:highlight w:val="none"/>
              </w:rPr>
            </w:pPr>
          </w:p>
        </w:tc>
        <w:tc>
          <w:tcPr>
            <w:tcW w:w="534" w:type="dxa"/>
            <w:vAlign w:val="center"/>
          </w:tcPr>
          <w:p w14:paraId="527DDB10">
            <w:pPr>
              <w:pStyle w:val="22"/>
              <w:bidi w:val="0"/>
              <w:jc w:val="center"/>
              <w:rPr>
                <w:rFonts w:hint="default" w:ascii="Times New Roman" w:hAnsi="Times New Roman" w:cs="Times New Roman"/>
                <w:highlight w:val="none"/>
              </w:rPr>
            </w:pPr>
          </w:p>
        </w:tc>
        <w:tc>
          <w:tcPr>
            <w:tcW w:w="535" w:type="dxa"/>
            <w:vAlign w:val="center"/>
          </w:tcPr>
          <w:p w14:paraId="6A2A419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CBD84AD">
            <w:pPr>
              <w:pStyle w:val="22"/>
              <w:bidi w:val="0"/>
              <w:jc w:val="center"/>
              <w:rPr>
                <w:rFonts w:hint="default" w:ascii="Times New Roman" w:hAnsi="Times New Roman" w:cs="Times New Roman"/>
                <w:highlight w:val="none"/>
              </w:rPr>
            </w:pPr>
          </w:p>
        </w:tc>
        <w:tc>
          <w:tcPr>
            <w:tcW w:w="534" w:type="dxa"/>
            <w:vAlign w:val="center"/>
          </w:tcPr>
          <w:p w14:paraId="50843F51">
            <w:pPr>
              <w:pStyle w:val="22"/>
              <w:bidi w:val="0"/>
              <w:jc w:val="center"/>
              <w:rPr>
                <w:rFonts w:hint="default" w:ascii="Times New Roman" w:hAnsi="Times New Roman" w:cs="Times New Roman"/>
                <w:highlight w:val="none"/>
              </w:rPr>
            </w:pPr>
          </w:p>
        </w:tc>
        <w:tc>
          <w:tcPr>
            <w:tcW w:w="534" w:type="dxa"/>
            <w:vAlign w:val="center"/>
          </w:tcPr>
          <w:p w14:paraId="12D7439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C80344D">
            <w:pPr>
              <w:pStyle w:val="22"/>
              <w:bidi w:val="0"/>
              <w:jc w:val="center"/>
              <w:rPr>
                <w:rFonts w:hint="default" w:ascii="Times New Roman" w:hAnsi="Times New Roman" w:cs="Times New Roman"/>
                <w:highlight w:val="none"/>
              </w:rPr>
            </w:pPr>
          </w:p>
        </w:tc>
        <w:tc>
          <w:tcPr>
            <w:tcW w:w="535" w:type="dxa"/>
            <w:vAlign w:val="center"/>
          </w:tcPr>
          <w:p w14:paraId="4E6A01B7">
            <w:pPr>
              <w:pStyle w:val="22"/>
              <w:bidi w:val="0"/>
              <w:jc w:val="center"/>
              <w:rPr>
                <w:rFonts w:hint="default" w:ascii="Times New Roman" w:hAnsi="Times New Roman" w:cs="Times New Roman"/>
                <w:highlight w:val="none"/>
              </w:rPr>
            </w:pPr>
          </w:p>
        </w:tc>
        <w:tc>
          <w:tcPr>
            <w:tcW w:w="535" w:type="dxa"/>
            <w:vAlign w:val="center"/>
          </w:tcPr>
          <w:p w14:paraId="2A7D0B1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E322466">
            <w:pPr>
              <w:pStyle w:val="22"/>
              <w:bidi w:val="0"/>
              <w:jc w:val="center"/>
              <w:rPr>
                <w:rFonts w:hint="default" w:ascii="Times New Roman" w:hAnsi="Times New Roman" w:cs="Times New Roman"/>
                <w:highlight w:val="none"/>
              </w:rPr>
            </w:pPr>
          </w:p>
        </w:tc>
        <w:tc>
          <w:tcPr>
            <w:tcW w:w="535" w:type="dxa"/>
            <w:vAlign w:val="center"/>
          </w:tcPr>
          <w:p w14:paraId="11FAD81C">
            <w:pPr>
              <w:pStyle w:val="22"/>
              <w:bidi w:val="0"/>
              <w:jc w:val="center"/>
              <w:rPr>
                <w:rFonts w:hint="default" w:ascii="Times New Roman" w:hAnsi="Times New Roman" w:cs="Times New Roman"/>
                <w:highlight w:val="none"/>
              </w:rPr>
            </w:pPr>
          </w:p>
        </w:tc>
        <w:tc>
          <w:tcPr>
            <w:tcW w:w="540" w:type="dxa"/>
            <w:vAlign w:val="center"/>
          </w:tcPr>
          <w:p w14:paraId="1AD1001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40745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2CCEF5C7">
            <w:pPr>
              <w:pStyle w:val="22"/>
              <w:bidi w:val="0"/>
              <w:jc w:val="center"/>
              <w:rPr>
                <w:rFonts w:hint="default" w:ascii="Times New Roman" w:hAnsi="Times New Roman" w:cs="Times New Roman"/>
                <w:highlight w:val="none"/>
              </w:rPr>
            </w:pPr>
          </w:p>
        </w:tc>
        <w:tc>
          <w:tcPr>
            <w:tcW w:w="1857" w:type="dxa"/>
            <w:vAlign w:val="center"/>
          </w:tcPr>
          <w:p w14:paraId="481FEFA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4.双肋藻科</w:t>
            </w:r>
          </w:p>
          <w:p w14:paraId="0EE5801B">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Amphipleuraceae</w:t>
            </w:r>
          </w:p>
        </w:tc>
        <w:tc>
          <w:tcPr>
            <w:tcW w:w="1910" w:type="dxa"/>
            <w:vAlign w:val="center"/>
          </w:tcPr>
          <w:p w14:paraId="4C40935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6.双肋藻属</w:t>
            </w:r>
          </w:p>
          <w:p w14:paraId="5B55D55D">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Amphipleura</w:t>
            </w:r>
          </w:p>
        </w:tc>
        <w:tc>
          <w:tcPr>
            <w:tcW w:w="2357" w:type="dxa"/>
            <w:vAlign w:val="center"/>
          </w:tcPr>
          <w:p w14:paraId="5290D2A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17</w:t>
            </w:r>
            <w:r>
              <w:rPr>
                <w:rFonts w:hint="eastAsia" w:cs="Times New Roman"/>
                <w:highlight w:val="none"/>
                <w:lang w:eastAsia="zh-CN"/>
              </w:rPr>
              <w:t>.</w:t>
            </w:r>
            <w:r>
              <w:rPr>
                <w:rFonts w:hint="default" w:ascii="Times New Roman" w:hAnsi="Times New Roman" w:cs="Times New Roman"/>
                <w:highlight w:val="none"/>
              </w:rPr>
              <w:t>透明双肋藻</w:t>
            </w:r>
          </w:p>
          <w:p w14:paraId="44FF7309">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Amphipleura pellucide</w:t>
            </w:r>
          </w:p>
        </w:tc>
        <w:tc>
          <w:tcPr>
            <w:tcW w:w="534" w:type="dxa"/>
            <w:vAlign w:val="center"/>
          </w:tcPr>
          <w:p w14:paraId="32F36E1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1FCB1A3">
            <w:pPr>
              <w:pStyle w:val="22"/>
              <w:bidi w:val="0"/>
              <w:jc w:val="center"/>
              <w:rPr>
                <w:rFonts w:hint="default" w:ascii="Times New Roman" w:hAnsi="Times New Roman" w:cs="Times New Roman"/>
                <w:highlight w:val="none"/>
              </w:rPr>
            </w:pPr>
          </w:p>
        </w:tc>
        <w:tc>
          <w:tcPr>
            <w:tcW w:w="535" w:type="dxa"/>
            <w:vAlign w:val="center"/>
          </w:tcPr>
          <w:p w14:paraId="4F3314B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0672533">
            <w:pPr>
              <w:pStyle w:val="22"/>
              <w:bidi w:val="0"/>
              <w:jc w:val="center"/>
              <w:rPr>
                <w:rFonts w:hint="default" w:ascii="Times New Roman" w:hAnsi="Times New Roman" w:cs="Times New Roman"/>
                <w:highlight w:val="none"/>
              </w:rPr>
            </w:pPr>
          </w:p>
        </w:tc>
        <w:tc>
          <w:tcPr>
            <w:tcW w:w="534" w:type="dxa"/>
            <w:vAlign w:val="center"/>
          </w:tcPr>
          <w:p w14:paraId="702FA37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FDDA86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E358052">
            <w:pPr>
              <w:pStyle w:val="22"/>
              <w:bidi w:val="0"/>
              <w:jc w:val="center"/>
              <w:rPr>
                <w:rFonts w:hint="default" w:ascii="Times New Roman" w:hAnsi="Times New Roman" w:cs="Times New Roman"/>
                <w:highlight w:val="none"/>
              </w:rPr>
            </w:pPr>
          </w:p>
        </w:tc>
        <w:tc>
          <w:tcPr>
            <w:tcW w:w="535" w:type="dxa"/>
            <w:vAlign w:val="center"/>
          </w:tcPr>
          <w:p w14:paraId="5DE9D3A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5FB51B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7137D5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1E902C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5004630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77377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restart"/>
            <w:vAlign w:val="center"/>
          </w:tcPr>
          <w:p w14:paraId="47FC6450">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2.绿藻</w:t>
            </w:r>
            <w:r>
              <w:rPr>
                <w:rFonts w:hint="eastAsia" w:cs="Times New Roman"/>
                <w:highlight w:val="none"/>
                <w:lang w:eastAsia="zh-CN"/>
              </w:rPr>
              <w:t>门</w:t>
            </w:r>
          </w:p>
        </w:tc>
        <w:tc>
          <w:tcPr>
            <w:tcW w:w="1857" w:type="dxa"/>
            <w:vMerge w:val="restart"/>
            <w:vAlign w:val="center"/>
          </w:tcPr>
          <w:p w14:paraId="72D5D3C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5.双星藻科</w:t>
            </w:r>
            <w:r>
              <w:rPr>
                <w:rFonts w:hint="default" w:ascii="Times New Roman" w:hAnsi="Times New Roman" w:cs="Times New Roman"/>
                <w:i/>
                <w:iCs w:val="0"/>
                <w:highlight w:val="none"/>
              </w:rPr>
              <w:t>Zygnemataceae</w:t>
            </w:r>
          </w:p>
        </w:tc>
        <w:tc>
          <w:tcPr>
            <w:tcW w:w="1910" w:type="dxa"/>
            <w:vAlign w:val="center"/>
          </w:tcPr>
          <w:p w14:paraId="26DE2BD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 xml:space="preserve">7.水绵属 </w:t>
            </w:r>
          </w:p>
          <w:p w14:paraId="2E454FAF">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Spirogyra</w:t>
            </w:r>
          </w:p>
        </w:tc>
        <w:tc>
          <w:tcPr>
            <w:tcW w:w="2357" w:type="dxa"/>
            <w:vAlign w:val="center"/>
          </w:tcPr>
          <w:p w14:paraId="469501F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18.水绵</w:t>
            </w:r>
            <w:r>
              <w:rPr>
                <w:rFonts w:hint="default" w:ascii="Times New Roman" w:hAnsi="Times New Roman" w:cs="Times New Roman"/>
                <w:i/>
                <w:iCs w:val="0"/>
                <w:highlight w:val="none"/>
              </w:rPr>
              <w:t>Spiyogyra sp</w:t>
            </w:r>
            <w:r>
              <w:rPr>
                <w:rFonts w:hint="default" w:ascii="Times New Roman" w:hAnsi="Times New Roman" w:cs="Times New Roman"/>
                <w:highlight w:val="none"/>
              </w:rPr>
              <w:t>.</w:t>
            </w:r>
          </w:p>
        </w:tc>
        <w:tc>
          <w:tcPr>
            <w:tcW w:w="534" w:type="dxa"/>
            <w:vAlign w:val="center"/>
          </w:tcPr>
          <w:p w14:paraId="27D5D87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907749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4C54143">
            <w:pPr>
              <w:pStyle w:val="22"/>
              <w:bidi w:val="0"/>
              <w:jc w:val="center"/>
              <w:rPr>
                <w:rFonts w:hint="default" w:ascii="Times New Roman" w:hAnsi="Times New Roman" w:cs="Times New Roman"/>
                <w:highlight w:val="none"/>
              </w:rPr>
            </w:pPr>
          </w:p>
        </w:tc>
        <w:tc>
          <w:tcPr>
            <w:tcW w:w="534" w:type="dxa"/>
            <w:vAlign w:val="center"/>
          </w:tcPr>
          <w:p w14:paraId="3DCF4DC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DC339F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D78F954">
            <w:pPr>
              <w:pStyle w:val="22"/>
              <w:bidi w:val="0"/>
              <w:jc w:val="center"/>
              <w:rPr>
                <w:rFonts w:hint="default" w:ascii="Times New Roman" w:hAnsi="Times New Roman" w:cs="Times New Roman"/>
                <w:highlight w:val="none"/>
              </w:rPr>
            </w:pPr>
          </w:p>
        </w:tc>
        <w:tc>
          <w:tcPr>
            <w:tcW w:w="534" w:type="dxa"/>
            <w:vAlign w:val="center"/>
          </w:tcPr>
          <w:p w14:paraId="107CE2B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E74FFF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75A0322">
            <w:pPr>
              <w:pStyle w:val="22"/>
              <w:bidi w:val="0"/>
              <w:jc w:val="center"/>
              <w:rPr>
                <w:rFonts w:hint="default" w:ascii="Times New Roman" w:hAnsi="Times New Roman" w:cs="Times New Roman"/>
                <w:highlight w:val="none"/>
              </w:rPr>
            </w:pPr>
          </w:p>
        </w:tc>
        <w:tc>
          <w:tcPr>
            <w:tcW w:w="535" w:type="dxa"/>
            <w:vAlign w:val="center"/>
          </w:tcPr>
          <w:p w14:paraId="753B3AC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B6ACC5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741C701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A767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42745B10">
            <w:pPr>
              <w:pStyle w:val="22"/>
              <w:bidi w:val="0"/>
              <w:jc w:val="center"/>
              <w:rPr>
                <w:rFonts w:hint="default" w:ascii="Times New Roman" w:hAnsi="Times New Roman" w:cs="Times New Roman"/>
                <w:highlight w:val="none"/>
              </w:rPr>
            </w:pPr>
          </w:p>
        </w:tc>
        <w:tc>
          <w:tcPr>
            <w:tcW w:w="1857" w:type="dxa"/>
            <w:vMerge w:val="continue"/>
            <w:vAlign w:val="center"/>
          </w:tcPr>
          <w:p w14:paraId="782EF35F">
            <w:pPr>
              <w:pStyle w:val="22"/>
              <w:bidi w:val="0"/>
              <w:jc w:val="center"/>
              <w:rPr>
                <w:rFonts w:hint="default" w:ascii="Times New Roman" w:hAnsi="Times New Roman" w:cs="Times New Roman"/>
                <w:highlight w:val="none"/>
              </w:rPr>
            </w:pPr>
          </w:p>
        </w:tc>
        <w:tc>
          <w:tcPr>
            <w:tcW w:w="1910" w:type="dxa"/>
            <w:vAlign w:val="center"/>
          </w:tcPr>
          <w:p w14:paraId="3F4B24B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8.双星藻属</w:t>
            </w:r>
          </w:p>
          <w:p w14:paraId="2EB1ED9A">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Zygnema</w:t>
            </w:r>
          </w:p>
        </w:tc>
        <w:tc>
          <w:tcPr>
            <w:tcW w:w="2357" w:type="dxa"/>
            <w:vAlign w:val="center"/>
          </w:tcPr>
          <w:p w14:paraId="09A2BD7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19.双星藻</w:t>
            </w:r>
            <w:r>
              <w:rPr>
                <w:rFonts w:hint="default" w:ascii="Times New Roman" w:hAnsi="Times New Roman" w:cs="Times New Roman"/>
                <w:i/>
                <w:iCs w:val="0"/>
                <w:highlight w:val="none"/>
              </w:rPr>
              <w:t>Zygnema sp.</w:t>
            </w:r>
          </w:p>
        </w:tc>
        <w:tc>
          <w:tcPr>
            <w:tcW w:w="534" w:type="dxa"/>
            <w:vAlign w:val="center"/>
          </w:tcPr>
          <w:p w14:paraId="5BCC51B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CD102BD">
            <w:pPr>
              <w:pStyle w:val="22"/>
              <w:bidi w:val="0"/>
              <w:jc w:val="center"/>
              <w:rPr>
                <w:rFonts w:hint="default" w:ascii="Times New Roman" w:hAnsi="Times New Roman" w:cs="Times New Roman"/>
                <w:highlight w:val="none"/>
              </w:rPr>
            </w:pPr>
          </w:p>
        </w:tc>
        <w:tc>
          <w:tcPr>
            <w:tcW w:w="535" w:type="dxa"/>
            <w:vAlign w:val="center"/>
          </w:tcPr>
          <w:p w14:paraId="3B5BBB5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1848A7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6306BF4">
            <w:pPr>
              <w:pStyle w:val="22"/>
              <w:bidi w:val="0"/>
              <w:jc w:val="center"/>
              <w:rPr>
                <w:rFonts w:hint="default" w:ascii="Times New Roman" w:hAnsi="Times New Roman" w:cs="Times New Roman"/>
                <w:highlight w:val="none"/>
              </w:rPr>
            </w:pPr>
          </w:p>
        </w:tc>
        <w:tc>
          <w:tcPr>
            <w:tcW w:w="534" w:type="dxa"/>
            <w:vAlign w:val="center"/>
          </w:tcPr>
          <w:p w14:paraId="118474C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C1BD48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98FCB6C">
            <w:pPr>
              <w:pStyle w:val="22"/>
              <w:bidi w:val="0"/>
              <w:jc w:val="center"/>
              <w:rPr>
                <w:rFonts w:hint="default" w:ascii="Times New Roman" w:hAnsi="Times New Roman" w:cs="Times New Roman"/>
                <w:highlight w:val="none"/>
              </w:rPr>
            </w:pPr>
          </w:p>
        </w:tc>
        <w:tc>
          <w:tcPr>
            <w:tcW w:w="535" w:type="dxa"/>
            <w:vAlign w:val="center"/>
          </w:tcPr>
          <w:p w14:paraId="014780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94273C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796B989">
            <w:pPr>
              <w:pStyle w:val="22"/>
              <w:bidi w:val="0"/>
              <w:jc w:val="center"/>
              <w:rPr>
                <w:rFonts w:hint="default" w:ascii="Times New Roman" w:hAnsi="Times New Roman" w:cs="Times New Roman"/>
                <w:highlight w:val="none"/>
              </w:rPr>
            </w:pPr>
          </w:p>
        </w:tc>
        <w:tc>
          <w:tcPr>
            <w:tcW w:w="540" w:type="dxa"/>
            <w:vAlign w:val="center"/>
          </w:tcPr>
          <w:p w14:paraId="6F41C29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3C1F1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472DD1C4">
            <w:pPr>
              <w:pStyle w:val="22"/>
              <w:bidi w:val="0"/>
              <w:jc w:val="center"/>
              <w:rPr>
                <w:rFonts w:hint="default" w:ascii="Times New Roman" w:hAnsi="Times New Roman" w:cs="Times New Roman"/>
                <w:highlight w:val="none"/>
              </w:rPr>
            </w:pPr>
          </w:p>
        </w:tc>
        <w:tc>
          <w:tcPr>
            <w:tcW w:w="1857" w:type="dxa"/>
            <w:vMerge w:val="restart"/>
            <w:vAlign w:val="center"/>
          </w:tcPr>
          <w:p w14:paraId="1E82001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6.水网藻科</w:t>
            </w:r>
          </w:p>
          <w:p w14:paraId="2FA67EBD">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Hydrodictyaceae</w:t>
            </w:r>
          </w:p>
        </w:tc>
        <w:tc>
          <w:tcPr>
            <w:tcW w:w="1910" w:type="dxa"/>
            <w:vMerge w:val="restart"/>
            <w:vAlign w:val="center"/>
          </w:tcPr>
          <w:p w14:paraId="32A28CE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9.盘星藻属</w:t>
            </w:r>
          </w:p>
          <w:p w14:paraId="643FDD67">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Pediastrum</w:t>
            </w:r>
          </w:p>
        </w:tc>
        <w:tc>
          <w:tcPr>
            <w:tcW w:w="2357" w:type="dxa"/>
            <w:vAlign w:val="center"/>
          </w:tcPr>
          <w:p w14:paraId="672FFE8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20.单角盘星藻</w:t>
            </w:r>
            <w:r>
              <w:rPr>
                <w:rFonts w:hint="default" w:ascii="Times New Roman" w:hAnsi="Times New Roman" w:cs="Times New Roman"/>
                <w:i/>
                <w:iCs w:val="0"/>
                <w:highlight w:val="none"/>
              </w:rPr>
              <w:t>P.simplex</w:t>
            </w:r>
          </w:p>
        </w:tc>
        <w:tc>
          <w:tcPr>
            <w:tcW w:w="534" w:type="dxa"/>
            <w:vAlign w:val="center"/>
          </w:tcPr>
          <w:p w14:paraId="6D0F1615">
            <w:pPr>
              <w:pStyle w:val="22"/>
              <w:bidi w:val="0"/>
              <w:jc w:val="center"/>
              <w:rPr>
                <w:rFonts w:hint="default" w:ascii="Times New Roman" w:hAnsi="Times New Roman" w:cs="Times New Roman"/>
                <w:highlight w:val="none"/>
              </w:rPr>
            </w:pPr>
          </w:p>
        </w:tc>
        <w:tc>
          <w:tcPr>
            <w:tcW w:w="534" w:type="dxa"/>
            <w:vAlign w:val="center"/>
          </w:tcPr>
          <w:p w14:paraId="136EBA8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E778523">
            <w:pPr>
              <w:pStyle w:val="22"/>
              <w:bidi w:val="0"/>
              <w:jc w:val="center"/>
              <w:rPr>
                <w:rFonts w:hint="default" w:ascii="Times New Roman" w:hAnsi="Times New Roman" w:cs="Times New Roman"/>
                <w:highlight w:val="none"/>
              </w:rPr>
            </w:pPr>
          </w:p>
        </w:tc>
        <w:tc>
          <w:tcPr>
            <w:tcW w:w="534" w:type="dxa"/>
            <w:vAlign w:val="center"/>
          </w:tcPr>
          <w:p w14:paraId="0AF394AE">
            <w:pPr>
              <w:pStyle w:val="22"/>
              <w:bidi w:val="0"/>
              <w:jc w:val="center"/>
              <w:rPr>
                <w:rFonts w:hint="default" w:ascii="Times New Roman" w:hAnsi="Times New Roman" w:cs="Times New Roman"/>
                <w:highlight w:val="none"/>
              </w:rPr>
            </w:pPr>
          </w:p>
        </w:tc>
        <w:tc>
          <w:tcPr>
            <w:tcW w:w="534" w:type="dxa"/>
            <w:vAlign w:val="center"/>
          </w:tcPr>
          <w:p w14:paraId="66A28F36">
            <w:pPr>
              <w:pStyle w:val="22"/>
              <w:bidi w:val="0"/>
              <w:jc w:val="center"/>
              <w:rPr>
                <w:rFonts w:hint="default" w:ascii="Times New Roman" w:hAnsi="Times New Roman" w:cs="Times New Roman"/>
                <w:highlight w:val="none"/>
              </w:rPr>
            </w:pPr>
          </w:p>
        </w:tc>
        <w:tc>
          <w:tcPr>
            <w:tcW w:w="534" w:type="dxa"/>
            <w:vAlign w:val="center"/>
          </w:tcPr>
          <w:p w14:paraId="262700DF">
            <w:pPr>
              <w:pStyle w:val="22"/>
              <w:bidi w:val="0"/>
              <w:jc w:val="center"/>
              <w:rPr>
                <w:rFonts w:hint="default" w:ascii="Times New Roman" w:hAnsi="Times New Roman" w:cs="Times New Roman"/>
                <w:highlight w:val="none"/>
              </w:rPr>
            </w:pPr>
          </w:p>
        </w:tc>
        <w:tc>
          <w:tcPr>
            <w:tcW w:w="534" w:type="dxa"/>
            <w:vAlign w:val="center"/>
          </w:tcPr>
          <w:p w14:paraId="108CC698">
            <w:pPr>
              <w:pStyle w:val="22"/>
              <w:bidi w:val="0"/>
              <w:jc w:val="center"/>
              <w:rPr>
                <w:rFonts w:hint="default" w:ascii="Times New Roman" w:hAnsi="Times New Roman" w:cs="Times New Roman"/>
                <w:highlight w:val="none"/>
              </w:rPr>
            </w:pPr>
          </w:p>
        </w:tc>
        <w:tc>
          <w:tcPr>
            <w:tcW w:w="535" w:type="dxa"/>
            <w:vAlign w:val="center"/>
          </w:tcPr>
          <w:p w14:paraId="280C3DD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E864399">
            <w:pPr>
              <w:pStyle w:val="22"/>
              <w:bidi w:val="0"/>
              <w:jc w:val="center"/>
              <w:rPr>
                <w:rFonts w:hint="default" w:ascii="Times New Roman" w:hAnsi="Times New Roman" w:cs="Times New Roman"/>
                <w:highlight w:val="none"/>
              </w:rPr>
            </w:pPr>
          </w:p>
        </w:tc>
        <w:tc>
          <w:tcPr>
            <w:tcW w:w="535" w:type="dxa"/>
            <w:vAlign w:val="center"/>
          </w:tcPr>
          <w:p w14:paraId="40680CEA">
            <w:pPr>
              <w:pStyle w:val="22"/>
              <w:bidi w:val="0"/>
              <w:jc w:val="center"/>
              <w:rPr>
                <w:rFonts w:hint="default" w:ascii="Times New Roman" w:hAnsi="Times New Roman" w:cs="Times New Roman"/>
                <w:highlight w:val="none"/>
              </w:rPr>
            </w:pPr>
          </w:p>
        </w:tc>
        <w:tc>
          <w:tcPr>
            <w:tcW w:w="535" w:type="dxa"/>
            <w:vAlign w:val="center"/>
          </w:tcPr>
          <w:p w14:paraId="707CF516">
            <w:pPr>
              <w:pStyle w:val="22"/>
              <w:bidi w:val="0"/>
              <w:jc w:val="center"/>
              <w:rPr>
                <w:rFonts w:hint="default" w:ascii="Times New Roman" w:hAnsi="Times New Roman" w:cs="Times New Roman"/>
                <w:highlight w:val="none"/>
              </w:rPr>
            </w:pPr>
          </w:p>
        </w:tc>
        <w:tc>
          <w:tcPr>
            <w:tcW w:w="540" w:type="dxa"/>
            <w:vAlign w:val="center"/>
          </w:tcPr>
          <w:p w14:paraId="6548AD7D">
            <w:pPr>
              <w:pStyle w:val="22"/>
              <w:bidi w:val="0"/>
              <w:jc w:val="center"/>
              <w:rPr>
                <w:rFonts w:hint="default" w:ascii="Times New Roman" w:hAnsi="Times New Roman" w:cs="Times New Roman"/>
                <w:highlight w:val="none"/>
              </w:rPr>
            </w:pPr>
          </w:p>
        </w:tc>
      </w:tr>
      <w:tr w14:paraId="5AA06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361CED1A">
            <w:pPr>
              <w:pStyle w:val="22"/>
              <w:bidi w:val="0"/>
              <w:jc w:val="center"/>
              <w:rPr>
                <w:rFonts w:hint="default" w:ascii="Times New Roman" w:hAnsi="Times New Roman" w:cs="Times New Roman"/>
                <w:highlight w:val="none"/>
              </w:rPr>
            </w:pPr>
          </w:p>
        </w:tc>
        <w:tc>
          <w:tcPr>
            <w:tcW w:w="1857" w:type="dxa"/>
            <w:vMerge w:val="continue"/>
            <w:vAlign w:val="center"/>
          </w:tcPr>
          <w:p w14:paraId="180C08CB">
            <w:pPr>
              <w:pStyle w:val="22"/>
              <w:bidi w:val="0"/>
              <w:jc w:val="center"/>
              <w:rPr>
                <w:rFonts w:hint="default" w:ascii="Times New Roman" w:hAnsi="Times New Roman" w:cs="Times New Roman"/>
                <w:highlight w:val="none"/>
              </w:rPr>
            </w:pPr>
          </w:p>
        </w:tc>
        <w:tc>
          <w:tcPr>
            <w:tcW w:w="1910" w:type="dxa"/>
            <w:vMerge w:val="continue"/>
            <w:vAlign w:val="center"/>
          </w:tcPr>
          <w:p w14:paraId="5E17203B">
            <w:pPr>
              <w:pStyle w:val="22"/>
              <w:bidi w:val="0"/>
              <w:jc w:val="center"/>
              <w:rPr>
                <w:rFonts w:hint="default" w:ascii="Times New Roman" w:hAnsi="Times New Roman" w:cs="Times New Roman"/>
                <w:highlight w:val="none"/>
              </w:rPr>
            </w:pPr>
          </w:p>
        </w:tc>
        <w:tc>
          <w:tcPr>
            <w:tcW w:w="2357" w:type="dxa"/>
            <w:vAlign w:val="center"/>
          </w:tcPr>
          <w:p w14:paraId="0DC66D2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21.二角盘星藻</w:t>
            </w:r>
            <w:r>
              <w:rPr>
                <w:rFonts w:hint="default" w:ascii="Times New Roman" w:hAnsi="Times New Roman" w:cs="Times New Roman"/>
                <w:i/>
                <w:iCs w:val="0"/>
                <w:highlight w:val="none"/>
              </w:rPr>
              <w:t>P.duplex</w:t>
            </w:r>
          </w:p>
        </w:tc>
        <w:tc>
          <w:tcPr>
            <w:tcW w:w="534" w:type="dxa"/>
            <w:vAlign w:val="center"/>
          </w:tcPr>
          <w:p w14:paraId="4F5A99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11DCC3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D23783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40576D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757BC0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4233C5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6BEA51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D576CB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3935195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375BC3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EEBF45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396CDA3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11187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31C616A2">
            <w:pPr>
              <w:pStyle w:val="22"/>
              <w:bidi w:val="0"/>
              <w:jc w:val="center"/>
              <w:rPr>
                <w:rFonts w:hint="default" w:ascii="Times New Roman" w:hAnsi="Times New Roman" w:cs="Times New Roman"/>
                <w:highlight w:val="none"/>
              </w:rPr>
            </w:pPr>
          </w:p>
        </w:tc>
        <w:tc>
          <w:tcPr>
            <w:tcW w:w="1857" w:type="dxa"/>
            <w:vMerge w:val="continue"/>
            <w:vAlign w:val="center"/>
          </w:tcPr>
          <w:p w14:paraId="4A9A0C82">
            <w:pPr>
              <w:pStyle w:val="22"/>
              <w:bidi w:val="0"/>
              <w:jc w:val="center"/>
              <w:rPr>
                <w:rFonts w:hint="default" w:ascii="Times New Roman" w:hAnsi="Times New Roman" w:cs="Times New Roman"/>
                <w:highlight w:val="none"/>
              </w:rPr>
            </w:pPr>
          </w:p>
        </w:tc>
        <w:tc>
          <w:tcPr>
            <w:tcW w:w="1910" w:type="dxa"/>
            <w:vMerge w:val="continue"/>
            <w:vAlign w:val="center"/>
          </w:tcPr>
          <w:p w14:paraId="23B1D941">
            <w:pPr>
              <w:pStyle w:val="22"/>
              <w:bidi w:val="0"/>
              <w:jc w:val="center"/>
              <w:rPr>
                <w:rFonts w:hint="default" w:ascii="Times New Roman" w:hAnsi="Times New Roman" w:cs="Times New Roman"/>
                <w:highlight w:val="none"/>
              </w:rPr>
            </w:pPr>
          </w:p>
        </w:tc>
        <w:tc>
          <w:tcPr>
            <w:tcW w:w="2357" w:type="dxa"/>
            <w:vAlign w:val="center"/>
          </w:tcPr>
          <w:p w14:paraId="5DFA871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22.短棘盘星藻</w:t>
            </w:r>
          </w:p>
          <w:p w14:paraId="3CD666F6">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pediastrum sp.</w:t>
            </w:r>
          </w:p>
        </w:tc>
        <w:tc>
          <w:tcPr>
            <w:tcW w:w="534" w:type="dxa"/>
            <w:vAlign w:val="center"/>
          </w:tcPr>
          <w:p w14:paraId="10B4716B">
            <w:pPr>
              <w:pStyle w:val="22"/>
              <w:bidi w:val="0"/>
              <w:jc w:val="center"/>
              <w:rPr>
                <w:rFonts w:hint="default" w:ascii="Times New Roman" w:hAnsi="Times New Roman" w:cs="Times New Roman"/>
                <w:highlight w:val="none"/>
              </w:rPr>
            </w:pPr>
          </w:p>
        </w:tc>
        <w:tc>
          <w:tcPr>
            <w:tcW w:w="534" w:type="dxa"/>
            <w:vAlign w:val="center"/>
          </w:tcPr>
          <w:p w14:paraId="44A0997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612C0F1">
            <w:pPr>
              <w:pStyle w:val="22"/>
              <w:bidi w:val="0"/>
              <w:jc w:val="center"/>
              <w:rPr>
                <w:rFonts w:hint="default" w:ascii="Times New Roman" w:hAnsi="Times New Roman" w:cs="Times New Roman"/>
                <w:highlight w:val="none"/>
              </w:rPr>
            </w:pPr>
          </w:p>
        </w:tc>
        <w:tc>
          <w:tcPr>
            <w:tcW w:w="534" w:type="dxa"/>
            <w:vAlign w:val="center"/>
          </w:tcPr>
          <w:p w14:paraId="7FEA7EEC">
            <w:pPr>
              <w:pStyle w:val="22"/>
              <w:bidi w:val="0"/>
              <w:jc w:val="center"/>
              <w:rPr>
                <w:rFonts w:hint="default" w:ascii="Times New Roman" w:hAnsi="Times New Roman" w:cs="Times New Roman"/>
                <w:highlight w:val="none"/>
              </w:rPr>
            </w:pPr>
          </w:p>
        </w:tc>
        <w:tc>
          <w:tcPr>
            <w:tcW w:w="534" w:type="dxa"/>
            <w:vAlign w:val="center"/>
          </w:tcPr>
          <w:p w14:paraId="2E23F83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0AC71C1">
            <w:pPr>
              <w:pStyle w:val="22"/>
              <w:bidi w:val="0"/>
              <w:jc w:val="center"/>
              <w:rPr>
                <w:rFonts w:hint="default" w:ascii="Times New Roman" w:hAnsi="Times New Roman" w:cs="Times New Roman"/>
                <w:highlight w:val="none"/>
              </w:rPr>
            </w:pPr>
          </w:p>
        </w:tc>
        <w:tc>
          <w:tcPr>
            <w:tcW w:w="534" w:type="dxa"/>
            <w:vAlign w:val="center"/>
          </w:tcPr>
          <w:p w14:paraId="0554275E">
            <w:pPr>
              <w:pStyle w:val="22"/>
              <w:bidi w:val="0"/>
              <w:jc w:val="center"/>
              <w:rPr>
                <w:rFonts w:hint="default" w:ascii="Times New Roman" w:hAnsi="Times New Roman" w:cs="Times New Roman"/>
                <w:highlight w:val="none"/>
              </w:rPr>
            </w:pPr>
          </w:p>
        </w:tc>
        <w:tc>
          <w:tcPr>
            <w:tcW w:w="535" w:type="dxa"/>
            <w:vAlign w:val="center"/>
          </w:tcPr>
          <w:p w14:paraId="1AD31AD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29F4CEF">
            <w:pPr>
              <w:pStyle w:val="22"/>
              <w:bidi w:val="0"/>
              <w:jc w:val="center"/>
              <w:rPr>
                <w:rFonts w:hint="default" w:ascii="Times New Roman" w:hAnsi="Times New Roman" w:cs="Times New Roman"/>
                <w:highlight w:val="none"/>
              </w:rPr>
            </w:pPr>
          </w:p>
        </w:tc>
        <w:tc>
          <w:tcPr>
            <w:tcW w:w="535" w:type="dxa"/>
            <w:vAlign w:val="center"/>
          </w:tcPr>
          <w:p w14:paraId="6D5A0905">
            <w:pPr>
              <w:pStyle w:val="22"/>
              <w:bidi w:val="0"/>
              <w:jc w:val="center"/>
              <w:rPr>
                <w:rFonts w:hint="default" w:ascii="Times New Roman" w:hAnsi="Times New Roman" w:cs="Times New Roman"/>
                <w:highlight w:val="none"/>
              </w:rPr>
            </w:pPr>
          </w:p>
        </w:tc>
        <w:tc>
          <w:tcPr>
            <w:tcW w:w="535" w:type="dxa"/>
            <w:vAlign w:val="center"/>
          </w:tcPr>
          <w:p w14:paraId="5B9E7DD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51DD59C4">
            <w:pPr>
              <w:pStyle w:val="22"/>
              <w:bidi w:val="0"/>
              <w:jc w:val="center"/>
              <w:rPr>
                <w:rFonts w:hint="default" w:ascii="Times New Roman" w:hAnsi="Times New Roman" w:cs="Times New Roman"/>
                <w:highlight w:val="none"/>
              </w:rPr>
            </w:pPr>
          </w:p>
        </w:tc>
      </w:tr>
      <w:tr w14:paraId="304D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2D00AEF6">
            <w:pPr>
              <w:pStyle w:val="22"/>
              <w:bidi w:val="0"/>
              <w:jc w:val="center"/>
              <w:rPr>
                <w:rFonts w:hint="default" w:ascii="Times New Roman" w:hAnsi="Times New Roman" w:cs="Times New Roman"/>
                <w:highlight w:val="none"/>
              </w:rPr>
            </w:pPr>
          </w:p>
        </w:tc>
        <w:tc>
          <w:tcPr>
            <w:tcW w:w="1857" w:type="dxa"/>
            <w:vMerge w:val="restart"/>
            <w:vAlign w:val="center"/>
          </w:tcPr>
          <w:p w14:paraId="25D02BC5">
            <w:pPr>
              <w:pStyle w:val="22"/>
              <w:numPr>
                <w:ilvl w:val="0"/>
                <w:numId w:val="35"/>
              </w:numPr>
              <w:bidi w:val="0"/>
              <w:jc w:val="center"/>
              <w:rPr>
                <w:rFonts w:hint="default" w:ascii="Times New Roman" w:hAnsi="Times New Roman" w:cs="Times New Roman"/>
                <w:highlight w:val="none"/>
              </w:rPr>
            </w:pPr>
            <w:r>
              <w:rPr>
                <w:rFonts w:hint="default" w:ascii="Times New Roman" w:hAnsi="Times New Roman" w:cs="Times New Roman"/>
                <w:highlight w:val="none"/>
              </w:rPr>
              <w:t>栅藻科</w:t>
            </w:r>
          </w:p>
          <w:p w14:paraId="453ED06A">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Scenedesmus</w:t>
            </w:r>
          </w:p>
        </w:tc>
        <w:tc>
          <w:tcPr>
            <w:tcW w:w="1910" w:type="dxa"/>
            <w:vMerge w:val="restart"/>
            <w:vAlign w:val="center"/>
          </w:tcPr>
          <w:p w14:paraId="67B40A5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10.栅藻属</w:t>
            </w:r>
          </w:p>
          <w:p w14:paraId="3BD5D979">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Scenedesmaceae</w:t>
            </w:r>
          </w:p>
        </w:tc>
        <w:tc>
          <w:tcPr>
            <w:tcW w:w="2357" w:type="dxa"/>
            <w:vAlign w:val="center"/>
          </w:tcPr>
          <w:p w14:paraId="35D4542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23.四尾栅藻</w:t>
            </w:r>
          </w:p>
          <w:p w14:paraId="1CEB85CD">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Scenedesmaceae sp.</w:t>
            </w:r>
          </w:p>
        </w:tc>
        <w:tc>
          <w:tcPr>
            <w:tcW w:w="534" w:type="dxa"/>
            <w:vAlign w:val="center"/>
          </w:tcPr>
          <w:p w14:paraId="01E167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B84ED9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739845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893EC1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6CCC45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FB2BF0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F9A9F9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16BF08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92E323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10DE06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679057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4A4AB89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5925B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25067AA2">
            <w:pPr>
              <w:pStyle w:val="22"/>
              <w:bidi w:val="0"/>
              <w:jc w:val="center"/>
              <w:rPr>
                <w:rFonts w:hint="default" w:ascii="Times New Roman" w:hAnsi="Times New Roman" w:cs="Times New Roman"/>
                <w:highlight w:val="none"/>
              </w:rPr>
            </w:pPr>
          </w:p>
        </w:tc>
        <w:tc>
          <w:tcPr>
            <w:tcW w:w="1857" w:type="dxa"/>
            <w:vMerge w:val="continue"/>
            <w:vAlign w:val="center"/>
          </w:tcPr>
          <w:p w14:paraId="177705F2">
            <w:pPr>
              <w:pStyle w:val="22"/>
              <w:bidi w:val="0"/>
              <w:jc w:val="center"/>
              <w:rPr>
                <w:rFonts w:hint="default" w:ascii="Times New Roman" w:hAnsi="Times New Roman" w:cs="Times New Roman"/>
                <w:highlight w:val="none"/>
              </w:rPr>
            </w:pPr>
          </w:p>
        </w:tc>
        <w:tc>
          <w:tcPr>
            <w:tcW w:w="1910" w:type="dxa"/>
            <w:vMerge w:val="continue"/>
            <w:vAlign w:val="center"/>
          </w:tcPr>
          <w:p w14:paraId="12FF911D">
            <w:pPr>
              <w:pStyle w:val="22"/>
              <w:bidi w:val="0"/>
              <w:jc w:val="center"/>
              <w:rPr>
                <w:rFonts w:hint="default" w:ascii="Times New Roman" w:hAnsi="Times New Roman" w:cs="Times New Roman"/>
                <w:highlight w:val="none"/>
              </w:rPr>
            </w:pPr>
          </w:p>
        </w:tc>
        <w:tc>
          <w:tcPr>
            <w:tcW w:w="2357" w:type="dxa"/>
            <w:vAlign w:val="center"/>
          </w:tcPr>
          <w:p w14:paraId="0D9E02AC">
            <w:pPr>
              <w:pStyle w:val="22"/>
              <w:numPr>
                <w:ilvl w:val="0"/>
                <w:numId w:val="36"/>
              </w:numPr>
              <w:bidi w:val="0"/>
              <w:jc w:val="center"/>
              <w:rPr>
                <w:rFonts w:hint="default" w:ascii="Times New Roman" w:hAnsi="Times New Roman" w:cs="Times New Roman"/>
                <w:highlight w:val="none"/>
              </w:rPr>
            </w:pPr>
            <w:r>
              <w:rPr>
                <w:rFonts w:hint="default" w:ascii="Times New Roman" w:hAnsi="Times New Roman" w:cs="Times New Roman"/>
                <w:highlight w:val="none"/>
              </w:rPr>
              <w:t>隆顶栅藻</w:t>
            </w:r>
          </w:p>
          <w:p w14:paraId="5031C85A">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S.protuberans</w:t>
            </w:r>
          </w:p>
        </w:tc>
        <w:tc>
          <w:tcPr>
            <w:tcW w:w="534" w:type="dxa"/>
            <w:vAlign w:val="center"/>
          </w:tcPr>
          <w:p w14:paraId="5F90C8F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23C061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2631D3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42C26E1">
            <w:pPr>
              <w:pStyle w:val="22"/>
              <w:bidi w:val="0"/>
              <w:jc w:val="center"/>
              <w:rPr>
                <w:rFonts w:hint="default" w:ascii="Times New Roman" w:hAnsi="Times New Roman" w:cs="Times New Roman"/>
                <w:highlight w:val="none"/>
              </w:rPr>
            </w:pPr>
          </w:p>
        </w:tc>
        <w:tc>
          <w:tcPr>
            <w:tcW w:w="534" w:type="dxa"/>
            <w:vAlign w:val="center"/>
          </w:tcPr>
          <w:p w14:paraId="40E9251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B801FC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805F696">
            <w:pPr>
              <w:pStyle w:val="22"/>
              <w:bidi w:val="0"/>
              <w:jc w:val="center"/>
              <w:rPr>
                <w:rFonts w:hint="default" w:ascii="Times New Roman" w:hAnsi="Times New Roman" w:cs="Times New Roman"/>
                <w:highlight w:val="none"/>
              </w:rPr>
            </w:pPr>
          </w:p>
        </w:tc>
        <w:tc>
          <w:tcPr>
            <w:tcW w:w="535" w:type="dxa"/>
            <w:vAlign w:val="center"/>
          </w:tcPr>
          <w:p w14:paraId="79B3D03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3EA26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CA3B90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2A4B835">
            <w:pPr>
              <w:pStyle w:val="22"/>
              <w:bidi w:val="0"/>
              <w:jc w:val="center"/>
              <w:rPr>
                <w:rFonts w:hint="default" w:ascii="Times New Roman" w:hAnsi="Times New Roman" w:cs="Times New Roman"/>
                <w:highlight w:val="none"/>
              </w:rPr>
            </w:pPr>
          </w:p>
        </w:tc>
        <w:tc>
          <w:tcPr>
            <w:tcW w:w="540" w:type="dxa"/>
            <w:vAlign w:val="center"/>
          </w:tcPr>
          <w:p w14:paraId="7027D17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26577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6D12AC98">
            <w:pPr>
              <w:pStyle w:val="22"/>
              <w:bidi w:val="0"/>
              <w:jc w:val="center"/>
              <w:rPr>
                <w:rFonts w:hint="default" w:ascii="Times New Roman" w:hAnsi="Times New Roman" w:cs="Times New Roman"/>
                <w:highlight w:val="none"/>
              </w:rPr>
            </w:pPr>
          </w:p>
        </w:tc>
        <w:tc>
          <w:tcPr>
            <w:tcW w:w="1857" w:type="dxa"/>
            <w:vMerge w:val="continue"/>
            <w:vAlign w:val="center"/>
          </w:tcPr>
          <w:p w14:paraId="2E65E5B2">
            <w:pPr>
              <w:pStyle w:val="22"/>
              <w:bidi w:val="0"/>
              <w:jc w:val="center"/>
              <w:rPr>
                <w:rFonts w:hint="default" w:ascii="Times New Roman" w:hAnsi="Times New Roman" w:cs="Times New Roman"/>
                <w:highlight w:val="none"/>
              </w:rPr>
            </w:pPr>
          </w:p>
        </w:tc>
        <w:tc>
          <w:tcPr>
            <w:tcW w:w="1910" w:type="dxa"/>
            <w:vAlign w:val="center"/>
          </w:tcPr>
          <w:p w14:paraId="7B727D7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11.鼓藻属</w:t>
            </w:r>
          </w:p>
          <w:p w14:paraId="7346FE3A">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Cosmarium</w:t>
            </w:r>
          </w:p>
        </w:tc>
        <w:tc>
          <w:tcPr>
            <w:tcW w:w="2357" w:type="dxa"/>
            <w:vAlign w:val="center"/>
          </w:tcPr>
          <w:p w14:paraId="241E4A45">
            <w:pPr>
              <w:pStyle w:val="22"/>
              <w:numPr>
                <w:ilvl w:val="0"/>
                <w:numId w:val="37"/>
              </w:numPr>
              <w:bidi w:val="0"/>
              <w:jc w:val="center"/>
              <w:rPr>
                <w:rFonts w:hint="default" w:ascii="Times New Roman" w:hAnsi="Times New Roman" w:cs="Times New Roman"/>
                <w:highlight w:val="none"/>
              </w:rPr>
            </w:pPr>
            <w:r>
              <w:rPr>
                <w:rFonts w:hint="default" w:ascii="Times New Roman" w:hAnsi="Times New Roman" w:cs="Times New Roman"/>
                <w:highlight w:val="none"/>
              </w:rPr>
              <w:t>鼓藻</w:t>
            </w:r>
          </w:p>
          <w:p w14:paraId="042E8A5A">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Cosmarium</w:t>
            </w:r>
            <w:r>
              <w:rPr>
                <w:rFonts w:hint="eastAsia" w:cs="Times New Roman"/>
                <w:i/>
                <w:iCs w:val="0"/>
                <w:highlight w:val="none"/>
                <w:lang w:val="en-US" w:eastAsia="zh-CN"/>
              </w:rPr>
              <w:t xml:space="preserve"> </w:t>
            </w:r>
            <w:r>
              <w:rPr>
                <w:rFonts w:hint="default" w:ascii="Times New Roman" w:hAnsi="Times New Roman" w:cs="Times New Roman"/>
                <w:i/>
                <w:iCs w:val="0"/>
                <w:highlight w:val="none"/>
              </w:rPr>
              <w:t>sp.</w:t>
            </w:r>
          </w:p>
        </w:tc>
        <w:tc>
          <w:tcPr>
            <w:tcW w:w="534" w:type="dxa"/>
            <w:vAlign w:val="center"/>
          </w:tcPr>
          <w:p w14:paraId="030DB8F7">
            <w:pPr>
              <w:pStyle w:val="22"/>
              <w:bidi w:val="0"/>
              <w:jc w:val="center"/>
              <w:rPr>
                <w:rFonts w:hint="default" w:ascii="Times New Roman" w:hAnsi="Times New Roman" w:cs="Times New Roman"/>
                <w:highlight w:val="none"/>
              </w:rPr>
            </w:pPr>
          </w:p>
        </w:tc>
        <w:tc>
          <w:tcPr>
            <w:tcW w:w="534" w:type="dxa"/>
            <w:vAlign w:val="center"/>
          </w:tcPr>
          <w:p w14:paraId="4E7FB22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F6E71F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DC64DDE">
            <w:pPr>
              <w:pStyle w:val="22"/>
              <w:bidi w:val="0"/>
              <w:jc w:val="center"/>
              <w:rPr>
                <w:rFonts w:hint="default" w:ascii="Times New Roman" w:hAnsi="Times New Roman" w:cs="Times New Roman"/>
                <w:highlight w:val="none"/>
              </w:rPr>
            </w:pPr>
          </w:p>
        </w:tc>
        <w:tc>
          <w:tcPr>
            <w:tcW w:w="534" w:type="dxa"/>
            <w:vAlign w:val="center"/>
          </w:tcPr>
          <w:p w14:paraId="6593911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92B11B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C7A35FB">
            <w:pPr>
              <w:pStyle w:val="22"/>
              <w:bidi w:val="0"/>
              <w:jc w:val="center"/>
              <w:rPr>
                <w:rFonts w:hint="default" w:ascii="Times New Roman" w:hAnsi="Times New Roman" w:cs="Times New Roman"/>
                <w:highlight w:val="none"/>
              </w:rPr>
            </w:pPr>
          </w:p>
        </w:tc>
        <w:tc>
          <w:tcPr>
            <w:tcW w:w="535" w:type="dxa"/>
            <w:vAlign w:val="center"/>
          </w:tcPr>
          <w:p w14:paraId="599DFF2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1F3ED3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7F6C258">
            <w:pPr>
              <w:pStyle w:val="22"/>
              <w:bidi w:val="0"/>
              <w:jc w:val="center"/>
              <w:rPr>
                <w:rFonts w:hint="default" w:ascii="Times New Roman" w:hAnsi="Times New Roman" w:cs="Times New Roman"/>
                <w:highlight w:val="none"/>
              </w:rPr>
            </w:pPr>
          </w:p>
        </w:tc>
        <w:tc>
          <w:tcPr>
            <w:tcW w:w="535" w:type="dxa"/>
            <w:vAlign w:val="center"/>
          </w:tcPr>
          <w:p w14:paraId="3790F14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7DDDDE7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3AD43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155D7A7E">
            <w:pPr>
              <w:pStyle w:val="22"/>
              <w:bidi w:val="0"/>
              <w:jc w:val="center"/>
              <w:rPr>
                <w:rFonts w:hint="default" w:ascii="Times New Roman" w:hAnsi="Times New Roman" w:cs="Times New Roman"/>
                <w:highlight w:val="none"/>
              </w:rPr>
            </w:pPr>
          </w:p>
        </w:tc>
        <w:tc>
          <w:tcPr>
            <w:tcW w:w="1857" w:type="dxa"/>
            <w:vMerge w:val="continue"/>
            <w:vAlign w:val="center"/>
          </w:tcPr>
          <w:p w14:paraId="19D87D25">
            <w:pPr>
              <w:pStyle w:val="22"/>
              <w:bidi w:val="0"/>
              <w:jc w:val="center"/>
              <w:rPr>
                <w:rFonts w:hint="default" w:ascii="Times New Roman" w:hAnsi="Times New Roman" w:cs="Times New Roman"/>
                <w:highlight w:val="none"/>
              </w:rPr>
            </w:pPr>
          </w:p>
        </w:tc>
        <w:tc>
          <w:tcPr>
            <w:tcW w:w="1910" w:type="dxa"/>
            <w:vAlign w:val="center"/>
          </w:tcPr>
          <w:p w14:paraId="71C7A06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12.新月藻属</w:t>
            </w:r>
          </w:p>
          <w:p w14:paraId="6763A3B6">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Cosmarium</w:t>
            </w:r>
          </w:p>
        </w:tc>
        <w:tc>
          <w:tcPr>
            <w:tcW w:w="2357" w:type="dxa"/>
            <w:vAlign w:val="center"/>
          </w:tcPr>
          <w:p w14:paraId="7195743C">
            <w:pPr>
              <w:pStyle w:val="22"/>
              <w:numPr>
                <w:ilvl w:val="0"/>
                <w:numId w:val="38"/>
              </w:numPr>
              <w:bidi w:val="0"/>
              <w:jc w:val="center"/>
              <w:rPr>
                <w:rFonts w:hint="default" w:ascii="Times New Roman" w:hAnsi="Times New Roman" w:cs="Times New Roman"/>
                <w:highlight w:val="none"/>
              </w:rPr>
            </w:pPr>
            <w:r>
              <w:rPr>
                <w:rFonts w:hint="default" w:ascii="Times New Roman" w:hAnsi="Times New Roman" w:cs="Times New Roman"/>
                <w:highlight w:val="none"/>
              </w:rPr>
              <w:t>新月藻</w:t>
            </w:r>
          </w:p>
          <w:p w14:paraId="2648178B">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Cosmarium</w:t>
            </w:r>
            <w:r>
              <w:rPr>
                <w:rFonts w:hint="default" w:ascii="Times New Roman" w:hAnsi="Times New Roman" w:cs="Times New Roman"/>
                <w:i/>
                <w:iCs w:val="0"/>
                <w:highlight w:val="none"/>
                <w:lang w:val="en-US" w:eastAsia="zh-CN"/>
              </w:rPr>
              <w:t xml:space="preserve"> </w:t>
            </w:r>
            <w:r>
              <w:rPr>
                <w:rFonts w:hint="default" w:ascii="Times New Roman" w:hAnsi="Times New Roman" w:cs="Times New Roman"/>
                <w:i/>
                <w:iCs w:val="0"/>
                <w:highlight w:val="none"/>
              </w:rPr>
              <w:t>sp.</w:t>
            </w:r>
          </w:p>
        </w:tc>
        <w:tc>
          <w:tcPr>
            <w:tcW w:w="534" w:type="dxa"/>
            <w:vAlign w:val="center"/>
          </w:tcPr>
          <w:p w14:paraId="42D7FDB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66B22B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B4084D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E5E8E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C16C9D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296217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5515A280">
            <w:pPr>
              <w:pStyle w:val="22"/>
              <w:bidi w:val="0"/>
              <w:jc w:val="center"/>
              <w:rPr>
                <w:rFonts w:hint="default" w:ascii="Times New Roman" w:hAnsi="Times New Roman" w:cs="Times New Roman"/>
                <w:highlight w:val="none"/>
              </w:rPr>
            </w:pPr>
          </w:p>
        </w:tc>
        <w:tc>
          <w:tcPr>
            <w:tcW w:w="535" w:type="dxa"/>
            <w:vAlign w:val="center"/>
          </w:tcPr>
          <w:p w14:paraId="2EAFD6A5">
            <w:pPr>
              <w:pStyle w:val="22"/>
              <w:bidi w:val="0"/>
              <w:jc w:val="center"/>
              <w:rPr>
                <w:rFonts w:hint="default" w:ascii="Times New Roman" w:hAnsi="Times New Roman" w:cs="Times New Roman"/>
                <w:highlight w:val="none"/>
              </w:rPr>
            </w:pPr>
          </w:p>
        </w:tc>
        <w:tc>
          <w:tcPr>
            <w:tcW w:w="535" w:type="dxa"/>
            <w:vAlign w:val="center"/>
          </w:tcPr>
          <w:p w14:paraId="23D9E7CF">
            <w:pPr>
              <w:pStyle w:val="22"/>
              <w:bidi w:val="0"/>
              <w:jc w:val="center"/>
              <w:rPr>
                <w:rFonts w:hint="default" w:ascii="Times New Roman" w:hAnsi="Times New Roman" w:cs="Times New Roman"/>
                <w:highlight w:val="none"/>
              </w:rPr>
            </w:pPr>
          </w:p>
        </w:tc>
        <w:tc>
          <w:tcPr>
            <w:tcW w:w="535" w:type="dxa"/>
            <w:vAlign w:val="center"/>
          </w:tcPr>
          <w:p w14:paraId="73A5A5D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A8BAAD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0DAF6A9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43FCB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6D1D4BD1">
            <w:pPr>
              <w:pStyle w:val="22"/>
              <w:bidi w:val="0"/>
              <w:jc w:val="center"/>
              <w:rPr>
                <w:rFonts w:hint="default" w:ascii="Times New Roman" w:hAnsi="Times New Roman" w:cs="Times New Roman"/>
                <w:highlight w:val="none"/>
              </w:rPr>
            </w:pPr>
          </w:p>
        </w:tc>
        <w:tc>
          <w:tcPr>
            <w:tcW w:w="1857" w:type="dxa"/>
            <w:vAlign w:val="center"/>
          </w:tcPr>
          <w:p w14:paraId="285F7B3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8.胶毛藻科</w:t>
            </w:r>
          </w:p>
          <w:p w14:paraId="54058238">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Chaetophoraceae</w:t>
            </w:r>
          </w:p>
        </w:tc>
        <w:tc>
          <w:tcPr>
            <w:tcW w:w="1910" w:type="dxa"/>
            <w:vAlign w:val="center"/>
          </w:tcPr>
          <w:p w14:paraId="0DC6407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13.毛枝藻属</w:t>
            </w:r>
          </w:p>
          <w:p w14:paraId="6AE921B3">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Stigeoclonium</w:t>
            </w:r>
          </w:p>
        </w:tc>
        <w:tc>
          <w:tcPr>
            <w:tcW w:w="2357" w:type="dxa"/>
            <w:vAlign w:val="center"/>
          </w:tcPr>
          <w:p w14:paraId="701E94F8">
            <w:pPr>
              <w:pStyle w:val="22"/>
              <w:numPr>
                <w:ilvl w:val="0"/>
                <w:numId w:val="39"/>
              </w:numPr>
              <w:bidi w:val="0"/>
              <w:jc w:val="center"/>
              <w:rPr>
                <w:rFonts w:hint="default" w:ascii="Times New Roman" w:hAnsi="Times New Roman" w:cs="Times New Roman"/>
                <w:highlight w:val="none"/>
              </w:rPr>
            </w:pPr>
            <w:r>
              <w:rPr>
                <w:rFonts w:hint="default" w:ascii="Times New Roman" w:hAnsi="Times New Roman" w:cs="Times New Roman"/>
                <w:highlight w:val="none"/>
              </w:rPr>
              <w:t>毛枝藻</w:t>
            </w:r>
          </w:p>
          <w:p w14:paraId="07946AD5">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Stigeoclonium</w:t>
            </w:r>
            <w:r>
              <w:rPr>
                <w:rFonts w:hint="default" w:ascii="Times New Roman" w:hAnsi="Times New Roman" w:cs="Times New Roman"/>
                <w:i/>
                <w:iCs w:val="0"/>
                <w:highlight w:val="none"/>
                <w:lang w:val="en-US" w:eastAsia="zh-CN"/>
              </w:rPr>
              <w:t xml:space="preserve"> </w:t>
            </w:r>
            <w:r>
              <w:rPr>
                <w:rFonts w:hint="default" w:ascii="Times New Roman" w:hAnsi="Times New Roman" w:cs="Times New Roman"/>
                <w:i/>
                <w:iCs w:val="0"/>
                <w:highlight w:val="none"/>
              </w:rPr>
              <w:t>sp.</w:t>
            </w:r>
          </w:p>
        </w:tc>
        <w:tc>
          <w:tcPr>
            <w:tcW w:w="534" w:type="dxa"/>
            <w:vAlign w:val="center"/>
          </w:tcPr>
          <w:p w14:paraId="43FA8E0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D19F73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03BE431">
            <w:pPr>
              <w:pStyle w:val="22"/>
              <w:bidi w:val="0"/>
              <w:jc w:val="center"/>
              <w:rPr>
                <w:rFonts w:hint="default" w:ascii="Times New Roman" w:hAnsi="Times New Roman" w:cs="Times New Roman"/>
                <w:highlight w:val="none"/>
              </w:rPr>
            </w:pPr>
          </w:p>
        </w:tc>
        <w:tc>
          <w:tcPr>
            <w:tcW w:w="534" w:type="dxa"/>
            <w:vAlign w:val="center"/>
          </w:tcPr>
          <w:p w14:paraId="623C577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185212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01BFF17">
            <w:pPr>
              <w:pStyle w:val="22"/>
              <w:bidi w:val="0"/>
              <w:jc w:val="center"/>
              <w:rPr>
                <w:rFonts w:hint="default" w:ascii="Times New Roman" w:hAnsi="Times New Roman" w:cs="Times New Roman"/>
                <w:highlight w:val="none"/>
              </w:rPr>
            </w:pPr>
          </w:p>
        </w:tc>
        <w:tc>
          <w:tcPr>
            <w:tcW w:w="534" w:type="dxa"/>
            <w:vAlign w:val="center"/>
          </w:tcPr>
          <w:p w14:paraId="610E942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D9F842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9CCD71A">
            <w:pPr>
              <w:pStyle w:val="22"/>
              <w:bidi w:val="0"/>
              <w:jc w:val="center"/>
              <w:rPr>
                <w:rFonts w:hint="default" w:ascii="Times New Roman" w:hAnsi="Times New Roman" w:cs="Times New Roman"/>
                <w:highlight w:val="none"/>
              </w:rPr>
            </w:pPr>
          </w:p>
        </w:tc>
        <w:tc>
          <w:tcPr>
            <w:tcW w:w="535" w:type="dxa"/>
            <w:vAlign w:val="center"/>
          </w:tcPr>
          <w:p w14:paraId="1ACD4C1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EB8A1D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35443DC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7369B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38BB4BE8">
            <w:pPr>
              <w:pStyle w:val="22"/>
              <w:bidi w:val="0"/>
              <w:jc w:val="center"/>
              <w:rPr>
                <w:rFonts w:hint="default" w:ascii="Times New Roman" w:hAnsi="Times New Roman" w:cs="Times New Roman"/>
                <w:highlight w:val="none"/>
              </w:rPr>
            </w:pPr>
          </w:p>
        </w:tc>
        <w:tc>
          <w:tcPr>
            <w:tcW w:w="1857" w:type="dxa"/>
            <w:vMerge w:val="restart"/>
            <w:vAlign w:val="center"/>
          </w:tcPr>
          <w:p w14:paraId="0583E507">
            <w:pPr>
              <w:pStyle w:val="22"/>
              <w:numPr>
                <w:ilvl w:val="0"/>
                <w:numId w:val="35"/>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群星藻科</w:t>
            </w:r>
          </w:p>
          <w:p w14:paraId="0F76C2D2">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Sorastraceae</w:t>
            </w:r>
          </w:p>
        </w:tc>
        <w:tc>
          <w:tcPr>
            <w:tcW w:w="1910" w:type="dxa"/>
            <w:vMerge w:val="restart"/>
            <w:vAlign w:val="center"/>
          </w:tcPr>
          <w:p w14:paraId="1C4D877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14.集星藻属</w:t>
            </w:r>
          </w:p>
          <w:p w14:paraId="06D5BC5B">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Actinastrum</w:t>
            </w:r>
          </w:p>
        </w:tc>
        <w:tc>
          <w:tcPr>
            <w:tcW w:w="2357" w:type="dxa"/>
            <w:vAlign w:val="center"/>
          </w:tcPr>
          <w:p w14:paraId="586B31E3">
            <w:pPr>
              <w:pStyle w:val="22"/>
              <w:numPr>
                <w:ilvl w:val="0"/>
                <w:numId w:val="40"/>
              </w:numPr>
              <w:bidi w:val="0"/>
              <w:jc w:val="center"/>
              <w:rPr>
                <w:rFonts w:hint="default" w:ascii="Times New Roman" w:hAnsi="Times New Roman" w:cs="Times New Roman"/>
                <w:highlight w:val="none"/>
              </w:rPr>
            </w:pPr>
            <w:r>
              <w:rPr>
                <w:rFonts w:hint="default" w:ascii="Times New Roman" w:hAnsi="Times New Roman" w:cs="Times New Roman"/>
                <w:highlight w:val="none"/>
              </w:rPr>
              <w:t>河生集星藻</w:t>
            </w:r>
          </w:p>
          <w:p w14:paraId="67B76D8A">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A.fluviatile</w:t>
            </w:r>
          </w:p>
        </w:tc>
        <w:tc>
          <w:tcPr>
            <w:tcW w:w="534" w:type="dxa"/>
            <w:vAlign w:val="center"/>
          </w:tcPr>
          <w:p w14:paraId="6855441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043482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A4D11D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08E02A9B">
            <w:pPr>
              <w:pStyle w:val="22"/>
              <w:bidi w:val="0"/>
              <w:jc w:val="center"/>
              <w:rPr>
                <w:rFonts w:hint="default" w:ascii="Times New Roman" w:hAnsi="Times New Roman" w:cs="Times New Roman"/>
                <w:highlight w:val="none"/>
              </w:rPr>
            </w:pPr>
          </w:p>
        </w:tc>
        <w:tc>
          <w:tcPr>
            <w:tcW w:w="534" w:type="dxa"/>
            <w:vAlign w:val="center"/>
          </w:tcPr>
          <w:p w14:paraId="68DE0F1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388DE29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724D3E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4CFCF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F9EA8BD">
            <w:pPr>
              <w:pStyle w:val="22"/>
              <w:bidi w:val="0"/>
              <w:jc w:val="center"/>
              <w:rPr>
                <w:rFonts w:hint="default" w:ascii="Times New Roman" w:hAnsi="Times New Roman" w:cs="Times New Roman"/>
                <w:highlight w:val="none"/>
              </w:rPr>
            </w:pPr>
          </w:p>
        </w:tc>
        <w:tc>
          <w:tcPr>
            <w:tcW w:w="535" w:type="dxa"/>
            <w:vAlign w:val="center"/>
          </w:tcPr>
          <w:p w14:paraId="2E6F46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65A9B7E">
            <w:pPr>
              <w:pStyle w:val="22"/>
              <w:bidi w:val="0"/>
              <w:jc w:val="center"/>
              <w:rPr>
                <w:rFonts w:hint="default" w:ascii="Times New Roman" w:hAnsi="Times New Roman" w:cs="Times New Roman"/>
                <w:highlight w:val="none"/>
              </w:rPr>
            </w:pPr>
          </w:p>
        </w:tc>
        <w:tc>
          <w:tcPr>
            <w:tcW w:w="540" w:type="dxa"/>
            <w:vAlign w:val="center"/>
          </w:tcPr>
          <w:p w14:paraId="7988E13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143F5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3E32B0F7">
            <w:pPr>
              <w:pStyle w:val="22"/>
              <w:bidi w:val="0"/>
              <w:jc w:val="center"/>
              <w:rPr>
                <w:rFonts w:hint="default" w:ascii="Times New Roman" w:hAnsi="Times New Roman" w:cs="Times New Roman"/>
                <w:highlight w:val="none"/>
              </w:rPr>
            </w:pPr>
          </w:p>
        </w:tc>
        <w:tc>
          <w:tcPr>
            <w:tcW w:w="1857" w:type="dxa"/>
            <w:vMerge w:val="continue"/>
            <w:vAlign w:val="center"/>
          </w:tcPr>
          <w:p w14:paraId="2353F6D0">
            <w:pPr>
              <w:pStyle w:val="22"/>
              <w:bidi w:val="0"/>
              <w:jc w:val="center"/>
              <w:rPr>
                <w:rFonts w:hint="default" w:ascii="Times New Roman" w:hAnsi="Times New Roman" w:cs="Times New Roman"/>
                <w:highlight w:val="none"/>
              </w:rPr>
            </w:pPr>
          </w:p>
        </w:tc>
        <w:tc>
          <w:tcPr>
            <w:tcW w:w="1910" w:type="dxa"/>
            <w:vMerge w:val="continue"/>
            <w:vAlign w:val="center"/>
          </w:tcPr>
          <w:p w14:paraId="6B35A412">
            <w:pPr>
              <w:pStyle w:val="22"/>
              <w:bidi w:val="0"/>
              <w:jc w:val="center"/>
              <w:rPr>
                <w:rFonts w:hint="default" w:ascii="Times New Roman" w:hAnsi="Times New Roman" w:cs="Times New Roman"/>
                <w:highlight w:val="none"/>
              </w:rPr>
            </w:pPr>
          </w:p>
        </w:tc>
        <w:tc>
          <w:tcPr>
            <w:tcW w:w="2357" w:type="dxa"/>
            <w:vAlign w:val="center"/>
          </w:tcPr>
          <w:p w14:paraId="3F45D19E">
            <w:pPr>
              <w:pStyle w:val="22"/>
              <w:numPr>
                <w:ilvl w:val="0"/>
                <w:numId w:val="40"/>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集星藻</w:t>
            </w:r>
          </w:p>
          <w:p w14:paraId="01836FE7">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Actinastrum</w:t>
            </w:r>
            <w:r>
              <w:rPr>
                <w:rFonts w:hint="default" w:ascii="Times New Roman" w:hAnsi="Times New Roman" w:cs="Times New Roman"/>
                <w:i/>
                <w:iCs w:val="0"/>
                <w:highlight w:val="none"/>
                <w:lang w:val="en-US" w:eastAsia="zh-CN"/>
              </w:rPr>
              <w:t xml:space="preserve"> </w:t>
            </w:r>
            <w:r>
              <w:rPr>
                <w:rFonts w:hint="default" w:ascii="Times New Roman" w:hAnsi="Times New Roman" w:cs="Times New Roman"/>
                <w:i/>
                <w:iCs w:val="0"/>
                <w:highlight w:val="none"/>
              </w:rPr>
              <w:t>sp.</w:t>
            </w:r>
          </w:p>
        </w:tc>
        <w:tc>
          <w:tcPr>
            <w:tcW w:w="534" w:type="dxa"/>
            <w:vAlign w:val="center"/>
          </w:tcPr>
          <w:p w14:paraId="73C72C2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B95D95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E139121">
            <w:pPr>
              <w:pStyle w:val="22"/>
              <w:bidi w:val="0"/>
              <w:jc w:val="center"/>
              <w:rPr>
                <w:rFonts w:hint="default" w:ascii="Times New Roman" w:hAnsi="Times New Roman" w:cs="Times New Roman"/>
                <w:highlight w:val="none"/>
              </w:rPr>
            </w:pPr>
          </w:p>
        </w:tc>
        <w:tc>
          <w:tcPr>
            <w:tcW w:w="534" w:type="dxa"/>
            <w:vAlign w:val="center"/>
          </w:tcPr>
          <w:p w14:paraId="70FADCE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7A256C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53D3605">
            <w:pPr>
              <w:pStyle w:val="22"/>
              <w:bidi w:val="0"/>
              <w:jc w:val="center"/>
              <w:rPr>
                <w:rFonts w:hint="default" w:ascii="Times New Roman" w:hAnsi="Times New Roman" w:cs="Times New Roman"/>
                <w:highlight w:val="none"/>
              </w:rPr>
            </w:pPr>
          </w:p>
        </w:tc>
        <w:tc>
          <w:tcPr>
            <w:tcW w:w="534" w:type="dxa"/>
            <w:vAlign w:val="center"/>
          </w:tcPr>
          <w:p w14:paraId="6999D0B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55E6D2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4118CD4">
            <w:pPr>
              <w:pStyle w:val="22"/>
              <w:bidi w:val="0"/>
              <w:jc w:val="center"/>
              <w:rPr>
                <w:rFonts w:hint="default" w:ascii="Times New Roman" w:hAnsi="Times New Roman" w:cs="Times New Roman"/>
                <w:highlight w:val="none"/>
              </w:rPr>
            </w:pPr>
          </w:p>
        </w:tc>
        <w:tc>
          <w:tcPr>
            <w:tcW w:w="535" w:type="dxa"/>
            <w:vAlign w:val="center"/>
          </w:tcPr>
          <w:p w14:paraId="5595338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BE7CC5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66D3B111">
            <w:pPr>
              <w:pStyle w:val="22"/>
              <w:bidi w:val="0"/>
              <w:jc w:val="center"/>
              <w:rPr>
                <w:rFonts w:hint="default" w:ascii="Times New Roman" w:hAnsi="Times New Roman" w:cs="Times New Roman"/>
                <w:highlight w:val="none"/>
              </w:rPr>
            </w:pPr>
          </w:p>
        </w:tc>
      </w:tr>
      <w:tr w14:paraId="39EFC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restart"/>
            <w:vAlign w:val="center"/>
          </w:tcPr>
          <w:p w14:paraId="60621706">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3.蓝藻</w:t>
            </w:r>
            <w:r>
              <w:rPr>
                <w:rFonts w:hint="eastAsia" w:cs="Times New Roman"/>
                <w:highlight w:val="none"/>
                <w:lang w:eastAsia="zh-CN"/>
              </w:rPr>
              <w:t>门</w:t>
            </w:r>
          </w:p>
        </w:tc>
        <w:tc>
          <w:tcPr>
            <w:tcW w:w="1857" w:type="dxa"/>
            <w:vMerge w:val="restart"/>
            <w:vAlign w:val="center"/>
          </w:tcPr>
          <w:p w14:paraId="4E0AFFA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10.颤藻科</w:t>
            </w:r>
          </w:p>
          <w:p w14:paraId="02FEEB25">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Oscillatoriaceae</w:t>
            </w:r>
          </w:p>
        </w:tc>
        <w:tc>
          <w:tcPr>
            <w:tcW w:w="1910" w:type="dxa"/>
            <w:vAlign w:val="center"/>
          </w:tcPr>
          <w:p w14:paraId="2884A9F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15.颤藻属</w:t>
            </w:r>
          </w:p>
          <w:p w14:paraId="315F6F17">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Oscillatoria</w:t>
            </w:r>
          </w:p>
        </w:tc>
        <w:tc>
          <w:tcPr>
            <w:tcW w:w="2357" w:type="dxa"/>
            <w:vAlign w:val="center"/>
          </w:tcPr>
          <w:p w14:paraId="6C83930C">
            <w:pPr>
              <w:pStyle w:val="22"/>
              <w:numPr>
                <w:ilvl w:val="0"/>
                <w:numId w:val="40"/>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巨颤藻</w:t>
            </w:r>
          </w:p>
          <w:p w14:paraId="14662E9C">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O.princeps</w:t>
            </w:r>
          </w:p>
        </w:tc>
        <w:tc>
          <w:tcPr>
            <w:tcW w:w="534" w:type="dxa"/>
            <w:vAlign w:val="center"/>
          </w:tcPr>
          <w:p w14:paraId="77B8EDD4">
            <w:pPr>
              <w:pStyle w:val="22"/>
              <w:bidi w:val="0"/>
              <w:jc w:val="center"/>
              <w:rPr>
                <w:rFonts w:hint="default" w:ascii="Times New Roman" w:hAnsi="Times New Roman" w:cs="Times New Roman"/>
                <w:highlight w:val="none"/>
              </w:rPr>
            </w:pPr>
          </w:p>
        </w:tc>
        <w:tc>
          <w:tcPr>
            <w:tcW w:w="534" w:type="dxa"/>
            <w:vAlign w:val="center"/>
          </w:tcPr>
          <w:p w14:paraId="01DCB633">
            <w:pPr>
              <w:pStyle w:val="22"/>
              <w:bidi w:val="0"/>
              <w:jc w:val="center"/>
              <w:rPr>
                <w:rFonts w:hint="default" w:ascii="Times New Roman" w:hAnsi="Times New Roman" w:cs="Times New Roman"/>
                <w:highlight w:val="none"/>
              </w:rPr>
            </w:pPr>
          </w:p>
        </w:tc>
        <w:tc>
          <w:tcPr>
            <w:tcW w:w="535" w:type="dxa"/>
            <w:vAlign w:val="center"/>
          </w:tcPr>
          <w:p w14:paraId="5B43584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204E41C8">
            <w:pPr>
              <w:pStyle w:val="22"/>
              <w:bidi w:val="0"/>
              <w:jc w:val="center"/>
              <w:rPr>
                <w:rFonts w:hint="default" w:ascii="Times New Roman" w:hAnsi="Times New Roman" w:cs="Times New Roman"/>
                <w:highlight w:val="none"/>
              </w:rPr>
            </w:pPr>
          </w:p>
        </w:tc>
        <w:tc>
          <w:tcPr>
            <w:tcW w:w="534" w:type="dxa"/>
            <w:vAlign w:val="center"/>
          </w:tcPr>
          <w:p w14:paraId="451A02DC">
            <w:pPr>
              <w:pStyle w:val="22"/>
              <w:bidi w:val="0"/>
              <w:jc w:val="center"/>
              <w:rPr>
                <w:rFonts w:hint="default" w:ascii="Times New Roman" w:hAnsi="Times New Roman" w:cs="Times New Roman"/>
                <w:highlight w:val="none"/>
              </w:rPr>
            </w:pPr>
          </w:p>
        </w:tc>
        <w:tc>
          <w:tcPr>
            <w:tcW w:w="534" w:type="dxa"/>
            <w:vAlign w:val="center"/>
          </w:tcPr>
          <w:p w14:paraId="5F05A34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1355A5F9">
            <w:pPr>
              <w:pStyle w:val="22"/>
              <w:bidi w:val="0"/>
              <w:jc w:val="center"/>
              <w:rPr>
                <w:rFonts w:hint="default" w:ascii="Times New Roman" w:hAnsi="Times New Roman" w:cs="Times New Roman"/>
                <w:highlight w:val="none"/>
              </w:rPr>
            </w:pPr>
          </w:p>
        </w:tc>
        <w:tc>
          <w:tcPr>
            <w:tcW w:w="535" w:type="dxa"/>
            <w:vAlign w:val="center"/>
          </w:tcPr>
          <w:p w14:paraId="0FC3706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4450F592">
            <w:pPr>
              <w:pStyle w:val="22"/>
              <w:bidi w:val="0"/>
              <w:jc w:val="center"/>
              <w:rPr>
                <w:rFonts w:hint="default" w:ascii="Times New Roman" w:hAnsi="Times New Roman" w:cs="Times New Roman"/>
                <w:highlight w:val="none"/>
              </w:rPr>
            </w:pPr>
          </w:p>
        </w:tc>
        <w:tc>
          <w:tcPr>
            <w:tcW w:w="535" w:type="dxa"/>
            <w:vAlign w:val="center"/>
          </w:tcPr>
          <w:p w14:paraId="7805DE5E">
            <w:pPr>
              <w:pStyle w:val="22"/>
              <w:bidi w:val="0"/>
              <w:jc w:val="center"/>
              <w:rPr>
                <w:rFonts w:hint="default" w:ascii="Times New Roman" w:hAnsi="Times New Roman" w:cs="Times New Roman"/>
                <w:highlight w:val="none"/>
              </w:rPr>
            </w:pPr>
          </w:p>
        </w:tc>
        <w:tc>
          <w:tcPr>
            <w:tcW w:w="535" w:type="dxa"/>
            <w:vAlign w:val="center"/>
          </w:tcPr>
          <w:p w14:paraId="7B5BB8AF">
            <w:pPr>
              <w:pStyle w:val="22"/>
              <w:bidi w:val="0"/>
              <w:jc w:val="center"/>
              <w:rPr>
                <w:rFonts w:hint="default" w:ascii="Times New Roman" w:hAnsi="Times New Roman" w:cs="Times New Roman"/>
                <w:highlight w:val="none"/>
              </w:rPr>
            </w:pPr>
          </w:p>
        </w:tc>
        <w:tc>
          <w:tcPr>
            <w:tcW w:w="540" w:type="dxa"/>
            <w:vAlign w:val="center"/>
          </w:tcPr>
          <w:p w14:paraId="17945C2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28967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638B11BE">
            <w:pPr>
              <w:pStyle w:val="22"/>
              <w:bidi w:val="0"/>
              <w:jc w:val="center"/>
              <w:rPr>
                <w:rFonts w:hint="default" w:ascii="Times New Roman" w:hAnsi="Times New Roman" w:cs="Times New Roman"/>
                <w:highlight w:val="none"/>
              </w:rPr>
            </w:pPr>
          </w:p>
        </w:tc>
        <w:tc>
          <w:tcPr>
            <w:tcW w:w="1857" w:type="dxa"/>
            <w:vMerge w:val="continue"/>
            <w:vAlign w:val="center"/>
          </w:tcPr>
          <w:p w14:paraId="41E7FE88">
            <w:pPr>
              <w:pStyle w:val="22"/>
              <w:bidi w:val="0"/>
              <w:jc w:val="center"/>
              <w:rPr>
                <w:rFonts w:hint="default" w:ascii="Times New Roman" w:hAnsi="Times New Roman" w:cs="Times New Roman"/>
                <w:highlight w:val="none"/>
              </w:rPr>
            </w:pPr>
          </w:p>
        </w:tc>
        <w:tc>
          <w:tcPr>
            <w:tcW w:w="1910" w:type="dxa"/>
            <w:vAlign w:val="center"/>
          </w:tcPr>
          <w:p w14:paraId="4CE0476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16.席藻属</w:t>
            </w:r>
          </w:p>
          <w:p w14:paraId="454F0D18">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Phormidium</w:t>
            </w:r>
          </w:p>
        </w:tc>
        <w:tc>
          <w:tcPr>
            <w:tcW w:w="2357" w:type="dxa"/>
            <w:vAlign w:val="center"/>
          </w:tcPr>
          <w:p w14:paraId="32F3BF4B">
            <w:pPr>
              <w:pStyle w:val="22"/>
              <w:numPr>
                <w:ilvl w:val="0"/>
                <w:numId w:val="40"/>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窝形席藻</w:t>
            </w:r>
          </w:p>
          <w:p w14:paraId="60FB5474">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P.foveolarum</w:t>
            </w:r>
          </w:p>
        </w:tc>
        <w:tc>
          <w:tcPr>
            <w:tcW w:w="534" w:type="dxa"/>
            <w:vAlign w:val="center"/>
          </w:tcPr>
          <w:p w14:paraId="19EFB01C">
            <w:pPr>
              <w:pStyle w:val="22"/>
              <w:bidi w:val="0"/>
              <w:jc w:val="center"/>
              <w:rPr>
                <w:rFonts w:hint="default" w:ascii="Times New Roman" w:hAnsi="Times New Roman" w:cs="Times New Roman"/>
                <w:highlight w:val="none"/>
              </w:rPr>
            </w:pPr>
          </w:p>
        </w:tc>
        <w:tc>
          <w:tcPr>
            <w:tcW w:w="534" w:type="dxa"/>
            <w:vAlign w:val="center"/>
          </w:tcPr>
          <w:p w14:paraId="23F1E9CD">
            <w:pPr>
              <w:pStyle w:val="22"/>
              <w:bidi w:val="0"/>
              <w:jc w:val="center"/>
              <w:rPr>
                <w:rFonts w:hint="default" w:ascii="Times New Roman" w:hAnsi="Times New Roman" w:cs="Times New Roman"/>
                <w:highlight w:val="none"/>
              </w:rPr>
            </w:pPr>
          </w:p>
        </w:tc>
        <w:tc>
          <w:tcPr>
            <w:tcW w:w="535" w:type="dxa"/>
            <w:vAlign w:val="center"/>
          </w:tcPr>
          <w:p w14:paraId="7032757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705688B7">
            <w:pPr>
              <w:pStyle w:val="22"/>
              <w:bidi w:val="0"/>
              <w:jc w:val="center"/>
              <w:rPr>
                <w:rFonts w:hint="default" w:ascii="Times New Roman" w:hAnsi="Times New Roman" w:cs="Times New Roman"/>
                <w:highlight w:val="none"/>
              </w:rPr>
            </w:pPr>
          </w:p>
        </w:tc>
        <w:tc>
          <w:tcPr>
            <w:tcW w:w="534" w:type="dxa"/>
            <w:vAlign w:val="center"/>
          </w:tcPr>
          <w:p w14:paraId="31576CC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D8664CC">
            <w:pPr>
              <w:pStyle w:val="22"/>
              <w:bidi w:val="0"/>
              <w:jc w:val="center"/>
              <w:rPr>
                <w:rFonts w:hint="default" w:ascii="Times New Roman" w:hAnsi="Times New Roman" w:cs="Times New Roman"/>
                <w:highlight w:val="none"/>
              </w:rPr>
            </w:pPr>
          </w:p>
        </w:tc>
        <w:tc>
          <w:tcPr>
            <w:tcW w:w="534" w:type="dxa"/>
            <w:vAlign w:val="center"/>
          </w:tcPr>
          <w:p w14:paraId="469371A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2CB357E">
            <w:pPr>
              <w:pStyle w:val="22"/>
              <w:bidi w:val="0"/>
              <w:jc w:val="center"/>
              <w:rPr>
                <w:rFonts w:hint="default" w:ascii="Times New Roman" w:hAnsi="Times New Roman" w:cs="Times New Roman"/>
                <w:highlight w:val="none"/>
              </w:rPr>
            </w:pPr>
          </w:p>
        </w:tc>
        <w:tc>
          <w:tcPr>
            <w:tcW w:w="535" w:type="dxa"/>
            <w:vAlign w:val="center"/>
          </w:tcPr>
          <w:p w14:paraId="2024A07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7B532C7D">
            <w:pPr>
              <w:pStyle w:val="22"/>
              <w:bidi w:val="0"/>
              <w:jc w:val="center"/>
              <w:rPr>
                <w:rFonts w:hint="default" w:ascii="Times New Roman" w:hAnsi="Times New Roman" w:cs="Times New Roman"/>
                <w:highlight w:val="none"/>
              </w:rPr>
            </w:pPr>
          </w:p>
        </w:tc>
        <w:tc>
          <w:tcPr>
            <w:tcW w:w="535" w:type="dxa"/>
            <w:vAlign w:val="center"/>
          </w:tcPr>
          <w:p w14:paraId="77AEC47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5822A48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3923F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Merge w:val="continue"/>
            <w:vAlign w:val="center"/>
          </w:tcPr>
          <w:p w14:paraId="6496D9FC">
            <w:pPr>
              <w:pStyle w:val="22"/>
              <w:bidi w:val="0"/>
              <w:jc w:val="center"/>
              <w:rPr>
                <w:rFonts w:hint="default" w:ascii="Times New Roman" w:hAnsi="Times New Roman" w:cs="Times New Roman"/>
                <w:highlight w:val="none"/>
              </w:rPr>
            </w:pPr>
          </w:p>
        </w:tc>
        <w:tc>
          <w:tcPr>
            <w:tcW w:w="1857" w:type="dxa"/>
            <w:vMerge w:val="restart"/>
            <w:vAlign w:val="center"/>
          </w:tcPr>
          <w:p w14:paraId="1D742C9A">
            <w:pPr>
              <w:pStyle w:val="22"/>
              <w:numPr>
                <w:ilvl w:val="0"/>
                <w:numId w:val="33"/>
              </w:num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裸藻科</w:t>
            </w:r>
          </w:p>
          <w:p w14:paraId="4E5735E8">
            <w:pPr>
              <w:pStyle w:val="22"/>
              <w:numPr>
                <w:ilvl w:val="0"/>
                <w:numId w:val="0"/>
              </w:numPr>
              <w:bidi w:val="0"/>
              <w:ind w:leftChars="0"/>
              <w:jc w:val="center"/>
              <w:rPr>
                <w:rFonts w:hint="default" w:ascii="Times New Roman" w:hAnsi="Times New Roman" w:cs="Times New Roman"/>
                <w:highlight w:val="none"/>
              </w:rPr>
            </w:pPr>
            <w:r>
              <w:rPr>
                <w:rFonts w:hint="default" w:ascii="Times New Roman" w:hAnsi="Times New Roman" w:cs="Times New Roman"/>
                <w:i/>
                <w:iCs w:val="0"/>
                <w:highlight w:val="none"/>
              </w:rPr>
              <w:t>Euglenaceae</w:t>
            </w:r>
          </w:p>
        </w:tc>
        <w:tc>
          <w:tcPr>
            <w:tcW w:w="1910" w:type="dxa"/>
            <w:vAlign w:val="center"/>
          </w:tcPr>
          <w:p w14:paraId="31FEC01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17.裸藻属</w:t>
            </w:r>
          </w:p>
          <w:p w14:paraId="14B6B4A0">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Euglena</w:t>
            </w:r>
          </w:p>
        </w:tc>
        <w:tc>
          <w:tcPr>
            <w:tcW w:w="2357" w:type="dxa"/>
            <w:vAlign w:val="center"/>
          </w:tcPr>
          <w:p w14:paraId="37E73BA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33.梭形裸藻</w:t>
            </w:r>
          </w:p>
          <w:p w14:paraId="4627D35A">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E.acus</w:t>
            </w:r>
          </w:p>
        </w:tc>
        <w:tc>
          <w:tcPr>
            <w:tcW w:w="534" w:type="dxa"/>
            <w:vAlign w:val="center"/>
          </w:tcPr>
          <w:p w14:paraId="2106797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3477FE2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3E6058D7">
            <w:pPr>
              <w:pStyle w:val="22"/>
              <w:bidi w:val="0"/>
              <w:jc w:val="center"/>
              <w:rPr>
                <w:rFonts w:hint="default" w:ascii="Times New Roman" w:hAnsi="Times New Roman" w:cs="Times New Roman"/>
                <w:highlight w:val="none"/>
              </w:rPr>
            </w:pPr>
          </w:p>
        </w:tc>
        <w:tc>
          <w:tcPr>
            <w:tcW w:w="534" w:type="dxa"/>
            <w:vAlign w:val="center"/>
          </w:tcPr>
          <w:p w14:paraId="6B90DBD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97972B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1A2168B">
            <w:pPr>
              <w:pStyle w:val="22"/>
              <w:bidi w:val="0"/>
              <w:jc w:val="center"/>
              <w:rPr>
                <w:rFonts w:hint="default" w:ascii="Times New Roman" w:hAnsi="Times New Roman" w:cs="Times New Roman"/>
                <w:highlight w:val="none"/>
              </w:rPr>
            </w:pPr>
          </w:p>
        </w:tc>
        <w:tc>
          <w:tcPr>
            <w:tcW w:w="534" w:type="dxa"/>
            <w:vAlign w:val="center"/>
          </w:tcPr>
          <w:p w14:paraId="2756280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78F4D3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1CCC4242">
            <w:pPr>
              <w:pStyle w:val="22"/>
              <w:bidi w:val="0"/>
              <w:jc w:val="center"/>
              <w:rPr>
                <w:rFonts w:hint="default" w:ascii="Times New Roman" w:hAnsi="Times New Roman" w:cs="Times New Roman"/>
                <w:highlight w:val="none"/>
              </w:rPr>
            </w:pPr>
          </w:p>
        </w:tc>
        <w:tc>
          <w:tcPr>
            <w:tcW w:w="535" w:type="dxa"/>
            <w:vAlign w:val="center"/>
          </w:tcPr>
          <w:p w14:paraId="12294B7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0685FAD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7D37656F">
            <w:pPr>
              <w:pStyle w:val="22"/>
              <w:bidi w:val="0"/>
              <w:jc w:val="center"/>
              <w:rPr>
                <w:rFonts w:hint="default" w:ascii="Times New Roman" w:hAnsi="Times New Roman" w:cs="Times New Roman"/>
                <w:highlight w:val="none"/>
              </w:rPr>
            </w:pPr>
          </w:p>
          <w:p w14:paraId="201FDCC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32438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Align w:val="center"/>
          </w:tcPr>
          <w:p w14:paraId="3EC3FF64">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4.裸藻</w:t>
            </w:r>
            <w:r>
              <w:rPr>
                <w:rFonts w:hint="eastAsia" w:cs="Times New Roman"/>
                <w:highlight w:val="none"/>
                <w:lang w:eastAsia="zh-CN"/>
              </w:rPr>
              <w:t>门</w:t>
            </w:r>
          </w:p>
        </w:tc>
        <w:tc>
          <w:tcPr>
            <w:tcW w:w="1857" w:type="dxa"/>
            <w:vMerge w:val="continue"/>
            <w:vAlign w:val="center"/>
          </w:tcPr>
          <w:p w14:paraId="5241D677">
            <w:pPr>
              <w:pStyle w:val="22"/>
              <w:bidi w:val="0"/>
              <w:jc w:val="center"/>
              <w:rPr>
                <w:rFonts w:hint="default" w:ascii="Times New Roman" w:hAnsi="Times New Roman" w:cs="Times New Roman"/>
                <w:highlight w:val="none"/>
              </w:rPr>
            </w:pPr>
          </w:p>
        </w:tc>
        <w:tc>
          <w:tcPr>
            <w:tcW w:w="1910" w:type="dxa"/>
            <w:vAlign w:val="center"/>
          </w:tcPr>
          <w:p w14:paraId="777141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18.扁裸藻属</w:t>
            </w:r>
          </w:p>
          <w:p w14:paraId="7D99715D">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Phacus</w:t>
            </w:r>
          </w:p>
        </w:tc>
        <w:tc>
          <w:tcPr>
            <w:tcW w:w="2357" w:type="dxa"/>
            <w:vAlign w:val="center"/>
          </w:tcPr>
          <w:p w14:paraId="611B625C">
            <w:pPr>
              <w:pStyle w:val="22"/>
              <w:numPr>
                <w:ilvl w:val="0"/>
                <w:numId w:val="41"/>
              </w:numPr>
              <w:bidi w:val="0"/>
              <w:jc w:val="center"/>
              <w:rPr>
                <w:rFonts w:hint="default" w:ascii="Times New Roman" w:hAnsi="Times New Roman" w:cs="Times New Roman"/>
                <w:highlight w:val="none"/>
              </w:rPr>
            </w:pPr>
            <w:r>
              <w:rPr>
                <w:rFonts w:hint="default" w:ascii="Times New Roman" w:hAnsi="Times New Roman" w:cs="Times New Roman"/>
                <w:highlight w:val="none"/>
              </w:rPr>
              <w:t>宽扁裸藻</w:t>
            </w:r>
            <w:r>
              <w:rPr>
                <w:rFonts w:hint="default" w:ascii="Times New Roman" w:hAnsi="Times New Roman" w:cs="Times New Roman"/>
                <w:i/>
                <w:iCs w:val="0"/>
                <w:highlight w:val="none"/>
              </w:rPr>
              <w:t>P.pleuronectes</w:t>
            </w:r>
          </w:p>
        </w:tc>
        <w:tc>
          <w:tcPr>
            <w:tcW w:w="534" w:type="dxa"/>
            <w:vAlign w:val="center"/>
          </w:tcPr>
          <w:p w14:paraId="4169BF08">
            <w:pPr>
              <w:pStyle w:val="22"/>
              <w:bidi w:val="0"/>
              <w:jc w:val="center"/>
              <w:rPr>
                <w:rFonts w:hint="default" w:ascii="Times New Roman" w:hAnsi="Times New Roman" w:cs="Times New Roman"/>
                <w:highlight w:val="none"/>
              </w:rPr>
            </w:pPr>
          </w:p>
        </w:tc>
        <w:tc>
          <w:tcPr>
            <w:tcW w:w="534" w:type="dxa"/>
            <w:vAlign w:val="center"/>
          </w:tcPr>
          <w:p w14:paraId="76A428E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6CC8A0F3">
            <w:pPr>
              <w:pStyle w:val="22"/>
              <w:bidi w:val="0"/>
              <w:jc w:val="center"/>
              <w:rPr>
                <w:rFonts w:hint="default" w:ascii="Times New Roman" w:hAnsi="Times New Roman" w:cs="Times New Roman"/>
                <w:highlight w:val="none"/>
              </w:rPr>
            </w:pPr>
          </w:p>
        </w:tc>
        <w:tc>
          <w:tcPr>
            <w:tcW w:w="534" w:type="dxa"/>
            <w:vAlign w:val="center"/>
          </w:tcPr>
          <w:p w14:paraId="5CDBB9FF">
            <w:pPr>
              <w:pStyle w:val="22"/>
              <w:bidi w:val="0"/>
              <w:jc w:val="center"/>
              <w:rPr>
                <w:rFonts w:hint="default" w:ascii="Times New Roman" w:hAnsi="Times New Roman" w:cs="Times New Roman"/>
                <w:highlight w:val="none"/>
              </w:rPr>
            </w:pPr>
          </w:p>
        </w:tc>
        <w:tc>
          <w:tcPr>
            <w:tcW w:w="534" w:type="dxa"/>
            <w:vAlign w:val="center"/>
          </w:tcPr>
          <w:p w14:paraId="774B101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424DEC1C">
            <w:pPr>
              <w:pStyle w:val="22"/>
              <w:bidi w:val="0"/>
              <w:jc w:val="center"/>
              <w:rPr>
                <w:rFonts w:hint="default" w:ascii="Times New Roman" w:hAnsi="Times New Roman" w:cs="Times New Roman"/>
                <w:highlight w:val="none"/>
              </w:rPr>
            </w:pPr>
          </w:p>
        </w:tc>
        <w:tc>
          <w:tcPr>
            <w:tcW w:w="534" w:type="dxa"/>
            <w:vAlign w:val="center"/>
          </w:tcPr>
          <w:p w14:paraId="139489AA">
            <w:pPr>
              <w:pStyle w:val="22"/>
              <w:bidi w:val="0"/>
              <w:jc w:val="center"/>
              <w:rPr>
                <w:rFonts w:hint="default" w:ascii="Times New Roman" w:hAnsi="Times New Roman" w:cs="Times New Roman"/>
                <w:highlight w:val="none"/>
              </w:rPr>
            </w:pPr>
          </w:p>
        </w:tc>
        <w:tc>
          <w:tcPr>
            <w:tcW w:w="535" w:type="dxa"/>
            <w:vAlign w:val="center"/>
          </w:tcPr>
          <w:p w14:paraId="72AD0EDB">
            <w:pPr>
              <w:pStyle w:val="22"/>
              <w:bidi w:val="0"/>
              <w:jc w:val="center"/>
              <w:rPr>
                <w:rFonts w:hint="default" w:ascii="Times New Roman" w:hAnsi="Times New Roman" w:cs="Times New Roman"/>
                <w:highlight w:val="none"/>
              </w:rPr>
            </w:pPr>
          </w:p>
        </w:tc>
        <w:tc>
          <w:tcPr>
            <w:tcW w:w="535" w:type="dxa"/>
            <w:vAlign w:val="center"/>
          </w:tcPr>
          <w:p w14:paraId="135D83AC">
            <w:pPr>
              <w:pStyle w:val="22"/>
              <w:bidi w:val="0"/>
              <w:jc w:val="center"/>
              <w:rPr>
                <w:rFonts w:hint="default" w:ascii="Times New Roman" w:hAnsi="Times New Roman" w:cs="Times New Roman"/>
                <w:highlight w:val="none"/>
              </w:rPr>
            </w:pPr>
          </w:p>
        </w:tc>
        <w:tc>
          <w:tcPr>
            <w:tcW w:w="535" w:type="dxa"/>
            <w:vAlign w:val="center"/>
          </w:tcPr>
          <w:p w14:paraId="5614DCB6">
            <w:pPr>
              <w:pStyle w:val="22"/>
              <w:bidi w:val="0"/>
              <w:jc w:val="center"/>
              <w:rPr>
                <w:rFonts w:hint="default" w:ascii="Times New Roman" w:hAnsi="Times New Roman" w:cs="Times New Roman"/>
                <w:highlight w:val="none"/>
              </w:rPr>
            </w:pPr>
          </w:p>
        </w:tc>
        <w:tc>
          <w:tcPr>
            <w:tcW w:w="535" w:type="dxa"/>
            <w:vAlign w:val="center"/>
          </w:tcPr>
          <w:p w14:paraId="4529099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40" w:type="dxa"/>
            <w:vAlign w:val="center"/>
          </w:tcPr>
          <w:p w14:paraId="3D256894">
            <w:pPr>
              <w:pStyle w:val="22"/>
              <w:bidi w:val="0"/>
              <w:jc w:val="center"/>
              <w:rPr>
                <w:rFonts w:hint="default" w:ascii="Times New Roman" w:hAnsi="Times New Roman" w:cs="Times New Roman"/>
                <w:highlight w:val="none"/>
              </w:rPr>
            </w:pPr>
          </w:p>
        </w:tc>
      </w:tr>
      <w:tr w14:paraId="17F15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910" w:type="dxa"/>
            <w:vAlign w:val="center"/>
          </w:tcPr>
          <w:p w14:paraId="1B7C356B">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5.甲藻</w:t>
            </w:r>
            <w:r>
              <w:rPr>
                <w:rFonts w:hint="eastAsia" w:cs="Times New Roman"/>
                <w:highlight w:val="none"/>
                <w:lang w:eastAsia="zh-CN"/>
              </w:rPr>
              <w:t>门</w:t>
            </w:r>
          </w:p>
        </w:tc>
        <w:tc>
          <w:tcPr>
            <w:tcW w:w="1857" w:type="dxa"/>
            <w:vAlign w:val="center"/>
          </w:tcPr>
          <w:p w14:paraId="72A0DD2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12.角藻科</w:t>
            </w:r>
          </w:p>
          <w:p w14:paraId="202B5B58">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Tribonemataceae</w:t>
            </w:r>
          </w:p>
        </w:tc>
        <w:tc>
          <w:tcPr>
            <w:tcW w:w="1910" w:type="dxa"/>
            <w:vAlign w:val="center"/>
          </w:tcPr>
          <w:p w14:paraId="72E661A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19.角藻属</w:t>
            </w:r>
          </w:p>
          <w:p w14:paraId="61DC6D49">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Ceratiacene</w:t>
            </w:r>
          </w:p>
        </w:tc>
        <w:tc>
          <w:tcPr>
            <w:tcW w:w="2357" w:type="dxa"/>
            <w:vAlign w:val="center"/>
          </w:tcPr>
          <w:p w14:paraId="44793FB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35.飞燕角藻C.</w:t>
            </w:r>
            <w:r>
              <w:rPr>
                <w:rFonts w:hint="default" w:ascii="Times New Roman" w:hAnsi="Times New Roman" w:cs="Times New Roman"/>
                <w:i/>
                <w:iCs w:val="0"/>
                <w:highlight w:val="none"/>
              </w:rPr>
              <w:t>hirundinella</w:t>
            </w:r>
          </w:p>
        </w:tc>
        <w:tc>
          <w:tcPr>
            <w:tcW w:w="534" w:type="dxa"/>
            <w:vAlign w:val="center"/>
          </w:tcPr>
          <w:p w14:paraId="4F97BAF7">
            <w:pPr>
              <w:pStyle w:val="22"/>
              <w:bidi w:val="0"/>
              <w:jc w:val="center"/>
              <w:rPr>
                <w:rFonts w:hint="default" w:ascii="Times New Roman" w:hAnsi="Times New Roman" w:cs="Times New Roman"/>
                <w:highlight w:val="none"/>
              </w:rPr>
            </w:pPr>
          </w:p>
        </w:tc>
        <w:tc>
          <w:tcPr>
            <w:tcW w:w="534" w:type="dxa"/>
            <w:vAlign w:val="center"/>
          </w:tcPr>
          <w:p w14:paraId="5B64EB8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9336F95">
            <w:pPr>
              <w:pStyle w:val="22"/>
              <w:bidi w:val="0"/>
              <w:jc w:val="center"/>
              <w:rPr>
                <w:rFonts w:hint="default" w:ascii="Times New Roman" w:hAnsi="Times New Roman" w:cs="Times New Roman"/>
                <w:highlight w:val="none"/>
              </w:rPr>
            </w:pPr>
          </w:p>
        </w:tc>
        <w:tc>
          <w:tcPr>
            <w:tcW w:w="534" w:type="dxa"/>
            <w:vAlign w:val="center"/>
          </w:tcPr>
          <w:p w14:paraId="7D854C1D">
            <w:pPr>
              <w:pStyle w:val="22"/>
              <w:bidi w:val="0"/>
              <w:jc w:val="center"/>
              <w:rPr>
                <w:rFonts w:hint="default" w:ascii="Times New Roman" w:hAnsi="Times New Roman" w:cs="Times New Roman"/>
                <w:highlight w:val="none"/>
              </w:rPr>
            </w:pPr>
          </w:p>
        </w:tc>
        <w:tc>
          <w:tcPr>
            <w:tcW w:w="534" w:type="dxa"/>
            <w:vAlign w:val="center"/>
          </w:tcPr>
          <w:p w14:paraId="1CB6660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4" w:type="dxa"/>
            <w:vAlign w:val="center"/>
          </w:tcPr>
          <w:p w14:paraId="68EB22E8">
            <w:pPr>
              <w:pStyle w:val="22"/>
              <w:bidi w:val="0"/>
              <w:jc w:val="center"/>
              <w:rPr>
                <w:rFonts w:hint="default" w:ascii="Times New Roman" w:hAnsi="Times New Roman" w:cs="Times New Roman"/>
                <w:highlight w:val="none"/>
              </w:rPr>
            </w:pPr>
          </w:p>
        </w:tc>
        <w:tc>
          <w:tcPr>
            <w:tcW w:w="534" w:type="dxa"/>
            <w:vAlign w:val="center"/>
          </w:tcPr>
          <w:p w14:paraId="3437E37F">
            <w:pPr>
              <w:pStyle w:val="22"/>
              <w:bidi w:val="0"/>
              <w:jc w:val="center"/>
              <w:rPr>
                <w:rFonts w:hint="default" w:ascii="Times New Roman" w:hAnsi="Times New Roman" w:cs="Times New Roman"/>
                <w:highlight w:val="none"/>
              </w:rPr>
            </w:pPr>
          </w:p>
        </w:tc>
        <w:tc>
          <w:tcPr>
            <w:tcW w:w="535" w:type="dxa"/>
            <w:vAlign w:val="center"/>
          </w:tcPr>
          <w:p w14:paraId="481F810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5993F65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35" w:type="dxa"/>
            <w:vAlign w:val="center"/>
          </w:tcPr>
          <w:p w14:paraId="2F79B585">
            <w:pPr>
              <w:pStyle w:val="22"/>
              <w:bidi w:val="0"/>
              <w:jc w:val="center"/>
              <w:rPr>
                <w:rFonts w:hint="default" w:ascii="Times New Roman" w:hAnsi="Times New Roman" w:cs="Times New Roman"/>
                <w:highlight w:val="none"/>
              </w:rPr>
            </w:pPr>
          </w:p>
        </w:tc>
        <w:tc>
          <w:tcPr>
            <w:tcW w:w="535" w:type="dxa"/>
            <w:vAlign w:val="center"/>
          </w:tcPr>
          <w:p w14:paraId="0019C43A">
            <w:pPr>
              <w:pStyle w:val="22"/>
              <w:bidi w:val="0"/>
              <w:jc w:val="center"/>
              <w:rPr>
                <w:rFonts w:hint="default" w:ascii="Times New Roman" w:hAnsi="Times New Roman" w:cs="Times New Roman"/>
                <w:highlight w:val="none"/>
              </w:rPr>
            </w:pPr>
          </w:p>
        </w:tc>
        <w:tc>
          <w:tcPr>
            <w:tcW w:w="540" w:type="dxa"/>
            <w:vAlign w:val="center"/>
          </w:tcPr>
          <w:p w14:paraId="5C9BE09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20CFA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0" w:type="dxa"/>
            <w:vAlign w:val="center"/>
          </w:tcPr>
          <w:p w14:paraId="795772A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物种总数</w:t>
            </w:r>
          </w:p>
        </w:tc>
        <w:tc>
          <w:tcPr>
            <w:tcW w:w="1857" w:type="dxa"/>
            <w:vAlign w:val="center"/>
          </w:tcPr>
          <w:p w14:paraId="3DA13F0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1910" w:type="dxa"/>
            <w:vAlign w:val="center"/>
          </w:tcPr>
          <w:p w14:paraId="734333B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19</w:t>
            </w:r>
          </w:p>
        </w:tc>
        <w:tc>
          <w:tcPr>
            <w:tcW w:w="2357" w:type="dxa"/>
            <w:vAlign w:val="center"/>
          </w:tcPr>
          <w:p w14:paraId="120D9DD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35</w:t>
            </w:r>
          </w:p>
        </w:tc>
        <w:tc>
          <w:tcPr>
            <w:tcW w:w="534" w:type="dxa"/>
            <w:vAlign w:val="center"/>
          </w:tcPr>
          <w:p w14:paraId="100E1A6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21</w:t>
            </w:r>
          </w:p>
        </w:tc>
        <w:tc>
          <w:tcPr>
            <w:tcW w:w="534" w:type="dxa"/>
            <w:vAlign w:val="center"/>
          </w:tcPr>
          <w:p w14:paraId="5BFC05F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22</w:t>
            </w:r>
          </w:p>
        </w:tc>
        <w:tc>
          <w:tcPr>
            <w:tcW w:w="535" w:type="dxa"/>
            <w:vAlign w:val="center"/>
          </w:tcPr>
          <w:p w14:paraId="5FCE94B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534" w:type="dxa"/>
            <w:vAlign w:val="center"/>
          </w:tcPr>
          <w:p w14:paraId="04D96E5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18</w:t>
            </w:r>
          </w:p>
        </w:tc>
        <w:tc>
          <w:tcPr>
            <w:tcW w:w="534" w:type="dxa"/>
            <w:vAlign w:val="center"/>
          </w:tcPr>
          <w:p w14:paraId="48DF031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23</w:t>
            </w:r>
          </w:p>
        </w:tc>
        <w:tc>
          <w:tcPr>
            <w:tcW w:w="534" w:type="dxa"/>
            <w:vAlign w:val="center"/>
          </w:tcPr>
          <w:p w14:paraId="139D712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18</w:t>
            </w:r>
          </w:p>
        </w:tc>
        <w:tc>
          <w:tcPr>
            <w:tcW w:w="534" w:type="dxa"/>
            <w:vAlign w:val="center"/>
          </w:tcPr>
          <w:p w14:paraId="65F5F97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18</w:t>
            </w:r>
          </w:p>
        </w:tc>
        <w:tc>
          <w:tcPr>
            <w:tcW w:w="535" w:type="dxa"/>
            <w:vAlign w:val="center"/>
          </w:tcPr>
          <w:p w14:paraId="5E22B11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22</w:t>
            </w:r>
          </w:p>
        </w:tc>
        <w:tc>
          <w:tcPr>
            <w:tcW w:w="535" w:type="dxa"/>
            <w:vAlign w:val="center"/>
          </w:tcPr>
          <w:p w14:paraId="7A5BEB9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17</w:t>
            </w:r>
          </w:p>
        </w:tc>
        <w:tc>
          <w:tcPr>
            <w:tcW w:w="535" w:type="dxa"/>
            <w:vAlign w:val="center"/>
          </w:tcPr>
          <w:p w14:paraId="4515D4A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535" w:type="dxa"/>
            <w:vAlign w:val="center"/>
          </w:tcPr>
          <w:p w14:paraId="268DEE0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21</w:t>
            </w:r>
          </w:p>
        </w:tc>
        <w:tc>
          <w:tcPr>
            <w:tcW w:w="540" w:type="dxa"/>
            <w:vAlign w:val="center"/>
          </w:tcPr>
          <w:p w14:paraId="4689B74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22</w:t>
            </w:r>
          </w:p>
        </w:tc>
      </w:tr>
    </w:tbl>
    <w:p w14:paraId="30CF89F8">
      <w:pPr>
        <w:spacing w:line="360" w:lineRule="auto"/>
        <w:ind w:left="0" w:leftChars="0" w:firstLine="0" w:firstLineChars="0"/>
        <w:rPr>
          <w:rFonts w:hint="default" w:ascii="Times New Roman" w:hAnsi="Times New Roman" w:cs="Times New Roman"/>
          <w:color w:val="auto"/>
          <w:sz w:val="24"/>
          <w:highlight w:val="none"/>
          <w:lang w:val="en-US" w:eastAsia="zh-CN"/>
        </w:rPr>
      </w:pPr>
    </w:p>
    <w:p w14:paraId="5095A165">
      <w:pPr>
        <w:spacing w:line="360" w:lineRule="auto"/>
        <w:ind w:left="0" w:leftChars="0" w:firstLine="0" w:firstLineChars="0"/>
        <w:rPr>
          <w:rFonts w:hint="default" w:ascii="Times New Roman" w:hAnsi="Times New Roman" w:cs="Times New Roman"/>
          <w:color w:val="auto"/>
          <w:sz w:val="24"/>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p>
    <w:p w14:paraId="3F7F6BD3">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2024年3月，在工程影响</w:t>
      </w:r>
      <w:r>
        <w:rPr>
          <w:rFonts w:hint="eastAsia" w:cs="Times New Roman"/>
          <w:color w:val="auto"/>
          <w:sz w:val="24"/>
          <w:highlight w:val="none"/>
          <w:lang w:val="en-US" w:eastAsia="zh-CN"/>
        </w:rPr>
        <w:t>水</w:t>
      </w:r>
      <w:r>
        <w:rPr>
          <w:rFonts w:hint="default" w:ascii="Times New Roman" w:hAnsi="Times New Roman" w:cs="Times New Roman"/>
          <w:color w:val="auto"/>
          <w:sz w:val="24"/>
          <w:highlight w:val="none"/>
          <w:lang w:val="en-US" w:eastAsia="zh-CN"/>
        </w:rPr>
        <w:t>域共观察到有到浮游植物有5门，12科，17属，33种。其中，硅藻门4科，5属，16种，占总数48.48%；绿藻门5科，7属，11种，占总数33.33%；蓝藻门1科，2属，3种，占总数9.09%；裸藻门1科，2属，2种，占总数6.06%；甲藻门1科，1属，1种，占总数3.03%（见</w:t>
      </w:r>
      <w:r>
        <w:rPr>
          <w:rFonts w:hint="default" w:ascii="Times New Roman" w:hAnsi="Times New Roman" w:cs="Times New Roman"/>
          <w:color w:val="auto"/>
          <w:sz w:val="24"/>
          <w:highlight w:val="none"/>
          <w:lang w:val="en-US" w:eastAsia="zh-CN"/>
        </w:rPr>
        <w:fldChar w:fldCharType="begin"/>
      </w:r>
      <w:r>
        <w:rPr>
          <w:rFonts w:hint="default" w:ascii="Times New Roman" w:hAnsi="Times New Roman" w:cs="Times New Roman"/>
          <w:color w:val="auto"/>
          <w:sz w:val="24"/>
          <w:highlight w:val="none"/>
          <w:lang w:val="en-US" w:eastAsia="zh-CN"/>
        </w:rPr>
        <w:instrText xml:space="preserve"> REF _Ref29113 \h </w:instrText>
      </w:r>
      <w:r>
        <w:rPr>
          <w:rFonts w:hint="default" w:ascii="Times New Roman" w:hAnsi="Times New Roman" w:cs="Times New Roman"/>
          <w:color w:val="auto"/>
          <w:sz w:val="24"/>
          <w:highlight w:val="none"/>
          <w:lang w:val="en-US" w:eastAsia="zh-CN"/>
        </w:rPr>
        <w:fldChar w:fldCharType="separate"/>
      </w:r>
      <w:r>
        <w:rPr>
          <w:rFonts w:hint="default" w:ascii="Times New Roman" w:hAnsi="Times New Roman" w:cs="Times New Roman"/>
          <w:highlight w:val="none"/>
        </w:rPr>
        <w:t>表33</w:t>
      </w:r>
      <w:r>
        <w:rPr>
          <w:rFonts w:hint="default" w:ascii="Times New Roman" w:hAnsi="Times New Roman" w:cs="Times New Roman"/>
          <w:color w:val="auto"/>
          <w:sz w:val="24"/>
          <w:highlight w:val="none"/>
          <w:lang w:val="en-US" w:eastAsia="zh-CN"/>
        </w:rPr>
        <w:fldChar w:fldCharType="end"/>
      </w:r>
      <w:r>
        <w:rPr>
          <w:rFonts w:hint="default" w:ascii="Times New Roman" w:hAnsi="Times New Roman" w:cs="Times New Roman"/>
          <w:color w:val="auto"/>
          <w:sz w:val="24"/>
          <w:highlight w:val="none"/>
          <w:lang w:val="en-US" w:eastAsia="zh-CN"/>
        </w:rPr>
        <w:t>）。</w:t>
      </w:r>
    </w:p>
    <w:p w14:paraId="675A075C">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从评价河段的浮游植物种类与数量上看，该河段中生活的藻类优势类群为以适应高原或高山溪流的山区冷水和流水的硅藻门，其次为绿藻门，这与工程项目影响河段水流湍急，水温较低密切相关。</w:t>
      </w:r>
    </w:p>
    <w:p w14:paraId="365F4B56">
      <w:pPr>
        <w:pStyle w:val="11"/>
        <w:spacing w:line="360" w:lineRule="auto"/>
        <w:ind w:left="0" w:leftChars="0" w:firstLine="0" w:firstLineChars="0"/>
        <w:rPr>
          <w:rFonts w:hint="default" w:ascii="Times New Roman" w:hAnsi="Times New Roman" w:cs="Times New Roman"/>
          <w:highlight w:val="none"/>
          <w:lang w:val="en-US" w:eastAsia="zh-CN"/>
        </w:rPr>
      </w:pPr>
      <w:bookmarkStart w:id="43" w:name="_Ref29015"/>
      <w:bookmarkStart w:id="44" w:name="_Ref28995"/>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46</w:t>
      </w:r>
      <w:r>
        <w:rPr>
          <w:rFonts w:hint="default" w:ascii="Times New Roman" w:hAnsi="Times New Roman" w:cs="Times New Roman"/>
          <w:highlight w:val="none"/>
        </w:rPr>
        <w:fldChar w:fldCharType="end"/>
      </w:r>
      <w:bookmarkEnd w:id="43"/>
      <w:r>
        <w:rPr>
          <w:rFonts w:hint="default" w:ascii="Times New Roman" w:hAnsi="Times New Roman" w:cs="Times New Roman"/>
          <w:highlight w:val="none"/>
          <w:lang w:val="en-US" w:eastAsia="zh-CN"/>
        </w:rPr>
        <w:t xml:space="preserve"> 2023年12月项目影响水域浮游植物组成</w:t>
      </w:r>
      <w:bookmarkEnd w:id="44"/>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4CA2A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37E1D9E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门</w:t>
            </w:r>
          </w:p>
        </w:tc>
        <w:tc>
          <w:tcPr>
            <w:tcW w:w="1704" w:type="dxa"/>
          </w:tcPr>
          <w:p w14:paraId="74BA693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w:t>
            </w:r>
          </w:p>
        </w:tc>
        <w:tc>
          <w:tcPr>
            <w:tcW w:w="1704" w:type="dxa"/>
          </w:tcPr>
          <w:p w14:paraId="1444F7C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属</w:t>
            </w:r>
          </w:p>
        </w:tc>
        <w:tc>
          <w:tcPr>
            <w:tcW w:w="1705" w:type="dxa"/>
          </w:tcPr>
          <w:p w14:paraId="69BB048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w:t>
            </w:r>
          </w:p>
        </w:tc>
        <w:tc>
          <w:tcPr>
            <w:tcW w:w="1705" w:type="dxa"/>
          </w:tcPr>
          <w:p w14:paraId="231FDBF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百分比</w:t>
            </w:r>
          </w:p>
        </w:tc>
      </w:tr>
      <w:tr w14:paraId="7B20E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2E82B75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硅藻们</w:t>
            </w:r>
          </w:p>
        </w:tc>
        <w:tc>
          <w:tcPr>
            <w:tcW w:w="1704" w:type="dxa"/>
          </w:tcPr>
          <w:p w14:paraId="3AA76A0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1704" w:type="dxa"/>
          </w:tcPr>
          <w:p w14:paraId="49471EC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1705" w:type="dxa"/>
          </w:tcPr>
          <w:p w14:paraId="5CEF959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w:t>
            </w:r>
          </w:p>
        </w:tc>
        <w:tc>
          <w:tcPr>
            <w:tcW w:w="1705" w:type="dxa"/>
          </w:tcPr>
          <w:p w14:paraId="12D5214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48.57%</w:t>
            </w:r>
          </w:p>
        </w:tc>
      </w:tr>
      <w:tr w14:paraId="52C79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163BA67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绿藻门</w:t>
            </w:r>
          </w:p>
        </w:tc>
        <w:tc>
          <w:tcPr>
            <w:tcW w:w="1704" w:type="dxa"/>
          </w:tcPr>
          <w:p w14:paraId="1C1E283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1704" w:type="dxa"/>
          </w:tcPr>
          <w:p w14:paraId="7127786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1705" w:type="dxa"/>
          </w:tcPr>
          <w:p w14:paraId="3E8B3CD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1705" w:type="dxa"/>
          </w:tcPr>
          <w:p w14:paraId="3ED9716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34.29%</w:t>
            </w:r>
          </w:p>
        </w:tc>
      </w:tr>
      <w:tr w14:paraId="49280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4F2C2BB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蓝藻门</w:t>
            </w:r>
          </w:p>
        </w:tc>
        <w:tc>
          <w:tcPr>
            <w:tcW w:w="1704" w:type="dxa"/>
          </w:tcPr>
          <w:p w14:paraId="3C4F416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4" w:type="dxa"/>
          </w:tcPr>
          <w:p w14:paraId="508082E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705" w:type="dxa"/>
          </w:tcPr>
          <w:p w14:paraId="72D0E3F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1705" w:type="dxa"/>
          </w:tcPr>
          <w:p w14:paraId="53E0E90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8.57%</w:t>
            </w:r>
          </w:p>
        </w:tc>
      </w:tr>
      <w:tr w14:paraId="3D4A6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39963A2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裸藻门</w:t>
            </w:r>
          </w:p>
        </w:tc>
        <w:tc>
          <w:tcPr>
            <w:tcW w:w="1704" w:type="dxa"/>
          </w:tcPr>
          <w:p w14:paraId="42533F9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4" w:type="dxa"/>
          </w:tcPr>
          <w:p w14:paraId="386E47E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705" w:type="dxa"/>
          </w:tcPr>
          <w:p w14:paraId="1B9ED8D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705" w:type="dxa"/>
          </w:tcPr>
          <w:p w14:paraId="7E8FA7A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5.71%</w:t>
            </w:r>
          </w:p>
        </w:tc>
      </w:tr>
      <w:tr w14:paraId="56D34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6B85913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甲藻门</w:t>
            </w:r>
          </w:p>
        </w:tc>
        <w:tc>
          <w:tcPr>
            <w:tcW w:w="1704" w:type="dxa"/>
          </w:tcPr>
          <w:p w14:paraId="69CA5E3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4" w:type="dxa"/>
          </w:tcPr>
          <w:p w14:paraId="2E31E65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5" w:type="dxa"/>
          </w:tcPr>
          <w:p w14:paraId="2578539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5" w:type="dxa"/>
          </w:tcPr>
          <w:p w14:paraId="1D52A02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2.86%</w:t>
            </w:r>
          </w:p>
        </w:tc>
      </w:tr>
      <w:tr w14:paraId="6A374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30F0AA1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c>
          <w:tcPr>
            <w:tcW w:w="1704" w:type="dxa"/>
          </w:tcPr>
          <w:p w14:paraId="1C17AA0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1704" w:type="dxa"/>
          </w:tcPr>
          <w:p w14:paraId="52F8B06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w:t>
            </w:r>
          </w:p>
        </w:tc>
        <w:tc>
          <w:tcPr>
            <w:tcW w:w="1705" w:type="dxa"/>
          </w:tcPr>
          <w:p w14:paraId="2ECFFD7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35</w:t>
            </w:r>
          </w:p>
        </w:tc>
        <w:tc>
          <w:tcPr>
            <w:tcW w:w="1705" w:type="dxa"/>
          </w:tcPr>
          <w:p w14:paraId="614CC25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bl>
    <w:p w14:paraId="779CF4BF">
      <w:pPr>
        <w:pStyle w:val="11"/>
        <w:bidi w:val="0"/>
        <w:rPr>
          <w:rFonts w:hint="default" w:ascii="Times New Roman" w:hAnsi="Times New Roman" w:cs="Times New Roman"/>
          <w:highlight w:val="none"/>
          <w:lang w:val="en-US" w:eastAsia="zh-CN"/>
        </w:rPr>
      </w:pPr>
      <w:bookmarkStart w:id="45" w:name="_Ref29113"/>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47</w:t>
      </w:r>
      <w:r>
        <w:rPr>
          <w:rFonts w:hint="default" w:ascii="Times New Roman" w:hAnsi="Times New Roman" w:cs="Times New Roman"/>
          <w:highlight w:val="none"/>
        </w:rPr>
        <w:fldChar w:fldCharType="end"/>
      </w:r>
      <w:bookmarkEnd w:id="45"/>
      <w:r>
        <w:rPr>
          <w:rFonts w:hint="default" w:ascii="Times New Roman" w:hAnsi="Times New Roman" w:cs="Times New Roman"/>
          <w:highlight w:val="none"/>
          <w:lang w:val="en-US" w:eastAsia="zh-CN"/>
        </w:rPr>
        <w:t xml:space="preserve"> 2024年3月项目影响水域浮游植物组成</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7BC74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1403A39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门</w:t>
            </w:r>
          </w:p>
        </w:tc>
        <w:tc>
          <w:tcPr>
            <w:tcW w:w="1704" w:type="dxa"/>
          </w:tcPr>
          <w:p w14:paraId="0AD70D9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w:t>
            </w:r>
          </w:p>
        </w:tc>
        <w:tc>
          <w:tcPr>
            <w:tcW w:w="1704" w:type="dxa"/>
          </w:tcPr>
          <w:p w14:paraId="3C46478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属</w:t>
            </w:r>
          </w:p>
        </w:tc>
        <w:tc>
          <w:tcPr>
            <w:tcW w:w="1705" w:type="dxa"/>
          </w:tcPr>
          <w:p w14:paraId="4A24C36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w:t>
            </w:r>
          </w:p>
        </w:tc>
        <w:tc>
          <w:tcPr>
            <w:tcW w:w="1705" w:type="dxa"/>
          </w:tcPr>
          <w:p w14:paraId="553F55A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百分比</w:t>
            </w:r>
          </w:p>
        </w:tc>
      </w:tr>
      <w:tr w14:paraId="3AD15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04C933D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硅藻们</w:t>
            </w:r>
          </w:p>
        </w:tc>
        <w:tc>
          <w:tcPr>
            <w:tcW w:w="1704" w:type="dxa"/>
          </w:tcPr>
          <w:p w14:paraId="3042890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1704" w:type="dxa"/>
          </w:tcPr>
          <w:p w14:paraId="34D441E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1705" w:type="dxa"/>
          </w:tcPr>
          <w:p w14:paraId="403B6CD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w:t>
            </w:r>
          </w:p>
        </w:tc>
        <w:tc>
          <w:tcPr>
            <w:tcW w:w="1705" w:type="dxa"/>
          </w:tcPr>
          <w:p w14:paraId="72B4CF2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48.48%</w:t>
            </w:r>
          </w:p>
        </w:tc>
      </w:tr>
      <w:tr w14:paraId="08C9A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279A03C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绿藻门</w:t>
            </w:r>
          </w:p>
        </w:tc>
        <w:tc>
          <w:tcPr>
            <w:tcW w:w="1704" w:type="dxa"/>
          </w:tcPr>
          <w:p w14:paraId="1ED311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1704" w:type="dxa"/>
          </w:tcPr>
          <w:p w14:paraId="23CE971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1705" w:type="dxa"/>
          </w:tcPr>
          <w:p w14:paraId="3BEBB40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w:t>
            </w:r>
          </w:p>
        </w:tc>
        <w:tc>
          <w:tcPr>
            <w:tcW w:w="1705" w:type="dxa"/>
          </w:tcPr>
          <w:p w14:paraId="5D896E0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33.33%</w:t>
            </w:r>
          </w:p>
        </w:tc>
      </w:tr>
      <w:tr w14:paraId="69824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auto"/>
            <w:vAlign w:val="top"/>
          </w:tcPr>
          <w:p w14:paraId="3EE15D4F">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蓝藻门</w:t>
            </w:r>
          </w:p>
        </w:tc>
        <w:tc>
          <w:tcPr>
            <w:tcW w:w="1704" w:type="dxa"/>
          </w:tcPr>
          <w:p w14:paraId="2060D49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4" w:type="dxa"/>
          </w:tcPr>
          <w:p w14:paraId="36A0B02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705" w:type="dxa"/>
          </w:tcPr>
          <w:p w14:paraId="36A97C5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1705" w:type="dxa"/>
          </w:tcPr>
          <w:p w14:paraId="681E770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9.09%</w:t>
            </w:r>
          </w:p>
        </w:tc>
      </w:tr>
      <w:tr w14:paraId="516B3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auto"/>
            <w:vAlign w:val="top"/>
          </w:tcPr>
          <w:p w14:paraId="5CDAD4BC">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裸藻门</w:t>
            </w:r>
          </w:p>
        </w:tc>
        <w:tc>
          <w:tcPr>
            <w:tcW w:w="1704" w:type="dxa"/>
          </w:tcPr>
          <w:p w14:paraId="37FC3AA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4" w:type="dxa"/>
          </w:tcPr>
          <w:p w14:paraId="5242DA3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705" w:type="dxa"/>
          </w:tcPr>
          <w:p w14:paraId="07316C6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705" w:type="dxa"/>
          </w:tcPr>
          <w:p w14:paraId="754EC8D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6.06%</w:t>
            </w:r>
          </w:p>
        </w:tc>
      </w:tr>
      <w:tr w14:paraId="59EC6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auto"/>
            <w:vAlign w:val="top"/>
          </w:tcPr>
          <w:p w14:paraId="2E9C8ABA">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甲藻门</w:t>
            </w:r>
          </w:p>
        </w:tc>
        <w:tc>
          <w:tcPr>
            <w:tcW w:w="1704" w:type="dxa"/>
          </w:tcPr>
          <w:p w14:paraId="2F5CFC2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4" w:type="dxa"/>
          </w:tcPr>
          <w:p w14:paraId="19E6A48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5" w:type="dxa"/>
          </w:tcPr>
          <w:p w14:paraId="48DAF97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705" w:type="dxa"/>
          </w:tcPr>
          <w:p w14:paraId="6CB4492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3.03%</w:t>
            </w:r>
          </w:p>
        </w:tc>
      </w:tr>
      <w:tr w14:paraId="59DFD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auto"/>
            <w:vAlign w:val="top"/>
          </w:tcPr>
          <w:p w14:paraId="710E97C0">
            <w:pPr>
              <w:pStyle w:val="22"/>
              <w:bidi w:val="0"/>
              <w:ind w:firstLine="0" w:firstLineChars="0"/>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合计</w:t>
            </w:r>
          </w:p>
        </w:tc>
        <w:tc>
          <w:tcPr>
            <w:tcW w:w="1704" w:type="dxa"/>
          </w:tcPr>
          <w:p w14:paraId="2B9D2E9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1704" w:type="dxa"/>
          </w:tcPr>
          <w:p w14:paraId="29453B8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w:t>
            </w:r>
          </w:p>
        </w:tc>
        <w:tc>
          <w:tcPr>
            <w:tcW w:w="1705" w:type="dxa"/>
          </w:tcPr>
          <w:p w14:paraId="1E07144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w:t>
            </w:r>
          </w:p>
        </w:tc>
        <w:tc>
          <w:tcPr>
            <w:tcW w:w="1705" w:type="dxa"/>
          </w:tcPr>
          <w:p w14:paraId="6CD32C1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bl>
    <w:p w14:paraId="1A768E4F">
      <w:pPr>
        <w:bidi w:val="0"/>
        <w:rPr>
          <w:rFonts w:hint="default"/>
          <w:highlight w:val="none"/>
          <w:lang w:val="en-US" w:eastAsia="zh-CN"/>
        </w:rPr>
      </w:pPr>
      <w:r>
        <w:rPr>
          <w:rFonts w:hint="default"/>
          <w:highlight w:val="none"/>
          <w:lang w:val="en-US" w:eastAsia="zh-CN"/>
        </w:rPr>
        <w:t>（2）区系特点</w:t>
      </w:r>
    </w:p>
    <w:p w14:paraId="1696ED9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流域两岸高</w:t>
      </w:r>
      <w:r>
        <w:rPr>
          <w:rFonts w:hint="eastAsia" w:cs="Times New Roman"/>
          <w:highlight w:val="none"/>
          <w:lang w:val="en-US" w:eastAsia="zh-CN"/>
        </w:rPr>
        <w:t>山</w:t>
      </w:r>
      <w:r>
        <w:rPr>
          <w:rFonts w:hint="default" w:ascii="Times New Roman" w:hAnsi="Times New Roman" w:cs="Times New Roman"/>
          <w:highlight w:val="none"/>
          <w:lang w:val="en-US" w:eastAsia="zh-CN"/>
        </w:rPr>
        <w:t>环绕、河床U窄，呈“V”形。岸坡陡峻，流域地势高亢，西南高东北低，由西南向东北倾斜，河谷深切，水流湍急，是典型的高山峡谷型河流。各个采样点水生藻类植物以适应高原山区河流和水温较低的藻类种类为主，属典型的河流型浮游藻类区系，两次调查各采样点浮游藻类组成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_Ref31092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 34</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 xml:space="preserve"> 和</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_Ref31125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 35</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6216790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从评价河段的浮游藻类种类与数量上</w:t>
      </w:r>
      <w:r>
        <w:rPr>
          <w:rFonts w:hint="eastAsia" w:cs="Times New Roman"/>
          <w:highlight w:val="none"/>
          <w:lang w:val="en-US" w:eastAsia="zh-CN"/>
        </w:rPr>
        <w:t>比</w:t>
      </w:r>
      <w:r>
        <w:rPr>
          <w:rFonts w:hint="default" w:ascii="Times New Roman" w:hAnsi="Times New Roman" w:cs="Times New Roman"/>
          <w:highlight w:val="none"/>
          <w:lang w:val="en-US" w:eastAsia="zh-CN"/>
        </w:rPr>
        <w:t>较，该河段中生活的藻类优势类群为硅藻门和绿藻门藻类。通过两次调查，整体的种类数量差异较⼩，各采样点种类分布差异也较小，均在16-23种之间，这可能是因为采样点均属于同一河流区段。各采集点的优势种均为绿藻，新月藻属和栅藻属种数量较多，在各采集断面上均有分布。</w:t>
      </w:r>
    </w:p>
    <w:p w14:paraId="2E18BA97">
      <w:pPr>
        <w:bidi w:val="0"/>
        <w:rPr>
          <w:rFonts w:hint="default" w:ascii="Times New Roman" w:hAnsi="Times New Roman" w:cs="Times New Roman"/>
          <w:highlight w:val="none"/>
          <w:lang w:val="en-US" w:eastAsia="zh-CN"/>
        </w:rPr>
      </w:pPr>
    </w:p>
    <w:p w14:paraId="2ADD2401">
      <w:pPr>
        <w:pStyle w:val="11"/>
        <w:bidi w:val="0"/>
        <w:ind w:left="0" w:leftChars="0" w:firstLine="0" w:firstLineChars="0"/>
        <w:rPr>
          <w:rFonts w:hint="default" w:ascii="Times New Roman" w:hAnsi="Times New Roman" w:cs="Times New Roman"/>
          <w:highlight w:val="none"/>
          <w:lang w:val="en-US" w:eastAsia="zh-CN"/>
        </w:rPr>
      </w:pPr>
      <w:bookmarkStart w:id="46" w:name="_Ref31092"/>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48</w:t>
      </w:r>
      <w:r>
        <w:rPr>
          <w:rFonts w:hint="default" w:ascii="Times New Roman" w:hAnsi="Times New Roman" w:cs="Times New Roman"/>
          <w:highlight w:val="none"/>
        </w:rPr>
        <w:fldChar w:fldCharType="end"/>
      </w:r>
      <w:bookmarkEnd w:id="46"/>
      <w:r>
        <w:rPr>
          <w:rFonts w:hint="default" w:ascii="Times New Roman" w:hAnsi="Times New Roman" w:cs="Times New Roman"/>
          <w:highlight w:val="none"/>
          <w:lang w:val="en-US" w:eastAsia="zh-CN"/>
        </w:rPr>
        <w:t xml:space="preserve"> 2023年12月调查中各采样带浮游藻类种类组成</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17"/>
        <w:gridCol w:w="1217"/>
        <w:gridCol w:w="1218"/>
        <w:gridCol w:w="1218"/>
        <w:gridCol w:w="1218"/>
      </w:tblGrid>
      <w:tr w14:paraId="7FE15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53FE3CC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采样点</w:t>
            </w:r>
          </w:p>
        </w:tc>
        <w:tc>
          <w:tcPr>
            <w:tcW w:w="1217" w:type="dxa"/>
          </w:tcPr>
          <w:p w14:paraId="258A96F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硅藻门</w:t>
            </w:r>
          </w:p>
        </w:tc>
        <w:tc>
          <w:tcPr>
            <w:tcW w:w="1217" w:type="dxa"/>
          </w:tcPr>
          <w:p w14:paraId="1EAC10E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绿藻门</w:t>
            </w:r>
          </w:p>
        </w:tc>
        <w:tc>
          <w:tcPr>
            <w:tcW w:w="1217" w:type="dxa"/>
          </w:tcPr>
          <w:p w14:paraId="102A99F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蓝藻门</w:t>
            </w:r>
          </w:p>
        </w:tc>
        <w:tc>
          <w:tcPr>
            <w:tcW w:w="1218" w:type="dxa"/>
          </w:tcPr>
          <w:p w14:paraId="163DD61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裸藻门</w:t>
            </w:r>
          </w:p>
        </w:tc>
        <w:tc>
          <w:tcPr>
            <w:tcW w:w="1218" w:type="dxa"/>
          </w:tcPr>
          <w:p w14:paraId="3D2C8B3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甲藻门</w:t>
            </w:r>
          </w:p>
        </w:tc>
        <w:tc>
          <w:tcPr>
            <w:tcW w:w="1218" w:type="dxa"/>
          </w:tcPr>
          <w:p w14:paraId="369080F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r>
      <w:tr w14:paraId="53919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799847A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7" w:type="dxa"/>
          </w:tcPr>
          <w:p w14:paraId="599F66A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1217" w:type="dxa"/>
          </w:tcPr>
          <w:p w14:paraId="440167E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2DA19F0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6A1CBD2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7704D69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2A5989F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21</w:t>
            </w:r>
          </w:p>
        </w:tc>
      </w:tr>
      <w:tr w14:paraId="2A1FE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1CC3228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7" w:type="dxa"/>
          </w:tcPr>
          <w:p w14:paraId="4584F01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1217" w:type="dxa"/>
          </w:tcPr>
          <w:p w14:paraId="1CB364F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w:t>
            </w:r>
          </w:p>
        </w:tc>
        <w:tc>
          <w:tcPr>
            <w:tcW w:w="1217" w:type="dxa"/>
          </w:tcPr>
          <w:p w14:paraId="7C59C52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1803489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8" w:type="dxa"/>
          </w:tcPr>
          <w:p w14:paraId="193BD60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5843E75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w:t>
            </w:r>
          </w:p>
        </w:tc>
      </w:tr>
      <w:tr w14:paraId="15FF3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4F8A3A2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1217" w:type="dxa"/>
          </w:tcPr>
          <w:p w14:paraId="180FB8B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w:t>
            </w:r>
          </w:p>
        </w:tc>
        <w:tc>
          <w:tcPr>
            <w:tcW w:w="1217" w:type="dxa"/>
          </w:tcPr>
          <w:p w14:paraId="763DA5F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1217" w:type="dxa"/>
          </w:tcPr>
          <w:p w14:paraId="1E07BE5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8" w:type="dxa"/>
          </w:tcPr>
          <w:p w14:paraId="16BF4D8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522E853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35B1900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w:t>
            </w:r>
          </w:p>
        </w:tc>
      </w:tr>
      <w:tr w14:paraId="58D23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1D2D25F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1217" w:type="dxa"/>
          </w:tcPr>
          <w:p w14:paraId="673D159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16F33DC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1217" w:type="dxa"/>
          </w:tcPr>
          <w:p w14:paraId="5A42C36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5D385DB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6098F78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158D589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w:t>
            </w:r>
          </w:p>
        </w:tc>
      </w:tr>
      <w:tr w14:paraId="60606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E9C053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1217" w:type="dxa"/>
          </w:tcPr>
          <w:p w14:paraId="23DBE9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4CD4873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1217" w:type="dxa"/>
          </w:tcPr>
          <w:p w14:paraId="1333A6E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517AFF2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8" w:type="dxa"/>
          </w:tcPr>
          <w:p w14:paraId="6A80852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61873B5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w:t>
            </w:r>
          </w:p>
        </w:tc>
      </w:tr>
      <w:tr w14:paraId="412FD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31225F0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1217" w:type="dxa"/>
          </w:tcPr>
          <w:p w14:paraId="361E57E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1217" w:type="dxa"/>
          </w:tcPr>
          <w:p w14:paraId="229775F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1217" w:type="dxa"/>
          </w:tcPr>
          <w:p w14:paraId="5A38224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8" w:type="dxa"/>
          </w:tcPr>
          <w:p w14:paraId="2F75085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5922947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0BFD187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w:t>
            </w:r>
          </w:p>
        </w:tc>
      </w:tr>
    </w:tbl>
    <w:p w14:paraId="5A21125F">
      <w:pPr>
        <w:pStyle w:val="11"/>
        <w:bidi w:val="0"/>
        <w:rPr>
          <w:rFonts w:hint="default" w:ascii="Times New Roman" w:hAnsi="Times New Roman" w:cs="Times New Roman"/>
          <w:highlight w:val="none"/>
          <w:lang w:val="en-US" w:eastAsia="zh-CN"/>
        </w:rPr>
      </w:pPr>
      <w:bookmarkStart w:id="47" w:name="_Ref31125"/>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49</w:t>
      </w:r>
      <w:r>
        <w:rPr>
          <w:rFonts w:hint="default" w:ascii="Times New Roman" w:hAnsi="Times New Roman" w:cs="Times New Roman"/>
          <w:highlight w:val="none"/>
        </w:rPr>
        <w:fldChar w:fldCharType="end"/>
      </w:r>
      <w:bookmarkEnd w:id="47"/>
      <w:r>
        <w:rPr>
          <w:rFonts w:hint="default" w:ascii="Times New Roman" w:hAnsi="Times New Roman" w:cs="Times New Roman"/>
          <w:highlight w:val="none"/>
          <w:lang w:val="en-US" w:eastAsia="zh-CN"/>
        </w:rPr>
        <w:t xml:space="preserve"> 2024年3</w:t>
      </w:r>
      <w:r>
        <w:rPr>
          <w:rFonts w:hint="eastAsia" w:cs="Times New Roman"/>
          <w:highlight w:val="none"/>
          <w:lang w:val="en-US" w:eastAsia="zh-CN"/>
        </w:rPr>
        <w:t>月</w:t>
      </w:r>
      <w:r>
        <w:rPr>
          <w:rFonts w:hint="default" w:ascii="Times New Roman" w:hAnsi="Times New Roman" w:cs="Times New Roman"/>
          <w:highlight w:val="none"/>
          <w:lang w:val="en-US" w:eastAsia="zh-CN"/>
        </w:rPr>
        <w:t>调查中各采样点浮游藻类种类组成</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17"/>
        <w:gridCol w:w="1217"/>
        <w:gridCol w:w="1218"/>
        <w:gridCol w:w="1218"/>
        <w:gridCol w:w="1218"/>
      </w:tblGrid>
      <w:tr w14:paraId="40038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310700E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采样点</w:t>
            </w:r>
          </w:p>
        </w:tc>
        <w:tc>
          <w:tcPr>
            <w:tcW w:w="1217" w:type="dxa"/>
          </w:tcPr>
          <w:p w14:paraId="4BE20E1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硅藻门</w:t>
            </w:r>
          </w:p>
        </w:tc>
        <w:tc>
          <w:tcPr>
            <w:tcW w:w="1217" w:type="dxa"/>
          </w:tcPr>
          <w:p w14:paraId="7754859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绿藻门</w:t>
            </w:r>
          </w:p>
        </w:tc>
        <w:tc>
          <w:tcPr>
            <w:tcW w:w="1217" w:type="dxa"/>
          </w:tcPr>
          <w:p w14:paraId="3C3D17F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蓝藻门</w:t>
            </w:r>
          </w:p>
        </w:tc>
        <w:tc>
          <w:tcPr>
            <w:tcW w:w="1218" w:type="dxa"/>
          </w:tcPr>
          <w:p w14:paraId="63609CA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裸藻门</w:t>
            </w:r>
          </w:p>
        </w:tc>
        <w:tc>
          <w:tcPr>
            <w:tcW w:w="1218" w:type="dxa"/>
          </w:tcPr>
          <w:p w14:paraId="5C96A90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甲藻门</w:t>
            </w:r>
          </w:p>
        </w:tc>
        <w:tc>
          <w:tcPr>
            <w:tcW w:w="1218" w:type="dxa"/>
          </w:tcPr>
          <w:p w14:paraId="5E13302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合计</w:t>
            </w:r>
          </w:p>
        </w:tc>
      </w:tr>
      <w:tr w14:paraId="0680D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41AE555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7" w:type="dxa"/>
          </w:tcPr>
          <w:p w14:paraId="54E6A44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1217" w:type="dxa"/>
          </w:tcPr>
          <w:p w14:paraId="657665A8">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1217" w:type="dxa"/>
          </w:tcPr>
          <w:p w14:paraId="22E692B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8" w:type="dxa"/>
          </w:tcPr>
          <w:p w14:paraId="74994C5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3EC1771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3C329A4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w:t>
            </w:r>
          </w:p>
        </w:tc>
      </w:tr>
      <w:tr w14:paraId="33260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3F8DF76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7" w:type="dxa"/>
          </w:tcPr>
          <w:p w14:paraId="357208C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1217" w:type="dxa"/>
          </w:tcPr>
          <w:p w14:paraId="00D152E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31382CE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1B0E6EF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44A5B33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4E9C7C5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w:t>
            </w:r>
          </w:p>
        </w:tc>
      </w:tr>
      <w:tr w14:paraId="448D5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15B30A6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1217" w:type="dxa"/>
          </w:tcPr>
          <w:p w14:paraId="78298BA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441764A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1217" w:type="dxa"/>
          </w:tcPr>
          <w:p w14:paraId="3544336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76A90AB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16F92F6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12AF320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w:t>
            </w:r>
          </w:p>
        </w:tc>
      </w:tr>
      <w:tr w14:paraId="4182D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7A732D2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1217" w:type="dxa"/>
          </w:tcPr>
          <w:p w14:paraId="124A2A3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0DFEC6B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1B1777C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71F8EE71">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488E250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2508CE3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w:t>
            </w:r>
          </w:p>
        </w:tc>
      </w:tr>
      <w:tr w14:paraId="0982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7ECC406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1217" w:type="dxa"/>
          </w:tcPr>
          <w:p w14:paraId="1EAE94C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c>
          <w:tcPr>
            <w:tcW w:w="1217" w:type="dxa"/>
          </w:tcPr>
          <w:p w14:paraId="297B0D7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1217" w:type="dxa"/>
          </w:tcPr>
          <w:p w14:paraId="7DF7E63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7249C06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8" w:type="dxa"/>
          </w:tcPr>
          <w:p w14:paraId="6201D6F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1218" w:type="dxa"/>
          </w:tcPr>
          <w:p w14:paraId="4CBFE20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21</w:t>
            </w:r>
          </w:p>
        </w:tc>
      </w:tr>
      <w:tr w14:paraId="6ECBE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45EC112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1217" w:type="dxa"/>
          </w:tcPr>
          <w:p w14:paraId="5F4057B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1DE6618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1217" w:type="dxa"/>
          </w:tcPr>
          <w:p w14:paraId="599E1B5D">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218" w:type="dxa"/>
          </w:tcPr>
          <w:p w14:paraId="4E70D69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31653760">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218" w:type="dxa"/>
          </w:tcPr>
          <w:p w14:paraId="6F84AF7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w:t>
            </w:r>
          </w:p>
        </w:tc>
      </w:tr>
    </w:tbl>
    <w:p w14:paraId="5B3CD80E">
      <w:pPr>
        <w:bidi w:val="0"/>
        <w:rPr>
          <w:rFonts w:hint="default"/>
          <w:highlight w:val="none"/>
          <w:lang w:val="en-US" w:eastAsia="zh-CN"/>
        </w:rPr>
      </w:pPr>
      <w:r>
        <w:rPr>
          <w:rFonts w:hint="default"/>
          <w:highlight w:val="none"/>
          <w:lang w:val="en-US" w:eastAsia="zh-CN"/>
        </w:rPr>
        <w:t>（3）种群密度及生物量</w:t>
      </w:r>
    </w:p>
    <w:p w14:paraId="2EB97CF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由于藻类中硅藻门和绿藻门的种类为主要组成成分，所以只对各个点的硅藻门和绿藻门的种类的分布密度进行了统计，其他门的藻类数量很小，故未作定量统计。结果表明，在2023年12</w:t>
      </w:r>
      <w:r>
        <w:rPr>
          <w:rFonts w:hint="eastAsia" w:cs="Times New Roman"/>
          <w:highlight w:val="none"/>
          <w:lang w:val="en-US" w:eastAsia="zh-CN"/>
        </w:rPr>
        <w:t>月</w:t>
      </w:r>
      <w:r>
        <w:rPr>
          <w:rFonts w:hint="default" w:ascii="Times New Roman" w:hAnsi="Times New Roman" w:cs="Times New Roman"/>
          <w:highlight w:val="none"/>
          <w:lang w:val="en-US" w:eastAsia="zh-CN"/>
        </w:rPr>
        <w:t>调查中，采样点1-6的浮游藻类的种群密度分别为21235cells/L、22123cells/L、22469cells/L、23461cells/L、25953cells/L和26882cells/L。6个采样点的浮游藻类种群生物量（湿重）分别为0.1015mg/L、0.1235mg/L、0.1162mg/L、0.1264mg/L、0.1364mg/L和0.1449mg/L。</w:t>
      </w:r>
    </w:p>
    <w:p w14:paraId="693322D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2024年3月调查中，采样点1-6的浮游藻类的种群密度分别为22574cells/L、22946cells/L、22154cells/L、23645cells/L、25661cells/L和24911cells/L。6个采样点的浮游藻类种群生物量（湿重）分别为0.1125mg/L、0.1164mg/L、0.1201mg/L、0.1264mg/L、0.1388mg/L和0.1406mg/L。越靠近硕曲河干流，浮游藻类的密度和生物量更大。</w:t>
      </w:r>
    </w:p>
    <w:p w14:paraId="75DAB18B">
      <w:pPr>
        <w:bidi w:val="0"/>
        <w:rPr>
          <w:rFonts w:hint="default"/>
          <w:highlight w:val="none"/>
          <w:lang w:val="en-US" w:eastAsia="zh-CN"/>
        </w:rPr>
      </w:pPr>
      <w:r>
        <w:rPr>
          <w:rFonts w:hint="default"/>
          <w:highlight w:val="none"/>
          <w:lang w:val="en-US" w:eastAsia="zh-CN"/>
        </w:rPr>
        <w:t>（4）水质生物评价</w:t>
      </w:r>
    </w:p>
    <w:p w14:paraId="4CB14AB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体中的藻类植物个体、种群或群落的变化，都可以客观反映出水体质量的变化规律。多样性是群落的主要特征，在水质清洁的条件下，浮游藻类的种类多，个体数相对稳定。当环境条件发生变化时，不同种类对新因素的敏感性和耐受能力是不同的，敏感种类在不利条件下逐渐死亡，抗性强的种类则大量发展。即污染过的水体，浮游藻类种类将减少，数量则增加。利用生物多样性指数可反映水质污染状况以及浮游藻类物种和数量的关系。</w:t>
      </w:r>
    </w:p>
    <w:p w14:paraId="585FC1B6">
      <w:pPr>
        <w:bidi w:val="0"/>
        <w:ind w:left="0" w:leftChars="0" w:firstLine="0" w:firstLineChars="0"/>
        <w:rPr>
          <w:rFonts w:hint="default" w:ascii="Times New Roman" w:hAnsi="Times New Roman" w:cs="Times New Roman" w:eastAsiaTheme="minorEastAsia"/>
          <w:highlight w:val="none"/>
          <w:lang w:val="en-US" w:eastAsia="zh-CN"/>
        </w:rPr>
      </w:pPr>
      <m:oMathPara>
        <m:oMath>
          <m:r>
            <m:rPr>
              <m:sty m:val="p"/>
            </m:rPr>
            <w:rPr>
              <w:rFonts w:hint="default" w:ascii="Cambria Math" w:hAnsi="Cambria Math" w:cs="Times New Roman"/>
              <w:highlight w:val="none"/>
              <w:lang w:val="en-US"/>
            </w:rPr>
            <m:t>α</m:t>
          </m:r>
          <m:r>
            <m:rPr>
              <m:sty m:val="p"/>
            </m:rPr>
            <w:rPr>
              <w:rFonts w:hint="default" w:ascii="Cambria Math" w:hAnsi="Cambria Math" w:cs="Times New Roman"/>
              <w:highlight w:val="none"/>
              <w:lang w:val="en-US" w:eastAsia="zh-CN"/>
            </w:rPr>
            <m:t>=</m:t>
          </m:r>
          <m:f>
            <m:fPr>
              <m:type m:val="skw"/>
              <m:ctrlPr>
                <w:rPr>
                  <w:rFonts w:hint="default" w:ascii="Cambria Math" w:hAnsi="Cambria Math" w:cs="Times New Roman"/>
                  <w:highlight w:val="none"/>
                  <w:lang w:val="en-US" w:eastAsia="zh-CN"/>
                </w:rPr>
              </m:ctrlPr>
            </m:fPr>
            <m:num>
              <m:r>
                <m:rPr>
                  <m:sty m:val="p"/>
                </m:rPr>
                <w:rPr>
                  <w:rFonts w:hint="default" w:ascii="Cambria Math" w:hAnsi="Cambria Math" w:cs="Times New Roman"/>
                  <w:highlight w:val="none"/>
                  <w:lang w:val="en-US" w:eastAsia="zh-CN"/>
                </w:rPr>
                <m:t>S−1</m:t>
              </m:r>
              <m:ctrlPr>
                <w:rPr>
                  <w:rFonts w:hint="default" w:ascii="Cambria Math" w:hAnsi="Cambria Math" w:cs="Times New Roman"/>
                  <w:highlight w:val="none"/>
                  <w:lang w:val="en-US" w:eastAsia="zh-CN"/>
                </w:rPr>
              </m:ctrlPr>
            </m:num>
            <m:den>
              <m:r>
                <m:rPr>
                  <m:sty m:val="p"/>
                </m:rPr>
                <w:rPr>
                  <w:rFonts w:hint="default" w:ascii="Cambria Math" w:hAnsi="Cambria Math" w:cs="Times New Roman"/>
                  <w:highlight w:val="none"/>
                  <w:lang w:val="en-US" w:eastAsia="zh-CN"/>
                </w:rPr>
                <m:t>LnN</m:t>
              </m:r>
              <m:ctrlPr>
                <w:rPr>
                  <w:rFonts w:hint="default" w:ascii="Cambria Math" w:hAnsi="Cambria Math" w:cs="Times New Roman"/>
                  <w:highlight w:val="none"/>
                  <w:lang w:val="en-US" w:eastAsia="zh-CN"/>
                </w:rPr>
              </m:ctrlPr>
            </m:den>
          </m:f>
        </m:oMath>
      </m:oMathPara>
    </w:p>
    <w:p w14:paraId="59674A5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式中，S为样品中藻类种类数，N为样品中藻类个体数。当α值大于3时为清洁水质，1-3时为中污</w:t>
      </w:r>
      <w:r>
        <w:rPr>
          <w:rFonts w:hint="eastAsia" w:cs="Times New Roman"/>
          <w:highlight w:val="none"/>
          <w:lang w:val="en-US" w:eastAsia="zh-CN"/>
        </w:rPr>
        <w:t>水</w:t>
      </w:r>
      <w:r>
        <w:rPr>
          <w:rFonts w:hint="default" w:ascii="Times New Roman" w:hAnsi="Times New Roman" w:cs="Times New Roman"/>
          <w:highlight w:val="none"/>
          <w:lang w:val="en-US" w:eastAsia="zh-CN"/>
        </w:rPr>
        <w:t>质；0-1时为污染水质。</w:t>
      </w:r>
    </w:p>
    <w:p w14:paraId="74F7AE5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对各断面藻类的水物多样性指数进行计算（</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_Ref30287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表36</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），两次结果显示6个采样点中藻类多样性指数α值均在1-3之间，说明这</w:t>
      </w:r>
      <w:r>
        <w:rPr>
          <w:rFonts w:hint="eastAsia" w:cs="Times New Roman"/>
          <w:highlight w:val="none"/>
          <w:lang w:val="en-US" w:eastAsia="zh-CN"/>
        </w:rPr>
        <w:t>几</w:t>
      </w:r>
      <w:r>
        <w:rPr>
          <w:rFonts w:hint="default" w:ascii="Times New Roman" w:hAnsi="Times New Roman" w:cs="Times New Roman"/>
          <w:highlight w:val="none"/>
          <w:lang w:val="en-US" w:eastAsia="zh-CN"/>
        </w:rPr>
        <w:t>个采样点的水生生态环境较好，受到轻度污染。其中，靠近村庄的3、4和5采样点，两次评价的藻类多样性指数α值均较低，这可能是由于村庄生活污水等排放导致的。</w:t>
      </w:r>
    </w:p>
    <w:p w14:paraId="3123E392">
      <w:pPr>
        <w:pStyle w:val="11"/>
        <w:bidi w:val="0"/>
        <w:ind w:left="0" w:leftChars="0" w:firstLine="0" w:firstLineChars="0"/>
        <w:rPr>
          <w:rFonts w:hint="default" w:ascii="Times New Roman" w:hAnsi="Times New Roman" w:cs="Times New Roman"/>
          <w:highlight w:val="none"/>
          <w:lang w:val="en-US" w:eastAsia="zh-CN"/>
        </w:rPr>
      </w:pPr>
      <w:bookmarkStart w:id="48" w:name="_Ref30287"/>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50</w:t>
      </w:r>
      <w:r>
        <w:rPr>
          <w:rFonts w:hint="default" w:ascii="Times New Roman" w:hAnsi="Times New Roman" w:cs="Times New Roman"/>
          <w:highlight w:val="none"/>
        </w:rPr>
        <w:fldChar w:fldCharType="end"/>
      </w:r>
      <w:bookmarkEnd w:id="48"/>
      <w:r>
        <w:rPr>
          <w:rFonts w:hint="default" w:ascii="Times New Roman" w:hAnsi="Times New Roman" w:cs="Times New Roman"/>
          <w:highlight w:val="none"/>
          <w:lang w:val="en-US" w:eastAsia="zh-CN"/>
        </w:rPr>
        <w:t xml:space="preserve"> 不同采样点生物多样性指数</w:t>
      </w:r>
    </w:p>
    <w:tbl>
      <w:tblPr>
        <w:tblStyle w:val="20"/>
        <w:tblW w:w="9290" w:type="dxa"/>
        <w:tblInd w:w="-3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5"/>
        <w:gridCol w:w="1056"/>
        <w:gridCol w:w="1065"/>
        <w:gridCol w:w="1065"/>
        <w:gridCol w:w="1065"/>
        <w:gridCol w:w="1065"/>
        <w:gridCol w:w="1066"/>
        <w:gridCol w:w="1443"/>
      </w:tblGrid>
      <w:tr w14:paraId="54451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dxa"/>
            <w:vAlign w:val="center"/>
          </w:tcPr>
          <w:p w14:paraId="56EDDAD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调查时间</w:t>
            </w:r>
          </w:p>
        </w:tc>
        <w:tc>
          <w:tcPr>
            <w:tcW w:w="1056" w:type="dxa"/>
            <w:vAlign w:val="center"/>
          </w:tcPr>
          <w:p w14:paraId="3D574C3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采集地点</w:t>
            </w:r>
          </w:p>
        </w:tc>
        <w:tc>
          <w:tcPr>
            <w:tcW w:w="1065" w:type="dxa"/>
            <w:vAlign w:val="center"/>
          </w:tcPr>
          <w:p w14:paraId="2828496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065" w:type="dxa"/>
            <w:vAlign w:val="center"/>
          </w:tcPr>
          <w:p w14:paraId="6E58D3D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065" w:type="dxa"/>
            <w:vAlign w:val="center"/>
          </w:tcPr>
          <w:p w14:paraId="2807560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c>
          <w:tcPr>
            <w:tcW w:w="1065" w:type="dxa"/>
            <w:vAlign w:val="center"/>
          </w:tcPr>
          <w:p w14:paraId="42C70EA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1066" w:type="dxa"/>
            <w:vAlign w:val="center"/>
          </w:tcPr>
          <w:p w14:paraId="1475552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1443" w:type="dxa"/>
            <w:vAlign w:val="center"/>
          </w:tcPr>
          <w:p w14:paraId="6B6A537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r>
      <w:tr w14:paraId="78D24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dxa"/>
            <w:vMerge w:val="restart"/>
            <w:vAlign w:val="center"/>
          </w:tcPr>
          <w:p w14:paraId="6C5F6B8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2023年12月</w:t>
            </w:r>
          </w:p>
        </w:tc>
        <w:tc>
          <w:tcPr>
            <w:tcW w:w="1056" w:type="dxa"/>
            <w:vAlign w:val="center"/>
          </w:tcPr>
          <w:p w14:paraId="0BBB16E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ɑ值</w:t>
            </w:r>
          </w:p>
        </w:tc>
        <w:tc>
          <w:tcPr>
            <w:tcW w:w="1065" w:type="dxa"/>
            <w:vAlign w:val="center"/>
          </w:tcPr>
          <w:p w14:paraId="45180C1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w:t>
            </w:r>
          </w:p>
        </w:tc>
        <w:tc>
          <w:tcPr>
            <w:tcW w:w="1065" w:type="dxa"/>
            <w:vAlign w:val="center"/>
          </w:tcPr>
          <w:p w14:paraId="478A74B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2.09</w:t>
            </w:r>
          </w:p>
        </w:tc>
        <w:tc>
          <w:tcPr>
            <w:tcW w:w="1065" w:type="dxa"/>
            <w:vAlign w:val="center"/>
          </w:tcPr>
          <w:p w14:paraId="74ACF6D3">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1.90</w:t>
            </w:r>
          </w:p>
        </w:tc>
        <w:tc>
          <w:tcPr>
            <w:tcW w:w="1065" w:type="dxa"/>
            <w:vAlign w:val="center"/>
          </w:tcPr>
          <w:p w14:paraId="6F8936F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1.67</w:t>
            </w:r>
          </w:p>
        </w:tc>
        <w:tc>
          <w:tcPr>
            <w:tcW w:w="1066" w:type="dxa"/>
            <w:vAlign w:val="center"/>
          </w:tcPr>
          <w:p w14:paraId="412C577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2.16</w:t>
            </w:r>
          </w:p>
        </w:tc>
        <w:tc>
          <w:tcPr>
            <w:tcW w:w="1443" w:type="dxa"/>
            <w:vAlign w:val="center"/>
          </w:tcPr>
          <w:p w14:paraId="7D1F593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1.87</w:t>
            </w:r>
          </w:p>
        </w:tc>
      </w:tr>
      <w:tr w14:paraId="6B0A1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dxa"/>
            <w:vMerge w:val="continue"/>
            <w:vAlign w:val="center"/>
          </w:tcPr>
          <w:p w14:paraId="0CFC39A5">
            <w:pPr>
              <w:pStyle w:val="22"/>
              <w:bidi w:val="0"/>
              <w:jc w:val="center"/>
              <w:rPr>
                <w:rFonts w:hint="default" w:ascii="Times New Roman" w:hAnsi="Times New Roman" w:cs="Times New Roman"/>
                <w:highlight w:val="none"/>
                <w:lang w:val="en-US" w:eastAsia="zh-CN"/>
              </w:rPr>
            </w:pPr>
          </w:p>
        </w:tc>
        <w:tc>
          <w:tcPr>
            <w:tcW w:w="1056" w:type="dxa"/>
            <w:vAlign w:val="center"/>
          </w:tcPr>
          <w:p w14:paraId="12D6024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藻类种数</w:t>
            </w:r>
          </w:p>
        </w:tc>
        <w:tc>
          <w:tcPr>
            <w:tcW w:w="1065" w:type="dxa"/>
            <w:vAlign w:val="center"/>
          </w:tcPr>
          <w:p w14:paraId="76034E5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w:t>
            </w:r>
          </w:p>
        </w:tc>
        <w:tc>
          <w:tcPr>
            <w:tcW w:w="1065" w:type="dxa"/>
            <w:vAlign w:val="center"/>
          </w:tcPr>
          <w:p w14:paraId="3AB86A7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21</w:t>
            </w:r>
          </w:p>
        </w:tc>
        <w:tc>
          <w:tcPr>
            <w:tcW w:w="1065" w:type="dxa"/>
            <w:vAlign w:val="center"/>
          </w:tcPr>
          <w:p w14:paraId="7B8CEEF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w:t>
            </w:r>
          </w:p>
        </w:tc>
        <w:tc>
          <w:tcPr>
            <w:tcW w:w="1065" w:type="dxa"/>
            <w:vAlign w:val="center"/>
          </w:tcPr>
          <w:p w14:paraId="2195DAFB">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w:t>
            </w:r>
          </w:p>
        </w:tc>
        <w:tc>
          <w:tcPr>
            <w:tcW w:w="1066" w:type="dxa"/>
            <w:vAlign w:val="center"/>
          </w:tcPr>
          <w:p w14:paraId="35539D2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w:t>
            </w:r>
          </w:p>
        </w:tc>
        <w:tc>
          <w:tcPr>
            <w:tcW w:w="1443" w:type="dxa"/>
            <w:vAlign w:val="center"/>
          </w:tcPr>
          <w:p w14:paraId="35505709">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w:t>
            </w:r>
          </w:p>
        </w:tc>
      </w:tr>
      <w:tr w14:paraId="50204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dxa"/>
            <w:vMerge w:val="restart"/>
            <w:vAlign w:val="center"/>
          </w:tcPr>
          <w:p w14:paraId="4ED184F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2024年3月</w:t>
            </w:r>
          </w:p>
        </w:tc>
        <w:tc>
          <w:tcPr>
            <w:tcW w:w="1056" w:type="dxa"/>
            <w:shd w:val="clear" w:color="auto" w:fill="auto"/>
            <w:vAlign w:val="center"/>
          </w:tcPr>
          <w:p w14:paraId="03D646B0">
            <w:pPr>
              <w:pStyle w:val="22"/>
              <w:bidi w:val="0"/>
              <w:ind w:firstLine="0" w:firstLineChars="0"/>
              <w:jc w:val="center"/>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ɑ值</w:t>
            </w:r>
          </w:p>
        </w:tc>
        <w:tc>
          <w:tcPr>
            <w:tcW w:w="1065" w:type="dxa"/>
            <w:vAlign w:val="center"/>
          </w:tcPr>
          <w:p w14:paraId="6D20ADF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1.69</w:t>
            </w:r>
          </w:p>
        </w:tc>
        <w:tc>
          <w:tcPr>
            <w:tcW w:w="1065" w:type="dxa"/>
            <w:vAlign w:val="center"/>
          </w:tcPr>
          <w:p w14:paraId="1F068FF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1.79</w:t>
            </w:r>
          </w:p>
        </w:tc>
        <w:tc>
          <w:tcPr>
            <w:tcW w:w="1065" w:type="dxa"/>
            <w:vAlign w:val="center"/>
          </w:tcPr>
          <w:p w14:paraId="4CECB7A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1.49</w:t>
            </w:r>
          </w:p>
        </w:tc>
        <w:tc>
          <w:tcPr>
            <w:tcW w:w="1065" w:type="dxa"/>
            <w:vAlign w:val="center"/>
          </w:tcPr>
          <w:p w14:paraId="0427D36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1.88</w:t>
            </w:r>
          </w:p>
        </w:tc>
        <w:tc>
          <w:tcPr>
            <w:tcW w:w="1066" w:type="dxa"/>
            <w:vAlign w:val="center"/>
          </w:tcPr>
          <w:p w14:paraId="2A8BECA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1.96</w:t>
            </w:r>
          </w:p>
        </w:tc>
        <w:tc>
          <w:tcPr>
            <w:tcW w:w="1443" w:type="dxa"/>
            <w:vAlign w:val="center"/>
          </w:tcPr>
          <w:p w14:paraId="15439D3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2.07</w:t>
            </w:r>
          </w:p>
        </w:tc>
      </w:tr>
      <w:tr w14:paraId="37E26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dxa"/>
            <w:vMerge w:val="continue"/>
            <w:vAlign w:val="center"/>
          </w:tcPr>
          <w:p w14:paraId="57A2E04B">
            <w:pPr>
              <w:pStyle w:val="22"/>
              <w:bidi w:val="0"/>
              <w:jc w:val="center"/>
              <w:rPr>
                <w:rFonts w:hint="default" w:ascii="Times New Roman" w:hAnsi="Times New Roman" w:cs="Times New Roman"/>
                <w:highlight w:val="none"/>
                <w:lang w:val="en-US" w:eastAsia="zh-CN"/>
              </w:rPr>
            </w:pPr>
          </w:p>
        </w:tc>
        <w:tc>
          <w:tcPr>
            <w:tcW w:w="1056" w:type="dxa"/>
            <w:shd w:val="clear" w:color="auto" w:fill="auto"/>
            <w:vAlign w:val="center"/>
          </w:tcPr>
          <w:p w14:paraId="7FE996BC">
            <w:pPr>
              <w:pStyle w:val="22"/>
              <w:bidi w:val="0"/>
              <w:ind w:firstLine="0" w:firstLineChars="0"/>
              <w:jc w:val="center"/>
              <w:rPr>
                <w:rFonts w:hint="default" w:ascii="Times New Roman" w:hAnsi="Times New Roman" w:cs="Times New Roman" w:eastAsiaTheme="minorEastAsia"/>
                <w:kern w:val="2"/>
                <w:sz w:val="21"/>
                <w:szCs w:val="24"/>
                <w:highlight w:val="none"/>
                <w:lang w:val="en-US" w:eastAsia="zh-CN" w:bidi="ar-SA"/>
              </w:rPr>
            </w:pPr>
            <w:r>
              <w:rPr>
                <w:rFonts w:hint="default" w:ascii="Times New Roman" w:hAnsi="Times New Roman" w:cs="Times New Roman"/>
                <w:highlight w:val="none"/>
                <w:lang w:val="en-US" w:eastAsia="zh-CN"/>
              </w:rPr>
              <w:t>藻类种数</w:t>
            </w:r>
          </w:p>
        </w:tc>
        <w:tc>
          <w:tcPr>
            <w:tcW w:w="1065" w:type="dxa"/>
            <w:vAlign w:val="center"/>
          </w:tcPr>
          <w:p w14:paraId="3264AAC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18</w:t>
            </w:r>
          </w:p>
        </w:tc>
        <w:tc>
          <w:tcPr>
            <w:tcW w:w="1065" w:type="dxa"/>
            <w:vAlign w:val="center"/>
          </w:tcPr>
          <w:p w14:paraId="1AE2C23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w:t>
            </w:r>
          </w:p>
        </w:tc>
        <w:tc>
          <w:tcPr>
            <w:tcW w:w="1065" w:type="dxa"/>
            <w:vAlign w:val="center"/>
          </w:tcPr>
          <w:p w14:paraId="7DD75261">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w:t>
            </w:r>
          </w:p>
        </w:tc>
        <w:tc>
          <w:tcPr>
            <w:tcW w:w="1065" w:type="dxa"/>
            <w:vAlign w:val="center"/>
          </w:tcPr>
          <w:p w14:paraId="107E4A2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w:t>
            </w:r>
          </w:p>
        </w:tc>
        <w:tc>
          <w:tcPr>
            <w:tcW w:w="1066" w:type="dxa"/>
            <w:vAlign w:val="center"/>
          </w:tcPr>
          <w:p w14:paraId="5926C97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21</w:t>
            </w:r>
          </w:p>
        </w:tc>
        <w:tc>
          <w:tcPr>
            <w:tcW w:w="1443" w:type="dxa"/>
            <w:vAlign w:val="center"/>
          </w:tcPr>
          <w:p w14:paraId="0DAB999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w:t>
            </w:r>
          </w:p>
        </w:tc>
      </w:tr>
    </w:tbl>
    <w:p w14:paraId="469FAFBF">
      <w:pPr>
        <w:ind w:left="0" w:leftChars="0" w:firstLine="0" w:firstLineChars="0"/>
        <w:rPr>
          <w:rFonts w:hint="default" w:ascii="Times New Roman" w:hAnsi="Times New Roman" w:cs="Times New Roman"/>
          <w:highlight w:val="none"/>
          <w:lang w:val="en-US" w:eastAsia="zh-CN"/>
        </w:rPr>
      </w:pPr>
    </w:p>
    <w:p w14:paraId="108FD0F1">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2、</w:t>
      </w:r>
      <w:r>
        <w:rPr>
          <w:rFonts w:hint="default" w:ascii="Times New Roman" w:hAnsi="Times New Roman" w:cs="Times New Roman"/>
          <w:b/>
          <w:bCs/>
          <w:highlight w:val="none"/>
        </w:rPr>
        <w:t>浮游动物</w:t>
      </w:r>
    </w:p>
    <w:p w14:paraId="2D381005">
      <w:pPr>
        <w:bidi w:val="0"/>
        <w:rPr>
          <w:rFonts w:hint="default"/>
          <w:highlight w:val="none"/>
          <w:lang w:val="en-US" w:eastAsia="zh-CN"/>
        </w:rPr>
      </w:pPr>
      <w:r>
        <w:rPr>
          <w:rFonts w:hint="default"/>
          <w:highlight w:val="none"/>
          <w:lang w:eastAsia="zh-CN"/>
        </w:rPr>
        <w:t>（</w:t>
      </w:r>
      <w:r>
        <w:rPr>
          <w:rFonts w:hint="default"/>
          <w:highlight w:val="none"/>
          <w:lang w:val="en-US" w:eastAsia="zh-CN"/>
        </w:rPr>
        <w:t>1）种类组成</w:t>
      </w:r>
    </w:p>
    <w:p w14:paraId="27333C85">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浮游动物以水生细菌和浮游藻类为食，是属于水生生态系统中的消费者和第二营养级，亦称次级生产力，由于浮游动物摄取大量藻类，所以使水体产生自净作用，它也是所有幼鱼和某些成鱼的饵料基础。2023年12月在各采样点采集到浮游动物共9种（见</w:t>
      </w:r>
      <w:r>
        <w:rPr>
          <w:rFonts w:hint="default" w:ascii="Times New Roman" w:hAnsi="Times New Roman" w:cs="Times New Roman"/>
          <w:color w:val="auto"/>
          <w:sz w:val="24"/>
          <w:highlight w:val="none"/>
          <w:lang w:val="en-US" w:eastAsia="zh-CN"/>
        </w:rPr>
        <w:fldChar w:fldCharType="begin"/>
      </w:r>
      <w:r>
        <w:rPr>
          <w:rFonts w:hint="default" w:ascii="Times New Roman" w:hAnsi="Times New Roman" w:cs="Times New Roman"/>
          <w:color w:val="auto"/>
          <w:sz w:val="24"/>
          <w:highlight w:val="none"/>
          <w:lang w:val="en-US" w:eastAsia="zh-CN"/>
        </w:rPr>
        <w:instrText xml:space="preserve"> REF _Ref9515 \h </w:instrText>
      </w:r>
      <w:r>
        <w:rPr>
          <w:rFonts w:hint="default" w:ascii="Times New Roman" w:hAnsi="Times New Roman" w:cs="Times New Roman"/>
          <w:color w:val="auto"/>
          <w:sz w:val="24"/>
          <w:highlight w:val="none"/>
          <w:lang w:val="en-US" w:eastAsia="zh-CN"/>
        </w:rPr>
        <w:fldChar w:fldCharType="separate"/>
      </w:r>
      <w:r>
        <w:rPr>
          <w:rFonts w:hint="default" w:ascii="Times New Roman" w:hAnsi="Times New Roman" w:cs="Times New Roman"/>
          <w:highlight w:val="none"/>
        </w:rPr>
        <w:t>表37</w:t>
      </w:r>
      <w:r>
        <w:rPr>
          <w:rFonts w:hint="default" w:ascii="Times New Roman" w:hAnsi="Times New Roman" w:cs="Times New Roman"/>
          <w:color w:val="auto"/>
          <w:sz w:val="24"/>
          <w:highlight w:val="none"/>
          <w:lang w:val="en-US" w:eastAsia="zh-CN"/>
        </w:rPr>
        <w:fldChar w:fldCharType="end"/>
      </w:r>
      <w:r>
        <w:rPr>
          <w:rFonts w:hint="default" w:ascii="Times New Roman" w:hAnsi="Times New Roman" w:cs="Times New Roman"/>
          <w:color w:val="auto"/>
          <w:sz w:val="24"/>
          <w:highlight w:val="none"/>
          <w:lang w:val="en-US" w:eastAsia="zh-CN"/>
        </w:rPr>
        <w:t>）。其中原生动物7种，占总数的77.78%；轮虫2种，占比总数的22.22%。采样点1-6分别有7、8、7、6、6和7种。2024年3月调查在各采样点采集到浮游动物共8种（见</w:t>
      </w:r>
      <w:r>
        <w:rPr>
          <w:rFonts w:hint="default" w:ascii="Times New Roman" w:hAnsi="Times New Roman" w:cs="Times New Roman"/>
          <w:color w:val="auto"/>
          <w:sz w:val="24"/>
          <w:highlight w:val="none"/>
          <w:lang w:val="en-US" w:eastAsia="zh-CN"/>
        </w:rPr>
        <w:fldChar w:fldCharType="begin"/>
      </w:r>
      <w:r>
        <w:rPr>
          <w:rFonts w:hint="default" w:ascii="Times New Roman" w:hAnsi="Times New Roman" w:cs="Times New Roman"/>
          <w:color w:val="auto"/>
          <w:sz w:val="24"/>
          <w:highlight w:val="none"/>
          <w:lang w:val="en-US" w:eastAsia="zh-CN"/>
        </w:rPr>
        <w:instrText xml:space="preserve"> REF _Ref9515 \h </w:instrText>
      </w:r>
      <w:r>
        <w:rPr>
          <w:rFonts w:hint="default" w:ascii="Times New Roman" w:hAnsi="Times New Roman" w:cs="Times New Roman"/>
          <w:color w:val="auto"/>
          <w:sz w:val="24"/>
          <w:highlight w:val="none"/>
          <w:lang w:val="en-US" w:eastAsia="zh-CN"/>
        </w:rPr>
        <w:fldChar w:fldCharType="separate"/>
      </w:r>
      <w:r>
        <w:rPr>
          <w:rFonts w:hint="default" w:ascii="Times New Roman" w:hAnsi="Times New Roman" w:cs="Times New Roman"/>
          <w:highlight w:val="none"/>
        </w:rPr>
        <w:t>表37</w:t>
      </w:r>
      <w:r>
        <w:rPr>
          <w:rFonts w:hint="default" w:ascii="Times New Roman" w:hAnsi="Times New Roman" w:cs="Times New Roman"/>
          <w:color w:val="auto"/>
          <w:sz w:val="24"/>
          <w:highlight w:val="none"/>
          <w:lang w:val="en-US" w:eastAsia="zh-CN"/>
        </w:rPr>
        <w:fldChar w:fldCharType="end"/>
      </w:r>
      <w:r>
        <w:rPr>
          <w:rFonts w:hint="default" w:ascii="Times New Roman" w:hAnsi="Times New Roman" w:cs="Times New Roman"/>
          <w:color w:val="auto"/>
          <w:sz w:val="24"/>
          <w:highlight w:val="none"/>
          <w:lang w:val="en-US" w:eastAsia="zh-CN"/>
        </w:rPr>
        <w:t>）。其中原生动物7种，占总数的87.50%；轮虫1种，占比总数的12.50%。采样点1-6分别有6、8、6、8、7和7种。两次采样各点之间采集的种类数目差异不大。总体看来，评价河段浮游动物组成简单，数量较少，这是由山区河流海拔高，急流多滩，且水体温度较低等环境因素所决定的。</w:t>
      </w:r>
    </w:p>
    <w:p w14:paraId="70A8E7E2">
      <w:pPr>
        <w:spacing w:line="360" w:lineRule="auto"/>
        <w:ind w:firstLine="480"/>
        <w:rPr>
          <w:rFonts w:hint="default" w:ascii="Times New Roman" w:hAnsi="Times New Roman" w:cs="Times New Roman"/>
          <w:color w:val="auto"/>
          <w:sz w:val="24"/>
          <w:highlight w:val="none"/>
          <w:lang w:val="en-US" w:eastAsia="zh-CN"/>
        </w:rPr>
      </w:pPr>
    </w:p>
    <w:p w14:paraId="355FA4AA">
      <w:pPr>
        <w:spacing w:line="360" w:lineRule="auto"/>
        <w:ind w:firstLine="480"/>
        <w:rPr>
          <w:rFonts w:hint="default" w:ascii="Times New Roman" w:hAnsi="Times New Roman" w:cs="Times New Roman"/>
          <w:color w:val="auto"/>
          <w:sz w:val="24"/>
          <w:highlight w:val="none"/>
          <w:lang w:val="en-US" w:eastAsia="zh-CN"/>
        </w:rPr>
      </w:pPr>
    </w:p>
    <w:p w14:paraId="6602FE75">
      <w:pPr>
        <w:spacing w:line="360" w:lineRule="auto"/>
        <w:ind w:firstLine="480"/>
        <w:rPr>
          <w:rFonts w:hint="default" w:ascii="Times New Roman" w:hAnsi="Times New Roman" w:cs="Times New Roman"/>
          <w:color w:val="auto"/>
          <w:sz w:val="24"/>
          <w:highlight w:val="none"/>
          <w:lang w:val="en-US" w:eastAsia="zh-CN"/>
        </w:rPr>
      </w:pPr>
    </w:p>
    <w:p w14:paraId="4C7D87B5">
      <w:pPr>
        <w:spacing w:line="360" w:lineRule="auto"/>
        <w:ind w:firstLine="480"/>
        <w:rPr>
          <w:rFonts w:hint="default" w:ascii="Times New Roman" w:hAnsi="Times New Roman" w:cs="Times New Roman"/>
          <w:color w:val="auto"/>
          <w:sz w:val="24"/>
          <w:highlight w:val="none"/>
          <w:lang w:val="en-US" w:eastAsia="zh-CN"/>
        </w:rPr>
      </w:pPr>
    </w:p>
    <w:p w14:paraId="7795CCAC">
      <w:pPr>
        <w:pStyle w:val="11"/>
        <w:spacing w:line="360" w:lineRule="auto"/>
        <w:ind w:left="0" w:leftChars="0" w:firstLine="0" w:firstLineChars="0"/>
        <w:rPr>
          <w:rFonts w:hint="default" w:ascii="Times New Roman" w:hAnsi="Times New Roman" w:eastAsia="黑体" w:cs="Times New Roman"/>
          <w:color w:val="auto"/>
          <w:sz w:val="24"/>
          <w:highlight w:val="none"/>
          <w:lang w:val="en-US" w:eastAsia="zh-CN"/>
        </w:rPr>
      </w:pPr>
      <w:bookmarkStart w:id="49" w:name="_Ref9515"/>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51</w:t>
      </w:r>
      <w:r>
        <w:rPr>
          <w:rFonts w:hint="default" w:ascii="Times New Roman" w:hAnsi="Times New Roman" w:cs="Times New Roman"/>
          <w:highlight w:val="none"/>
        </w:rPr>
        <w:fldChar w:fldCharType="end"/>
      </w:r>
      <w:bookmarkEnd w:id="49"/>
      <w:r>
        <w:rPr>
          <w:rFonts w:hint="default" w:ascii="Times New Roman" w:hAnsi="Times New Roman" w:cs="Times New Roman"/>
          <w:highlight w:val="none"/>
          <w:lang w:val="en-US" w:eastAsia="zh-CN"/>
        </w:rPr>
        <w:t xml:space="preserve"> 工程影响水域浮游动物名录</w:t>
      </w:r>
    </w:p>
    <w:tbl>
      <w:tblPr>
        <w:tblStyle w:val="24"/>
        <w:tblW w:w="8377"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0"/>
        <w:gridCol w:w="1039"/>
        <w:gridCol w:w="1071"/>
        <w:gridCol w:w="476"/>
        <w:gridCol w:w="476"/>
        <w:gridCol w:w="476"/>
        <w:gridCol w:w="476"/>
        <w:gridCol w:w="476"/>
        <w:gridCol w:w="476"/>
        <w:gridCol w:w="476"/>
        <w:gridCol w:w="477"/>
        <w:gridCol w:w="477"/>
        <w:gridCol w:w="477"/>
        <w:gridCol w:w="477"/>
        <w:gridCol w:w="477"/>
      </w:tblGrid>
      <w:tr w14:paraId="6BEA1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restart"/>
            <w:vAlign w:val="center"/>
          </w:tcPr>
          <w:p w14:paraId="141286C3">
            <w:pPr>
              <w:pStyle w:val="22"/>
              <w:bidi w:val="0"/>
              <w:jc w:val="center"/>
              <w:rPr>
                <w:rFonts w:hint="eastAsia" w:ascii="Times New Roman" w:hAnsi="Times New Roman" w:cs="Times New Roman" w:eastAsiaTheme="minorEastAsia"/>
                <w:highlight w:val="none"/>
                <w:lang w:eastAsia="zh-CN"/>
              </w:rPr>
            </w:pPr>
            <w:r>
              <w:rPr>
                <w:rFonts w:hint="eastAsia" w:cs="Times New Roman"/>
                <w:highlight w:val="none"/>
                <w:lang w:eastAsia="zh-CN"/>
              </w:rPr>
              <w:t>门</w:t>
            </w:r>
          </w:p>
        </w:tc>
        <w:tc>
          <w:tcPr>
            <w:tcW w:w="1039" w:type="dxa"/>
            <w:vMerge w:val="restart"/>
            <w:vAlign w:val="center"/>
          </w:tcPr>
          <w:p w14:paraId="120421C8">
            <w:pPr>
              <w:pStyle w:val="22"/>
              <w:bidi w:val="0"/>
              <w:jc w:val="center"/>
              <w:rPr>
                <w:rFonts w:hint="eastAsia" w:ascii="Times New Roman" w:hAnsi="Times New Roman" w:cs="Times New Roman" w:eastAsiaTheme="minorEastAsia"/>
                <w:highlight w:val="none"/>
                <w:lang w:eastAsia="zh-CN"/>
              </w:rPr>
            </w:pPr>
            <w:r>
              <w:rPr>
                <w:rFonts w:hint="eastAsia" w:cs="Times New Roman"/>
                <w:highlight w:val="none"/>
                <w:lang w:eastAsia="zh-CN"/>
              </w:rPr>
              <w:t>目</w:t>
            </w:r>
          </w:p>
        </w:tc>
        <w:tc>
          <w:tcPr>
            <w:tcW w:w="1071" w:type="dxa"/>
            <w:vMerge w:val="restart"/>
            <w:vAlign w:val="center"/>
          </w:tcPr>
          <w:p w14:paraId="3710601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种</w:t>
            </w:r>
          </w:p>
        </w:tc>
        <w:tc>
          <w:tcPr>
            <w:tcW w:w="2856" w:type="dxa"/>
            <w:gridSpan w:val="6"/>
            <w:vAlign w:val="center"/>
          </w:tcPr>
          <w:p w14:paraId="56566C9D">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2023年12</w:t>
            </w:r>
            <w:r>
              <w:rPr>
                <w:rFonts w:hint="eastAsia" w:cs="Times New Roman"/>
                <w:highlight w:val="none"/>
                <w:lang w:eastAsia="zh-CN"/>
              </w:rPr>
              <w:t>月</w:t>
            </w:r>
          </w:p>
        </w:tc>
        <w:tc>
          <w:tcPr>
            <w:tcW w:w="2861" w:type="dxa"/>
            <w:gridSpan w:val="6"/>
            <w:vAlign w:val="center"/>
          </w:tcPr>
          <w:p w14:paraId="10A8319F">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2024年3</w:t>
            </w:r>
            <w:r>
              <w:rPr>
                <w:rFonts w:hint="eastAsia" w:cs="Times New Roman"/>
                <w:highlight w:val="none"/>
                <w:lang w:eastAsia="zh-CN"/>
              </w:rPr>
              <w:t>月</w:t>
            </w:r>
          </w:p>
        </w:tc>
      </w:tr>
      <w:tr w14:paraId="55102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72D3FA37">
            <w:pPr>
              <w:pStyle w:val="22"/>
              <w:bidi w:val="0"/>
              <w:jc w:val="center"/>
              <w:rPr>
                <w:rFonts w:hint="default" w:ascii="Times New Roman" w:hAnsi="Times New Roman" w:cs="Times New Roman"/>
                <w:highlight w:val="none"/>
              </w:rPr>
            </w:pPr>
          </w:p>
        </w:tc>
        <w:tc>
          <w:tcPr>
            <w:tcW w:w="1039" w:type="dxa"/>
            <w:vMerge w:val="continue"/>
            <w:vAlign w:val="center"/>
          </w:tcPr>
          <w:p w14:paraId="12CB787E">
            <w:pPr>
              <w:pStyle w:val="22"/>
              <w:bidi w:val="0"/>
              <w:jc w:val="center"/>
              <w:rPr>
                <w:rFonts w:hint="default" w:ascii="Times New Roman" w:hAnsi="Times New Roman" w:cs="Times New Roman"/>
                <w:highlight w:val="none"/>
              </w:rPr>
            </w:pPr>
          </w:p>
        </w:tc>
        <w:tc>
          <w:tcPr>
            <w:tcW w:w="1071" w:type="dxa"/>
            <w:vMerge w:val="continue"/>
            <w:vAlign w:val="center"/>
          </w:tcPr>
          <w:p w14:paraId="5AD3EF18">
            <w:pPr>
              <w:pStyle w:val="22"/>
              <w:bidi w:val="0"/>
              <w:jc w:val="center"/>
              <w:rPr>
                <w:rFonts w:hint="default" w:ascii="Times New Roman" w:hAnsi="Times New Roman" w:cs="Times New Roman"/>
                <w:highlight w:val="none"/>
              </w:rPr>
            </w:pPr>
          </w:p>
        </w:tc>
        <w:tc>
          <w:tcPr>
            <w:tcW w:w="476" w:type="dxa"/>
            <w:vAlign w:val="center"/>
          </w:tcPr>
          <w:p w14:paraId="351DF1E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1</w:t>
            </w:r>
          </w:p>
        </w:tc>
        <w:tc>
          <w:tcPr>
            <w:tcW w:w="476" w:type="dxa"/>
            <w:vAlign w:val="center"/>
          </w:tcPr>
          <w:p w14:paraId="206AA6D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2</w:t>
            </w:r>
          </w:p>
        </w:tc>
        <w:tc>
          <w:tcPr>
            <w:tcW w:w="476" w:type="dxa"/>
            <w:vAlign w:val="center"/>
          </w:tcPr>
          <w:p w14:paraId="247E8EA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样点3</w:t>
            </w:r>
          </w:p>
        </w:tc>
        <w:tc>
          <w:tcPr>
            <w:tcW w:w="476" w:type="dxa"/>
            <w:vAlign w:val="center"/>
          </w:tcPr>
          <w:p w14:paraId="046C4A8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4</w:t>
            </w:r>
          </w:p>
        </w:tc>
        <w:tc>
          <w:tcPr>
            <w:tcW w:w="476" w:type="dxa"/>
            <w:vAlign w:val="center"/>
          </w:tcPr>
          <w:p w14:paraId="370A79E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5</w:t>
            </w:r>
          </w:p>
        </w:tc>
        <w:tc>
          <w:tcPr>
            <w:tcW w:w="476" w:type="dxa"/>
            <w:vAlign w:val="center"/>
          </w:tcPr>
          <w:p w14:paraId="248C7CE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样点6</w:t>
            </w:r>
          </w:p>
        </w:tc>
        <w:tc>
          <w:tcPr>
            <w:tcW w:w="476" w:type="dxa"/>
            <w:vAlign w:val="center"/>
          </w:tcPr>
          <w:p w14:paraId="44E90C5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1</w:t>
            </w:r>
          </w:p>
        </w:tc>
        <w:tc>
          <w:tcPr>
            <w:tcW w:w="477" w:type="dxa"/>
            <w:vAlign w:val="center"/>
          </w:tcPr>
          <w:p w14:paraId="3023CB4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2</w:t>
            </w:r>
          </w:p>
        </w:tc>
        <w:tc>
          <w:tcPr>
            <w:tcW w:w="477" w:type="dxa"/>
            <w:vAlign w:val="center"/>
          </w:tcPr>
          <w:p w14:paraId="2579FBC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样点3</w:t>
            </w:r>
          </w:p>
        </w:tc>
        <w:tc>
          <w:tcPr>
            <w:tcW w:w="477" w:type="dxa"/>
            <w:vAlign w:val="center"/>
          </w:tcPr>
          <w:p w14:paraId="4FAA7E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4</w:t>
            </w:r>
          </w:p>
        </w:tc>
        <w:tc>
          <w:tcPr>
            <w:tcW w:w="477" w:type="dxa"/>
            <w:vAlign w:val="center"/>
          </w:tcPr>
          <w:p w14:paraId="7DCC383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 5</w:t>
            </w:r>
          </w:p>
        </w:tc>
        <w:tc>
          <w:tcPr>
            <w:tcW w:w="477" w:type="dxa"/>
            <w:vAlign w:val="center"/>
          </w:tcPr>
          <w:p w14:paraId="0A535A3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样点6</w:t>
            </w:r>
          </w:p>
        </w:tc>
      </w:tr>
      <w:tr w14:paraId="4B569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restart"/>
            <w:vAlign w:val="center"/>
          </w:tcPr>
          <w:p w14:paraId="34B36BA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原生动物</w:t>
            </w:r>
          </w:p>
          <w:p w14:paraId="2C99CF30">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Protozoa</w:t>
            </w:r>
          </w:p>
        </w:tc>
        <w:tc>
          <w:tcPr>
            <w:tcW w:w="1039" w:type="dxa"/>
            <w:vMerge w:val="restart"/>
            <w:vAlign w:val="center"/>
          </w:tcPr>
          <w:p w14:paraId="760DF95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1.表壳目</w:t>
            </w:r>
            <w:r>
              <w:rPr>
                <w:rFonts w:hint="default" w:ascii="Times New Roman" w:hAnsi="Times New Roman" w:cs="Times New Roman"/>
                <w:i/>
                <w:iCs w:val="0"/>
                <w:highlight w:val="none"/>
              </w:rPr>
              <w:t>Arcellinida</w:t>
            </w:r>
          </w:p>
        </w:tc>
        <w:tc>
          <w:tcPr>
            <w:tcW w:w="1071" w:type="dxa"/>
            <w:vAlign w:val="center"/>
          </w:tcPr>
          <w:p w14:paraId="0C9F399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1.普通表壳虫</w:t>
            </w:r>
          </w:p>
          <w:p w14:paraId="304CE838">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Arcella vulgaris</w:t>
            </w:r>
          </w:p>
        </w:tc>
        <w:tc>
          <w:tcPr>
            <w:tcW w:w="476" w:type="dxa"/>
            <w:vAlign w:val="center"/>
          </w:tcPr>
          <w:p w14:paraId="50EA54B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1054690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5868C43A">
            <w:pPr>
              <w:pStyle w:val="22"/>
              <w:bidi w:val="0"/>
              <w:jc w:val="center"/>
              <w:rPr>
                <w:rFonts w:hint="default" w:ascii="Times New Roman" w:hAnsi="Times New Roman" w:cs="Times New Roman"/>
                <w:highlight w:val="none"/>
              </w:rPr>
            </w:pPr>
          </w:p>
        </w:tc>
        <w:tc>
          <w:tcPr>
            <w:tcW w:w="476" w:type="dxa"/>
            <w:vAlign w:val="center"/>
          </w:tcPr>
          <w:p w14:paraId="6601F64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3F7FAAA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EC08599">
            <w:pPr>
              <w:pStyle w:val="22"/>
              <w:bidi w:val="0"/>
              <w:jc w:val="center"/>
              <w:rPr>
                <w:rFonts w:hint="default" w:ascii="Times New Roman" w:hAnsi="Times New Roman" w:cs="Times New Roman"/>
                <w:highlight w:val="none"/>
              </w:rPr>
            </w:pPr>
          </w:p>
        </w:tc>
        <w:tc>
          <w:tcPr>
            <w:tcW w:w="476" w:type="dxa"/>
            <w:vAlign w:val="center"/>
          </w:tcPr>
          <w:p w14:paraId="728A0C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4EFCF7CB">
            <w:pPr>
              <w:pStyle w:val="22"/>
              <w:bidi w:val="0"/>
              <w:jc w:val="center"/>
              <w:rPr>
                <w:rFonts w:hint="default" w:ascii="Times New Roman" w:hAnsi="Times New Roman" w:cs="Times New Roman"/>
                <w:highlight w:val="none"/>
              </w:rPr>
            </w:pPr>
          </w:p>
        </w:tc>
        <w:tc>
          <w:tcPr>
            <w:tcW w:w="477" w:type="dxa"/>
            <w:vAlign w:val="center"/>
          </w:tcPr>
          <w:p w14:paraId="49913A27">
            <w:pPr>
              <w:pStyle w:val="22"/>
              <w:bidi w:val="0"/>
              <w:jc w:val="center"/>
              <w:rPr>
                <w:rFonts w:hint="default" w:ascii="Times New Roman" w:hAnsi="Times New Roman" w:cs="Times New Roman"/>
                <w:highlight w:val="none"/>
              </w:rPr>
            </w:pPr>
          </w:p>
        </w:tc>
        <w:tc>
          <w:tcPr>
            <w:tcW w:w="477" w:type="dxa"/>
            <w:vAlign w:val="center"/>
          </w:tcPr>
          <w:p w14:paraId="1FE5DF9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8C23B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09FC3B5A">
            <w:pPr>
              <w:pStyle w:val="22"/>
              <w:bidi w:val="0"/>
              <w:jc w:val="center"/>
              <w:rPr>
                <w:rFonts w:hint="default" w:ascii="Times New Roman" w:hAnsi="Times New Roman" w:cs="Times New Roman"/>
                <w:highlight w:val="none"/>
              </w:rPr>
            </w:pPr>
          </w:p>
        </w:tc>
      </w:tr>
      <w:tr w14:paraId="5BD60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6E0574C9">
            <w:pPr>
              <w:pStyle w:val="22"/>
              <w:bidi w:val="0"/>
              <w:jc w:val="center"/>
              <w:rPr>
                <w:rFonts w:hint="default" w:ascii="Times New Roman" w:hAnsi="Times New Roman" w:cs="Times New Roman"/>
                <w:highlight w:val="none"/>
              </w:rPr>
            </w:pPr>
          </w:p>
        </w:tc>
        <w:tc>
          <w:tcPr>
            <w:tcW w:w="1039" w:type="dxa"/>
            <w:vMerge w:val="continue"/>
            <w:vAlign w:val="center"/>
          </w:tcPr>
          <w:p w14:paraId="25166D8C">
            <w:pPr>
              <w:pStyle w:val="22"/>
              <w:bidi w:val="0"/>
              <w:jc w:val="center"/>
              <w:rPr>
                <w:rFonts w:hint="default" w:ascii="Times New Roman" w:hAnsi="Times New Roman" w:cs="Times New Roman"/>
                <w:highlight w:val="none"/>
              </w:rPr>
            </w:pPr>
          </w:p>
        </w:tc>
        <w:tc>
          <w:tcPr>
            <w:tcW w:w="1071" w:type="dxa"/>
            <w:vAlign w:val="center"/>
          </w:tcPr>
          <w:p w14:paraId="4A5EF05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2.旋匣壳虫</w:t>
            </w:r>
          </w:p>
          <w:p w14:paraId="56242698">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Centropyxis aerophila</w:t>
            </w:r>
          </w:p>
        </w:tc>
        <w:tc>
          <w:tcPr>
            <w:tcW w:w="476" w:type="dxa"/>
            <w:vAlign w:val="center"/>
          </w:tcPr>
          <w:p w14:paraId="64A7E38F">
            <w:pPr>
              <w:pStyle w:val="22"/>
              <w:bidi w:val="0"/>
              <w:jc w:val="center"/>
              <w:rPr>
                <w:rFonts w:hint="default" w:ascii="Times New Roman" w:hAnsi="Times New Roman" w:cs="Times New Roman"/>
                <w:highlight w:val="none"/>
              </w:rPr>
            </w:pPr>
          </w:p>
        </w:tc>
        <w:tc>
          <w:tcPr>
            <w:tcW w:w="476" w:type="dxa"/>
            <w:vAlign w:val="center"/>
          </w:tcPr>
          <w:p w14:paraId="318937A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5E3A806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77A9A17E">
            <w:pPr>
              <w:pStyle w:val="22"/>
              <w:bidi w:val="0"/>
              <w:jc w:val="center"/>
              <w:rPr>
                <w:rFonts w:hint="default" w:ascii="Times New Roman" w:hAnsi="Times New Roman" w:cs="Times New Roman"/>
                <w:highlight w:val="none"/>
              </w:rPr>
            </w:pPr>
          </w:p>
        </w:tc>
        <w:tc>
          <w:tcPr>
            <w:tcW w:w="476" w:type="dxa"/>
            <w:vAlign w:val="center"/>
          </w:tcPr>
          <w:p w14:paraId="5B1A7EC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3C01CE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B6D6B66">
            <w:pPr>
              <w:pStyle w:val="22"/>
              <w:bidi w:val="0"/>
              <w:jc w:val="center"/>
              <w:rPr>
                <w:rFonts w:hint="default" w:ascii="Times New Roman" w:hAnsi="Times New Roman" w:cs="Times New Roman"/>
                <w:highlight w:val="none"/>
              </w:rPr>
            </w:pPr>
          </w:p>
        </w:tc>
        <w:tc>
          <w:tcPr>
            <w:tcW w:w="477" w:type="dxa"/>
            <w:vAlign w:val="center"/>
          </w:tcPr>
          <w:p w14:paraId="52C1DD5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CAD8BF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387E3826">
            <w:pPr>
              <w:pStyle w:val="22"/>
              <w:bidi w:val="0"/>
              <w:jc w:val="center"/>
              <w:rPr>
                <w:rFonts w:hint="default" w:ascii="Times New Roman" w:hAnsi="Times New Roman" w:cs="Times New Roman"/>
                <w:highlight w:val="none"/>
              </w:rPr>
            </w:pPr>
          </w:p>
        </w:tc>
        <w:tc>
          <w:tcPr>
            <w:tcW w:w="477" w:type="dxa"/>
            <w:vAlign w:val="center"/>
          </w:tcPr>
          <w:p w14:paraId="45C8687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B522A7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4B4A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6884C698">
            <w:pPr>
              <w:pStyle w:val="22"/>
              <w:bidi w:val="0"/>
              <w:jc w:val="center"/>
              <w:rPr>
                <w:rFonts w:hint="default" w:ascii="Times New Roman" w:hAnsi="Times New Roman" w:cs="Times New Roman"/>
                <w:highlight w:val="none"/>
              </w:rPr>
            </w:pPr>
          </w:p>
        </w:tc>
        <w:tc>
          <w:tcPr>
            <w:tcW w:w="1039" w:type="dxa"/>
            <w:vMerge w:val="continue"/>
            <w:vAlign w:val="center"/>
          </w:tcPr>
          <w:p w14:paraId="1A929848">
            <w:pPr>
              <w:pStyle w:val="22"/>
              <w:bidi w:val="0"/>
              <w:jc w:val="center"/>
              <w:rPr>
                <w:rFonts w:hint="default" w:ascii="Times New Roman" w:hAnsi="Times New Roman" w:cs="Times New Roman"/>
                <w:highlight w:val="none"/>
              </w:rPr>
            </w:pPr>
          </w:p>
        </w:tc>
        <w:tc>
          <w:tcPr>
            <w:tcW w:w="1071" w:type="dxa"/>
            <w:vAlign w:val="center"/>
          </w:tcPr>
          <w:p w14:paraId="03B0C7C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3.颈梨壳虫</w:t>
            </w:r>
            <w:r>
              <w:rPr>
                <w:rFonts w:hint="default" w:ascii="Times New Roman" w:hAnsi="Times New Roman" w:cs="Times New Roman"/>
                <w:i/>
                <w:iCs/>
                <w:highlight w:val="none"/>
              </w:rPr>
              <w:t>Nebela collaris</w:t>
            </w:r>
          </w:p>
        </w:tc>
        <w:tc>
          <w:tcPr>
            <w:tcW w:w="476" w:type="dxa"/>
            <w:vAlign w:val="center"/>
          </w:tcPr>
          <w:p w14:paraId="03F23D8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3B5B22A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0FA3DE75">
            <w:pPr>
              <w:pStyle w:val="22"/>
              <w:bidi w:val="0"/>
              <w:jc w:val="center"/>
              <w:rPr>
                <w:rFonts w:hint="default" w:ascii="Times New Roman" w:hAnsi="Times New Roman" w:cs="Times New Roman"/>
                <w:highlight w:val="none"/>
              </w:rPr>
            </w:pPr>
          </w:p>
        </w:tc>
        <w:tc>
          <w:tcPr>
            <w:tcW w:w="476" w:type="dxa"/>
            <w:vAlign w:val="center"/>
          </w:tcPr>
          <w:p w14:paraId="32E315F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67265E3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C591CE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27EC4D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0A0ABB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40C8EC24">
            <w:pPr>
              <w:pStyle w:val="22"/>
              <w:bidi w:val="0"/>
              <w:jc w:val="center"/>
              <w:rPr>
                <w:rFonts w:hint="default" w:ascii="Times New Roman" w:hAnsi="Times New Roman" w:cs="Times New Roman"/>
                <w:highlight w:val="none"/>
              </w:rPr>
            </w:pPr>
          </w:p>
        </w:tc>
        <w:tc>
          <w:tcPr>
            <w:tcW w:w="477" w:type="dxa"/>
            <w:vAlign w:val="center"/>
          </w:tcPr>
          <w:p w14:paraId="4568982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0A78F8D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5844D2F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0281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607ED524">
            <w:pPr>
              <w:pStyle w:val="22"/>
              <w:bidi w:val="0"/>
              <w:jc w:val="center"/>
              <w:rPr>
                <w:rFonts w:hint="default" w:ascii="Times New Roman" w:hAnsi="Times New Roman" w:cs="Times New Roman"/>
                <w:highlight w:val="none"/>
              </w:rPr>
            </w:pPr>
          </w:p>
        </w:tc>
        <w:tc>
          <w:tcPr>
            <w:tcW w:w="1039" w:type="dxa"/>
            <w:vMerge w:val="continue"/>
            <w:vAlign w:val="center"/>
          </w:tcPr>
          <w:p w14:paraId="01B200DA">
            <w:pPr>
              <w:pStyle w:val="22"/>
              <w:bidi w:val="0"/>
              <w:jc w:val="center"/>
              <w:rPr>
                <w:rFonts w:hint="default" w:ascii="Times New Roman" w:hAnsi="Times New Roman" w:cs="Times New Roman"/>
                <w:highlight w:val="none"/>
              </w:rPr>
            </w:pPr>
          </w:p>
        </w:tc>
        <w:tc>
          <w:tcPr>
            <w:tcW w:w="1071" w:type="dxa"/>
            <w:vAlign w:val="center"/>
          </w:tcPr>
          <w:p w14:paraId="027B0A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4.宽口圆壳虫</w:t>
            </w:r>
          </w:p>
          <w:p w14:paraId="385DF57D">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Cyclopyxis eurostoma</w:t>
            </w:r>
          </w:p>
        </w:tc>
        <w:tc>
          <w:tcPr>
            <w:tcW w:w="476" w:type="dxa"/>
            <w:vAlign w:val="center"/>
          </w:tcPr>
          <w:p w14:paraId="58F0432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2EF280B">
            <w:pPr>
              <w:pStyle w:val="22"/>
              <w:bidi w:val="0"/>
              <w:jc w:val="center"/>
              <w:rPr>
                <w:rFonts w:hint="default" w:ascii="Times New Roman" w:hAnsi="Times New Roman" w:cs="Times New Roman"/>
                <w:highlight w:val="none"/>
              </w:rPr>
            </w:pPr>
          </w:p>
        </w:tc>
        <w:tc>
          <w:tcPr>
            <w:tcW w:w="476" w:type="dxa"/>
            <w:vAlign w:val="center"/>
          </w:tcPr>
          <w:p w14:paraId="5D0D2E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A614AF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0354ED7A">
            <w:pPr>
              <w:pStyle w:val="22"/>
              <w:bidi w:val="0"/>
              <w:jc w:val="center"/>
              <w:rPr>
                <w:rFonts w:hint="default" w:ascii="Times New Roman" w:hAnsi="Times New Roman" w:cs="Times New Roman"/>
                <w:highlight w:val="none"/>
              </w:rPr>
            </w:pPr>
          </w:p>
        </w:tc>
        <w:tc>
          <w:tcPr>
            <w:tcW w:w="476" w:type="dxa"/>
            <w:vAlign w:val="center"/>
          </w:tcPr>
          <w:p w14:paraId="5C770BD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33ED1A66">
            <w:pPr>
              <w:pStyle w:val="22"/>
              <w:bidi w:val="0"/>
              <w:jc w:val="center"/>
              <w:rPr>
                <w:rFonts w:hint="default" w:ascii="Times New Roman" w:hAnsi="Times New Roman" w:cs="Times New Roman"/>
                <w:highlight w:val="none"/>
              </w:rPr>
            </w:pPr>
          </w:p>
        </w:tc>
        <w:tc>
          <w:tcPr>
            <w:tcW w:w="477" w:type="dxa"/>
            <w:vAlign w:val="center"/>
          </w:tcPr>
          <w:p w14:paraId="1B1CE55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F78D8D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44D59E0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2B9A6B10">
            <w:pPr>
              <w:pStyle w:val="22"/>
              <w:bidi w:val="0"/>
              <w:jc w:val="center"/>
              <w:rPr>
                <w:rFonts w:hint="default" w:ascii="Times New Roman" w:hAnsi="Times New Roman" w:cs="Times New Roman"/>
                <w:highlight w:val="none"/>
              </w:rPr>
            </w:pPr>
          </w:p>
        </w:tc>
        <w:tc>
          <w:tcPr>
            <w:tcW w:w="477" w:type="dxa"/>
            <w:vAlign w:val="center"/>
          </w:tcPr>
          <w:p w14:paraId="758704A7">
            <w:pPr>
              <w:pStyle w:val="22"/>
              <w:bidi w:val="0"/>
              <w:jc w:val="center"/>
              <w:rPr>
                <w:rFonts w:hint="default" w:ascii="Times New Roman" w:hAnsi="Times New Roman" w:cs="Times New Roman"/>
                <w:highlight w:val="none"/>
              </w:rPr>
            </w:pPr>
          </w:p>
        </w:tc>
      </w:tr>
      <w:tr w14:paraId="49F37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392AA3D2">
            <w:pPr>
              <w:pStyle w:val="22"/>
              <w:bidi w:val="0"/>
              <w:jc w:val="center"/>
              <w:rPr>
                <w:rFonts w:hint="default" w:ascii="Times New Roman" w:hAnsi="Times New Roman" w:cs="Times New Roman"/>
                <w:highlight w:val="none"/>
              </w:rPr>
            </w:pPr>
          </w:p>
        </w:tc>
        <w:tc>
          <w:tcPr>
            <w:tcW w:w="1039" w:type="dxa"/>
            <w:vMerge w:val="continue"/>
            <w:vAlign w:val="center"/>
          </w:tcPr>
          <w:p w14:paraId="206BC257">
            <w:pPr>
              <w:pStyle w:val="22"/>
              <w:bidi w:val="0"/>
              <w:jc w:val="center"/>
              <w:rPr>
                <w:rFonts w:hint="default" w:ascii="Times New Roman" w:hAnsi="Times New Roman" w:cs="Times New Roman"/>
                <w:highlight w:val="none"/>
              </w:rPr>
            </w:pPr>
          </w:p>
        </w:tc>
        <w:tc>
          <w:tcPr>
            <w:tcW w:w="1071" w:type="dxa"/>
            <w:vAlign w:val="center"/>
          </w:tcPr>
          <w:p w14:paraId="20C342A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5.表壳圆壳虫</w:t>
            </w:r>
          </w:p>
          <w:p w14:paraId="57848F94">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Cyclopyxis arcelloides</w:t>
            </w:r>
          </w:p>
        </w:tc>
        <w:tc>
          <w:tcPr>
            <w:tcW w:w="476" w:type="dxa"/>
            <w:vAlign w:val="center"/>
          </w:tcPr>
          <w:p w14:paraId="2129C75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0B359CB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64D67897">
            <w:pPr>
              <w:pStyle w:val="22"/>
              <w:bidi w:val="0"/>
              <w:jc w:val="center"/>
              <w:rPr>
                <w:rFonts w:hint="default" w:ascii="Times New Roman" w:hAnsi="Times New Roman" w:cs="Times New Roman"/>
                <w:highlight w:val="none"/>
              </w:rPr>
            </w:pPr>
          </w:p>
        </w:tc>
        <w:tc>
          <w:tcPr>
            <w:tcW w:w="476" w:type="dxa"/>
            <w:vAlign w:val="center"/>
          </w:tcPr>
          <w:p w14:paraId="545FEF0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53D1604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5A654782">
            <w:pPr>
              <w:pStyle w:val="22"/>
              <w:bidi w:val="0"/>
              <w:jc w:val="center"/>
              <w:rPr>
                <w:rFonts w:hint="default" w:ascii="Times New Roman" w:hAnsi="Times New Roman" w:cs="Times New Roman"/>
                <w:highlight w:val="none"/>
              </w:rPr>
            </w:pPr>
          </w:p>
        </w:tc>
        <w:tc>
          <w:tcPr>
            <w:tcW w:w="476" w:type="dxa"/>
            <w:vAlign w:val="center"/>
          </w:tcPr>
          <w:p w14:paraId="02A55EA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46D05D2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0A8615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80D7FE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43A277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533FBFB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15282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1C1D259C">
            <w:pPr>
              <w:pStyle w:val="22"/>
              <w:bidi w:val="0"/>
              <w:jc w:val="center"/>
              <w:rPr>
                <w:rFonts w:hint="default" w:ascii="Times New Roman" w:hAnsi="Times New Roman" w:cs="Times New Roman"/>
                <w:highlight w:val="none"/>
              </w:rPr>
            </w:pPr>
          </w:p>
        </w:tc>
        <w:tc>
          <w:tcPr>
            <w:tcW w:w="1039" w:type="dxa"/>
            <w:vMerge w:val="continue"/>
            <w:vAlign w:val="center"/>
          </w:tcPr>
          <w:p w14:paraId="77B2C7DA">
            <w:pPr>
              <w:pStyle w:val="22"/>
              <w:bidi w:val="0"/>
              <w:jc w:val="center"/>
              <w:rPr>
                <w:rFonts w:hint="default" w:ascii="Times New Roman" w:hAnsi="Times New Roman" w:cs="Times New Roman"/>
                <w:highlight w:val="none"/>
              </w:rPr>
            </w:pPr>
          </w:p>
        </w:tc>
        <w:tc>
          <w:tcPr>
            <w:tcW w:w="1071" w:type="dxa"/>
            <w:vAlign w:val="center"/>
          </w:tcPr>
          <w:p w14:paraId="324C83B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6.旋扁壳虫</w:t>
            </w:r>
          </w:p>
          <w:p w14:paraId="47656A54">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Lesquereusia sp.</w:t>
            </w:r>
          </w:p>
        </w:tc>
        <w:tc>
          <w:tcPr>
            <w:tcW w:w="476" w:type="dxa"/>
            <w:vAlign w:val="center"/>
          </w:tcPr>
          <w:p w14:paraId="3E7245B2">
            <w:pPr>
              <w:pStyle w:val="22"/>
              <w:bidi w:val="0"/>
              <w:jc w:val="center"/>
              <w:rPr>
                <w:rFonts w:hint="default" w:ascii="Times New Roman" w:hAnsi="Times New Roman" w:cs="Times New Roman"/>
                <w:highlight w:val="none"/>
              </w:rPr>
            </w:pPr>
          </w:p>
        </w:tc>
        <w:tc>
          <w:tcPr>
            <w:tcW w:w="476" w:type="dxa"/>
            <w:vAlign w:val="center"/>
          </w:tcPr>
          <w:p w14:paraId="74399A4E">
            <w:pPr>
              <w:pStyle w:val="22"/>
              <w:bidi w:val="0"/>
              <w:jc w:val="center"/>
              <w:rPr>
                <w:rFonts w:hint="default" w:ascii="Times New Roman" w:hAnsi="Times New Roman" w:cs="Times New Roman"/>
                <w:highlight w:val="none"/>
              </w:rPr>
            </w:pPr>
          </w:p>
        </w:tc>
        <w:tc>
          <w:tcPr>
            <w:tcW w:w="476" w:type="dxa"/>
            <w:vAlign w:val="center"/>
          </w:tcPr>
          <w:p w14:paraId="7A20779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349E438F">
            <w:pPr>
              <w:pStyle w:val="22"/>
              <w:bidi w:val="0"/>
              <w:jc w:val="center"/>
              <w:rPr>
                <w:rFonts w:hint="default" w:ascii="Times New Roman" w:hAnsi="Times New Roman" w:cs="Times New Roman"/>
                <w:highlight w:val="none"/>
              </w:rPr>
            </w:pPr>
          </w:p>
        </w:tc>
        <w:tc>
          <w:tcPr>
            <w:tcW w:w="476" w:type="dxa"/>
            <w:vAlign w:val="center"/>
          </w:tcPr>
          <w:p w14:paraId="31363766">
            <w:pPr>
              <w:pStyle w:val="22"/>
              <w:bidi w:val="0"/>
              <w:jc w:val="center"/>
              <w:rPr>
                <w:rFonts w:hint="default" w:ascii="Times New Roman" w:hAnsi="Times New Roman" w:cs="Times New Roman"/>
                <w:highlight w:val="none"/>
              </w:rPr>
            </w:pPr>
          </w:p>
        </w:tc>
        <w:tc>
          <w:tcPr>
            <w:tcW w:w="476" w:type="dxa"/>
            <w:vAlign w:val="center"/>
          </w:tcPr>
          <w:p w14:paraId="52F50F6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27767632">
            <w:pPr>
              <w:pStyle w:val="22"/>
              <w:bidi w:val="0"/>
              <w:jc w:val="center"/>
              <w:rPr>
                <w:rFonts w:hint="default" w:ascii="Times New Roman" w:hAnsi="Times New Roman" w:cs="Times New Roman"/>
                <w:highlight w:val="none"/>
              </w:rPr>
            </w:pPr>
          </w:p>
        </w:tc>
        <w:tc>
          <w:tcPr>
            <w:tcW w:w="477" w:type="dxa"/>
            <w:vAlign w:val="center"/>
          </w:tcPr>
          <w:p w14:paraId="4B2557F4">
            <w:pPr>
              <w:pStyle w:val="22"/>
              <w:bidi w:val="0"/>
              <w:jc w:val="center"/>
              <w:rPr>
                <w:rFonts w:hint="default" w:ascii="Times New Roman" w:hAnsi="Times New Roman" w:cs="Times New Roman"/>
                <w:highlight w:val="none"/>
              </w:rPr>
            </w:pPr>
          </w:p>
        </w:tc>
        <w:tc>
          <w:tcPr>
            <w:tcW w:w="477" w:type="dxa"/>
            <w:vAlign w:val="center"/>
          </w:tcPr>
          <w:p w14:paraId="593AFF8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3AE1B56C">
            <w:pPr>
              <w:pStyle w:val="22"/>
              <w:bidi w:val="0"/>
              <w:jc w:val="center"/>
              <w:rPr>
                <w:rFonts w:hint="default" w:ascii="Times New Roman" w:hAnsi="Times New Roman" w:cs="Times New Roman"/>
                <w:highlight w:val="none"/>
              </w:rPr>
            </w:pPr>
          </w:p>
        </w:tc>
        <w:tc>
          <w:tcPr>
            <w:tcW w:w="477" w:type="dxa"/>
            <w:vAlign w:val="center"/>
          </w:tcPr>
          <w:p w14:paraId="40F12064">
            <w:pPr>
              <w:pStyle w:val="22"/>
              <w:bidi w:val="0"/>
              <w:jc w:val="center"/>
              <w:rPr>
                <w:rFonts w:hint="default" w:ascii="Times New Roman" w:hAnsi="Times New Roman" w:cs="Times New Roman"/>
                <w:highlight w:val="none"/>
              </w:rPr>
            </w:pPr>
          </w:p>
        </w:tc>
        <w:tc>
          <w:tcPr>
            <w:tcW w:w="477" w:type="dxa"/>
            <w:vAlign w:val="center"/>
          </w:tcPr>
          <w:p w14:paraId="2CB6DBE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2AB95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62B2C353">
            <w:pPr>
              <w:pStyle w:val="22"/>
              <w:bidi w:val="0"/>
              <w:jc w:val="center"/>
              <w:rPr>
                <w:rFonts w:hint="default" w:ascii="Times New Roman" w:hAnsi="Times New Roman" w:cs="Times New Roman"/>
                <w:highlight w:val="none"/>
              </w:rPr>
            </w:pPr>
          </w:p>
        </w:tc>
        <w:tc>
          <w:tcPr>
            <w:tcW w:w="1039" w:type="dxa"/>
            <w:vMerge w:val="continue"/>
            <w:vAlign w:val="center"/>
          </w:tcPr>
          <w:p w14:paraId="13576822">
            <w:pPr>
              <w:pStyle w:val="22"/>
              <w:bidi w:val="0"/>
              <w:jc w:val="center"/>
              <w:rPr>
                <w:rFonts w:hint="default" w:ascii="Times New Roman" w:hAnsi="Times New Roman" w:cs="Times New Roman"/>
                <w:highlight w:val="none"/>
              </w:rPr>
            </w:pPr>
          </w:p>
        </w:tc>
        <w:tc>
          <w:tcPr>
            <w:tcW w:w="1071" w:type="dxa"/>
            <w:vAlign w:val="center"/>
          </w:tcPr>
          <w:p w14:paraId="4E96B2A5">
            <w:pPr>
              <w:pStyle w:val="22"/>
              <w:numPr>
                <w:ilvl w:val="0"/>
                <w:numId w:val="0"/>
              </w:numPr>
              <w:bidi w:val="0"/>
              <w:jc w:val="center"/>
              <w:rPr>
                <w:rFonts w:hint="default" w:ascii="Times New Roman" w:hAnsi="Times New Roman" w:cs="Times New Roman"/>
                <w:highlight w:val="none"/>
              </w:rPr>
            </w:pPr>
            <w:r>
              <w:rPr>
                <w:rFonts w:hint="eastAsia" w:cs="Times New Roman"/>
                <w:highlight w:val="none"/>
                <w:lang w:val="en-US" w:eastAsia="zh-CN"/>
              </w:rPr>
              <w:t>7.</w:t>
            </w:r>
            <w:r>
              <w:rPr>
                <w:rFonts w:hint="default" w:ascii="Times New Roman" w:hAnsi="Times New Roman" w:cs="Times New Roman"/>
                <w:highlight w:val="none"/>
              </w:rPr>
              <w:t>球形砂壳虫</w:t>
            </w:r>
          </w:p>
          <w:p w14:paraId="36F91621">
            <w:pPr>
              <w:pStyle w:val="22"/>
              <w:numPr>
                <w:ilvl w:val="0"/>
                <w:numId w:val="0"/>
              </w:numPr>
              <w:bidi w:val="0"/>
              <w:jc w:val="center"/>
              <w:rPr>
                <w:rFonts w:hint="default" w:ascii="Times New Roman" w:hAnsi="Times New Roman" w:cs="Times New Roman"/>
                <w:highlight w:val="none"/>
              </w:rPr>
            </w:pPr>
            <w:r>
              <w:rPr>
                <w:rFonts w:hint="default" w:ascii="Times New Roman" w:hAnsi="Times New Roman" w:cs="Times New Roman"/>
                <w:i/>
                <w:iCs/>
                <w:spacing w:val="-3"/>
                <w:highlight w:val="none"/>
              </w:rPr>
              <w:t>Difflugiaglobulosa</w:t>
            </w:r>
          </w:p>
        </w:tc>
        <w:tc>
          <w:tcPr>
            <w:tcW w:w="476" w:type="dxa"/>
            <w:vAlign w:val="center"/>
          </w:tcPr>
          <w:p w14:paraId="49887F8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0B1F52B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CF1DF6A">
            <w:pPr>
              <w:pStyle w:val="22"/>
              <w:bidi w:val="0"/>
              <w:jc w:val="center"/>
              <w:rPr>
                <w:rFonts w:hint="default" w:ascii="Times New Roman" w:hAnsi="Times New Roman" w:cs="Times New Roman"/>
                <w:highlight w:val="none"/>
              </w:rPr>
            </w:pPr>
          </w:p>
        </w:tc>
        <w:tc>
          <w:tcPr>
            <w:tcW w:w="476" w:type="dxa"/>
            <w:vAlign w:val="center"/>
          </w:tcPr>
          <w:p w14:paraId="19C236E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5160D5E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0ACCD86D">
            <w:pPr>
              <w:pStyle w:val="22"/>
              <w:bidi w:val="0"/>
              <w:jc w:val="center"/>
              <w:rPr>
                <w:rFonts w:hint="default" w:ascii="Times New Roman" w:hAnsi="Times New Roman" w:cs="Times New Roman"/>
                <w:highlight w:val="none"/>
              </w:rPr>
            </w:pPr>
          </w:p>
        </w:tc>
        <w:tc>
          <w:tcPr>
            <w:tcW w:w="476" w:type="dxa"/>
            <w:vAlign w:val="center"/>
          </w:tcPr>
          <w:p w14:paraId="2614EC0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9DC569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39DEE5C">
            <w:pPr>
              <w:pStyle w:val="22"/>
              <w:bidi w:val="0"/>
              <w:jc w:val="center"/>
              <w:rPr>
                <w:rFonts w:hint="default" w:ascii="Times New Roman" w:hAnsi="Times New Roman" w:cs="Times New Roman"/>
                <w:highlight w:val="none"/>
              </w:rPr>
            </w:pPr>
          </w:p>
        </w:tc>
        <w:tc>
          <w:tcPr>
            <w:tcW w:w="477" w:type="dxa"/>
            <w:vAlign w:val="center"/>
          </w:tcPr>
          <w:p w14:paraId="50AC0C6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0B75CB3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64C4487">
            <w:pPr>
              <w:pStyle w:val="22"/>
              <w:bidi w:val="0"/>
              <w:jc w:val="center"/>
              <w:rPr>
                <w:rFonts w:hint="default" w:ascii="Times New Roman" w:hAnsi="Times New Roman" w:cs="Times New Roman"/>
                <w:highlight w:val="none"/>
              </w:rPr>
            </w:pPr>
          </w:p>
        </w:tc>
      </w:tr>
      <w:tr w14:paraId="08303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02A6CF3C">
            <w:pPr>
              <w:pStyle w:val="22"/>
              <w:bidi w:val="0"/>
              <w:jc w:val="center"/>
              <w:rPr>
                <w:rFonts w:hint="default" w:ascii="Times New Roman" w:hAnsi="Times New Roman" w:cs="Times New Roman"/>
                <w:highlight w:val="none"/>
              </w:rPr>
            </w:pPr>
          </w:p>
        </w:tc>
        <w:tc>
          <w:tcPr>
            <w:tcW w:w="1039" w:type="dxa"/>
            <w:vAlign w:val="center"/>
          </w:tcPr>
          <w:p w14:paraId="65372A1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2.裸口目</w:t>
            </w:r>
          </w:p>
          <w:p w14:paraId="787D5316">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Gymnastomatida</w:t>
            </w:r>
          </w:p>
        </w:tc>
        <w:tc>
          <w:tcPr>
            <w:tcW w:w="1071" w:type="dxa"/>
            <w:vAlign w:val="center"/>
          </w:tcPr>
          <w:p w14:paraId="7E3949AB">
            <w:pPr>
              <w:pStyle w:val="22"/>
              <w:bidi w:val="0"/>
              <w:jc w:val="center"/>
              <w:rPr>
                <w:rFonts w:hint="default" w:ascii="Times New Roman" w:hAnsi="Times New Roman" w:cs="Times New Roman"/>
                <w:b w:val="0"/>
                <w:bCs w:val="0"/>
                <w:i/>
                <w:iCs/>
                <w:highlight w:val="none"/>
              </w:rPr>
            </w:pPr>
            <w:r>
              <w:rPr>
                <w:rFonts w:hint="default" w:ascii="Times New Roman" w:hAnsi="Times New Roman" w:cs="Times New Roman"/>
                <w:highlight w:val="none"/>
              </w:rPr>
              <w:t>8.裸口虫</w:t>
            </w:r>
            <w:r>
              <w:rPr>
                <w:rFonts w:hint="default" w:ascii="Times New Roman" w:hAnsi="Times New Roman" w:cs="Times New Roman"/>
                <w:b w:val="0"/>
                <w:bCs w:val="0"/>
                <w:i/>
                <w:iCs/>
                <w:highlight w:val="none"/>
              </w:rPr>
              <w:t>Holophrya</w:t>
            </w:r>
          </w:p>
          <w:p w14:paraId="35EE7AB0">
            <w:pPr>
              <w:pStyle w:val="22"/>
              <w:bidi w:val="0"/>
              <w:jc w:val="center"/>
              <w:rPr>
                <w:rFonts w:hint="default" w:ascii="Times New Roman" w:hAnsi="Times New Roman" w:cs="Times New Roman"/>
                <w:highlight w:val="none"/>
              </w:rPr>
            </w:pPr>
            <w:r>
              <w:rPr>
                <w:rFonts w:hint="default" w:ascii="Times New Roman" w:hAnsi="Times New Roman" w:cs="Times New Roman"/>
                <w:b w:val="0"/>
                <w:bCs w:val="0"/>
                <w:i/>
                <w:iCs/>
                <w:highlight w:val="none"/>
              </w:rPr>
              <w:t>sp.</w:t>
            </w:r>
          </w:p>
        </w:tc>
        <w:tc>
          <w:tcPr>
            <w:tcW w:w="476" w:type="dxa"/>
            <w:vAlign w:val="center"/>
          </w:tcPr>
          <w:p w14:paraId="48299CF7">
            <w:pPr>
              <w:pStyle w:val="22"/>
              <w:bidi w:val="0"/>
              <w:jc w:val="center"/>
              <w:rPr>
                <w:rFonts w:hint="default" w:ascii="Times New Roman" w:hAnsi="Times New Roman" w:cs="Times New Roman"/>
                <w:highlight w:val="none"/>
              </w:rPr>
            </w:pPr>
          </w:p>
        </w:tc>
        <w:tc>
          <w:tcPr>
            <w:tcW w:w="476" w:type="dxa"/>
            <w:vAlign w:val="center"/>
          </w:tcPr>
          <w:p w14:paraId="4453F82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2FB9E9E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211905B2">
            <w:pPr>
              <w:pStyle w:val="22"/>
              <w:bidi w:val="0"/>
              <w:jc w:val="center"/>
              <w:rPr>
                <w:rFonts w:hint="default" w:ascii="Times New Roman" w:hAnsi="Times New Roman" w:cs="Times New Roman"/>
                <w:highlight w:val="none"/>
              </w:rPr>
            </w:pPr>
          </w:p>
        </w:tc>
        <w:tc>
          <w:tcPr>
            <w:tcW w:w="476" w:type="dxa"/>
            <w:vAlign w:val="center"/>
          </w:tcPr>
          <w:p w14:paraId="6870563C">
            <w:pPr>
              <w:pStyle w:val="22"/>
              <w:bidi w:val="0"/>
              <w:jc w:val="center"/>
              <w:rPr>
                <w:rFonts w:hint="default" w:ascii="Times New Roman" w:hAnsi="Times New Roman" w:cs="Times New Roman"/>
                <w:highlight w:val="none"/>
              </w:rPr>
            </w:pPr>
          </w:p>
        </w:tc>
        <w:tc>
          <w:tcPr>
            <w:tcW w:w="476" w:type="dxa"/>
            <w:vAlign w:val="center"/>
          </w:tcPr>
          <w:p w14:paraId="12F8D6E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167E3E69">
            <w:pPr>
              <w:pStyle w:val="22"/>
              <w:bidi w:val="0"/>
              <w:jc w:val="center"/>
              <w:rPr>
                <w:rFonts w:hint="default" w:ascii="Times New Roman" w:hAnsi="Times New Roman" w:cs="Times New Roman"/>
                <w:highlight w:val="none"/>
              </w:rPr>
            </w:pPr>
          </w:p>
        </w:tc>
        <w:tc>
          <w:tcPr>
            <w:tcW w:w="477" w:type="dxa"/>
            <w:vAlign w:val="center"/>
          </w:tcPr>
          <w:p w14:paraId="4D5AE07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C46E33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286827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1DB57891">
            <w:pPr>
              <w:pStyle w:val="22"/>
              <w:bidi w:val="0"/>
              <w:jc w:val="center"/>
              <w:rPr>
                <w:rFonts w:hint="default" w:ascii="Times New Roman" w:hAnsi="Times New Roman" w:cs="Times New Roman"/>
                <w:highlight w:val="none"/>
              </w:rPr>
            </w:pPr>
          </w:p>
        </w:tc>
        <w:tc>
          <w:tcPr>
            <w:tcW w:w="477" w:type="dxa"/>
            <w:vAlign w:val="center"/>
          </w:tcPr>
          <w:p w14:paraId="59C979B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8091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19B8C7D4">
            <w:pPr>
              <w:pStyle w:val="22"/>
              <w:bidi w:val="0"/>
              <w:jc w:val="center"/>
              <w:rPr>
                <w:rFonts w:hint="default" w:ascii="Times New Roman" w:hAnsi="Times New Roman" w:cs="Times New Roman"/>
                <w:highlight w:val="none"/>
              </w:rPr>
            </w:pPr>
          </w:p>
        </w:tc>
        <w:tc>
          <w:tcPr>
            <w:tcW w:w="1039" w:type="dxa"/>
            <w:vAlign w:val="center"/>
          </w:tcPr>
          <w:p w14:paraId="0AD3E40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3.膜口目</w:t>
            </w:r>
          </w:p>
          <w:p w14:paraId="7E00B9E4">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Hymenostomatida</w:t>
            </w:r>
          </w:p>
        </w:tc>
        <w:tc>
          <w:tcPr>
            <w:tcW w:w="1071" w:type="dxa"/>
            <w:vAlign w:val="center"/>
          </w:tcPr>
          <w:p w14:paraId="738EC76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9.纤毛虫</w:t>
            </w:r>
          </w:p>
          <w:p w14:paraId="38057865">
            <w:pPr>
              <w:pStyle w:val="22"/>
              <w:bidi w:val="0"/>
              <w:jc w:val="center"/>
              <w:rPr>
                <w:rFonts w:hint="default" w:ascii="Times New Roman" w:hAnsi="Times New Roman" w:cs="Times New Roman"/>
                <w:i/>
                <w:iCs/>
                <w:highlight w:val="none"/>
              </w:rPr>
            </w:pPr>
            <w:r>
              <w:rPr>
                <w:rFonts w:hint="default" w:ascii="Times New Roman" w:hAnsi="Times New Roman" w:cs="Times New Roman"/>
                <w:i/>
                <w:iCs/>
                <w:highlight w:val="none"/>
              </w:rPr>
              <w:t>Plagiocampalongis</w:t>
            </w:r>
          </w:p>
          <w:p w14:paraId="2802B4E3">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sp.</w:t>
            </w:r>
          </w:p>
        </w:tc>
        <w:tc>
          <w:tcPr>
            <w:tcW w:w="476" w:type="dxa"/>
            <w:vAlign w:val="center"/>
          </w:tcPr>
          <w:p w14:paraId="665B3F7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6B8AC89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0A27D69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3F6DDDF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35D710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690F664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2067F0E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E3EC32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3653C73C">
            <w:pPr>
              <w:pStyle w:val="22"/>
              <w:bidi w:val="0"/>
              <w:jc w:val="center"/>
              <w:rPr>
                <w:rFonts w:hint="default" w:ascii="Times New Roman" w:hAnsi="Times New Roman" w:cs="Times New Roman"/>
                <w:highlight w:val="none"/>
              </w:rPr>
            </w:pPr>
          </w:p>
        </w:tc>
        <w:tc>
          <w:tcPr>
            <w:tcW w:w="477" w:type="dxa"/>
            <w:vAlign w:val="center"/>
          </w:tcPr>
          <w:p w14:paraId="4A6071D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2F0E4BA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AFFFFFC">
            <w:pPr>
              <w:pStyle w:val="22"/>
              <w:bidi w:val="0"/>
              <w:jc w:val="center"/>
              <w:rPr>
                <w:rFonts w:hint="default" w:ascii="Times New Roman" w:hAnsi="Times New Roman" w:cs="Times New Roman"/>
                <w:highlight w:val="none"/>
              </w:rPr>
            </w:pPr>
          </w:p>
        </w:tc>
      </w:tr>
      <w:tr w14:paraId="1C966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restart"/>
            <w:vAlign w:val="center"/>
          </w:tcPr>
          <w:p w14:paraId="784B234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轮虫动物</w:t>
            </w:r>
          </w:p>
          <w:p w14:paraId="509D7A4D">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Rotifera</w:t>
            </w:r>
          </w:p>
        </w:tc>
        <w:tc>
          <w:tcPr>
            <w:tcW w:w="1039" w:type="dxa"/>
            <w:vMerge w:val="restart"/>
            <w:vAlign w:val="center"/>
          </w:tcPr>
          <w:p w14:paraId="18F91BC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4.游泳目</w:t>
            </w:r>
            <w:r>
              <w:rPr>
                <w:rFonts w:hint="default" w:ascii="Times New Roman" w:hAnsi="Times New Roman" w:cs="Times New Roman"/>
                <w:i/>
                <w:iCs w:val="0"/>
                <w:highlight w:val="none"/>
              </w:rPr>
              <w:t>Ploima</w:t>
            </w:r>
          </w:p>
        </w:tc>
        <w:tc>
          <w:tcPr>
            <w:tcW w:w="1071" w:type="dxa"/>
            <w:vAlign w:val="center"/>
          </w:tcPr>
          <w:p w14:paraId="3CBBF27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10.萼花臂尾轮虫</w:t>
            </w:r>
          </w:p>
          <w:p w14:paraId="049C4041">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Brachionus calyciflorus</w:t>
            </w:r>
          </w:p>
        </w:tc>
        <w:tc>
          <w:tcPr>
            <w:tcW w:w="476" w:type="dxa"/>
            <w:vAlign w:val="center"/>
          </w:tcPr>
          <w:p w14:paraId="06567F9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7F63FC24">
            <w:pPr>
              <w:pStyle w:val="22"/>
              <w:bidi w:val="0"/>
              <w:jc w:val="center"/>
              <w:rPr>
                <w:rFonts w:hint="default" w:ascii="Times New Roman" w:hAnsi="Times New Roman" w:cs="Times New Roman"/>
                <w:highlight w:val="none"/>
              </w:rPr>
            </w:pPr>
          </w:p>
        </w:tc>
        <w:tc>
          <w:tcPr>
            <w:tcW w:w="476" w:type="dxa"/>
            <w:vAlign w:val="center"/>
          </w:tcPr>
          <w:p w14:paraId="51509D1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463CEE98">
            <w:pPr>
              <w:pStyle w:val="22"/>
              <w:bidi w:val="0"/>
              <w:jc w:val="center"/>
              <w:rPr>
                <w:rFonts w:hint="default" w:ascii="Times New Roman" w:hAnsi="Times New Roman" w:cs="Times New Roman"/>
                <w:highlight w:val="none"/>
              </w:rPr>
            </w:pPr>
          </w:p>
        </w:tc>
        <w:tc>
          <w:tcPr>
            <w:tcW w:w="476" w:type="dxa"/>
            <w:vAlign w:val="center"/>
          </w:tcPr>
          <w:p w14:paraId="30B75738">
            <w:pPr>
              <w:pStyle w:val="22"/>
              <w:bidi w:val="0"/>
              <w:jc w:val="center"/>
              <w:rPr>
                <w:rFonts w:hint="default" w:ascii="Times New Roman" w:hAnsi="Times New Roman" w:cs="Times New Roman"/>
                <w:highlight w:val="none"/>
              </w:rPr>
            </w:pPr>
          </w:p>
        </w:tc>
        <w:tc>
          <w:tcPr>
            <w:tcW w:w="476" w:type="dxa"/>
            <w:vAlign w:val="center"/>
          </w:tcPr>
          <w:p w14:paraId="6675E2C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2A9AD12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617112DE">
            <w:pPr>
              <w:pStyle w:val="22"/>
              <w:bidi w:val="0"/>
              <w:jc w:val="center"/>
              <w:rPr>
                <w:rFonts w:hint="default" w:ascii="Times New Roman" w:hAnsi="Times New Roman" w:cs="Times New Roman"/>
                <w:highlight w:val="none"/>
              </w:rPr>
            </w:pPr>
          </w:p>
        </w:tc>
        <w:tc>
          <w:tcPr>
            <w:tcW w:w="477" w:type="dxa"/>
            <w:vAlign w:val="center"/>
          </w:tcPr>
          <w:p w14:paraId="17D1BE9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251D2D86">
            <w:pPr>
              <w:pStyle w:val="22"/>
              <w:bidi w:val="0"/>
              <w:jc w:val="center"/>
              <w:rPr>
                <w:rFonts w:hint="default" w:ascii="Times New Roman" w:hAnsi="Times New Roman" w:cs="Times New Roman"/>
                <w:highlight w:val="none"/>
              </w:rPr>
            </w:pPr>
          </w:p>
        </w:tc>
        <w:tc>
          <w:tcPr>
            <w:tcW w:w="477" w:type="dxa"/>
            <w:vAlign w:val="center"/>
          </w:tcPr>
          <w:p w14:paraId="313BC4E7">
            <w:pPr>
              <w:pStyle w:val="22"/>
              <w:bidi w:val="0"/>
              <w:jc w:val="center"/>
              <w:rPr>
                <w:rFonts w:hint="default" w:ascii="Times New Roman" w:hAnsi="Times New Roman" w:cs="Times New Roman"/>
                <w:highlight w:val="none"/>
              </w:rPr>
            </w:pPr>
          </w:p>
        </w:tc>
        <w:tc>
          <w:tcPr>
            <w:tcW w:w="477" w:type="dxa"/>
            <w:vAlign w:val="center"/>
          </w:tcPr>
          <w:p w14:paraId="6FFAFE4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5F248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Merge w:val="continue"/>
            <w:vAlign w:val="center"/>
          </w:tcPr>
          <w:p w14:paraId="53EB96E1">
            <w:pPr>
              <w:pStyle w:val="22"/>
              <w:bidi w:val="0"/>
              <w:jc w:val="center"/>
              <w:rPr>
                <w:rFonts w:hint="default" w:ascii="Times New Roman" w:hAnsi="Times New Roman" w:cs="Times New Roman"/>
                <w:highlight w:val="none"/>
              </w:rPr>
            </w:pPr>
          </w:p>
        </w:tc>
        <w:tc>
          <w:tcPr>
            <w:tcW w:w="1039" w:type="dxa"/>
            <w:vMerge w:val="continue"/>
            <w:vAlign w:val="center"/>
          </w:tcPr>
          <w:p w14:paraId="31DBD7A6">
            <w:pPr>
              <w:pStyle w:val="22"/>
              <w:bidi w:val="0"/>
              <w:jc w:val="center"/>
              <w:rPr>
                <w:rFonts w:hint="default" w:ascii="Times New Roman" w:hAnsi="Times New Roman" w:cs="Times New Roman"/>
                <w:highlight w:val="none"/>
              </w:rPr>
            </w:pPr>
          </w:p>
        </w:tc>
        <w:tc>
          <w:tcPr>
            <w:tcW w:w="1071" w:type="dxa"/>
            <w:vAlign w:val="center"/>
          </w:tcPr>
          <w:p w14:paraId="35BEE1A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11.矩形龟甲轮虫</w:t>
            </w:r>
          </w:p>
          <w:p w14:paraId="45E7DDB9">
            <w:pPr>
              <w:pStyle w:val="22"/>
              <w:bidi w:val="0"/>
              <w:jc w:val="center"/>
              <w:rPr>
                <w:rFonts w:hint="default" w:ascii="Times New Roman" w:hAnsi="Times New Roman" w:cs="Times New Roman"/>
                <w:i/>
                <w:iCs/>
                <w:highlight w:val="none"/>
              </w:rPr>
            </w:pPr>
            <w:r>
              <w:rPr>
                <w:rFonts w:hint="default" w:ascii="Times New Roman" w:hAnsi="Times New Roman" w:cs="Times New Roman"/>
                <w:i/>
                <w:iCs/>
                <w:highlight w:val="none"/>
              </w:rPr>
              <w:t>Keratella</w:t>
            </w:r>
          </w:p>
          <w:p w14:paraId="5EE0A2B6">
            <w:pPr>
              <w:pStyle w:val="22"/>
              <w:bidi w:val="0"/>
              <w:jc w:val="center"/>
              <w:rPr>
                <w:rFonts w:hint="default" w:ascii="Times New Roman" w:hAnsi="Times New Roman" w:cs="Times New Roman"/>
                <w:highlight w:val="none"/>
              </w:rPr>
            </w:pPr>
            <w:r>
              <w:rPr>
                <w:rFonts w:hint="default" w:ascii="Times New Roman" w:hAnsi="Times New Roman" w:cs="Times New Roman"/>
                <w:i/>
                <w:iCs/>
                <w:highlight w:val="none"/>
              </w:rPr>
              <w:t>quadrata</w:t>
            </w:r>
          </w:p>
        </w:tc>
        <w:tc>
          <w:tcPr>
            <w:tcW w:w="476" w:type="dxa"/>
            <w:vAlign w:val="center"/>
          </w:tcPr>
          <w:p w14:paraId="7D499342">
            <w:pPr>
              <w:pStyle w:val="22"/>
              <w:bidi w:val="0"/>
              <w:jc w:val="center"/>
              <w:rPr>
                <w:rFonts w:hint="default" w:ascii="Times New Roman" w:hAnsi="Times New Roman" w:cs="Times New Roman"/>
                <w:highlight w:val="none"/>
              </w:rPr>
            </w:pPr>
          </w:p>
        </w:tc>
        <w:tc>
          <w:tcPr>
            <w:tcW w:w="476" w:type="dxa"/>
            <w:vAlign w:val="center"/>
          </w:tcPr>
          <w:p w14:paraId="316F217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001F7F2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6" w:type="dxa"/>
            <w:vAlign w:val="center"/>
          </w:tcPr>
          <w:p w14:paraId="6DBB46E3">
            <w:pPr>
              <w:pStyle w:val="22"/>
              <w:bidi w:val="0"/>
              <w:jc w:val="center"/>
              <w:rPr>
                <w:rFonts w:hint="default" w:ascii="Times New Roman" w:hAnsi="Times New Roman" w:cs="Times New Roman"/>
                <w:highlight w:val="none"/>
              </w:rPr>
            </w:pPr>
          </w:p>
        </w:tc>
        <w:tc>
          <w:tcPr>
            <w:tcW w:w="476" w:type="dxa"/>
            <w:vAlign w:val="center"/>
          </w:tcPr>
          <w:p w14:paraId="3275B875">
            <w:pPr>
              <w:pStyle w:val="22"/>
              <w:bidi w:val="0"/>
              <w:jc w:val="center"/>
              <w:rPr>
                <w:rFonts w:hint="default" w:ascii="Times New Roman" w:hAnsi="Times New Roman" w:cs="Times New Roman"/>
                <w:highlight w:val="none"/>
              </w:rPr>
            </w:pPr>
          </w:p>
        </w:tc>
        <w:tc>
          <w:tcPr>
            <w:tcW w:w="476" w:type="dxa"/>
            <w:vAlign w:val="center"/>
          </w:tcPr>
          <w:p w14:paraId="0D7BCAC1">
            <w:pPr>
              <w:pStyle w:val="22"/>
              <w:bidi w:val="0"/>
              <w:jc w:val="center"/>
              <w:rPr>
                <w:rFonts w:hint="default" w:ascii="Times New Roman" w:hAnsi="Times New Roman" w:cs="Times New Roman"/>
                <w:highlight w:val="none"/>
              </w:rPr>
            </w:pPr>
          </w:p>
        </w:tc>
        <w:tc>
          <w:tcPr>
            <w:tcW w:w="476" w:type="dxa"/>
            <w:vAlign w:val="center"/>
          </w:tcPr>
          <w:p w14:paraId="01DDFE6A">
            <w:pPr>
              <w:pStyle w:val="22"/>
              <w:bidi w:val="0"/>
              <w:jc w:val="center"/>
              <w:rPr>
                <w:rFonts w:hint="default" w:ascii="Times New Roman" w:hAnsi="Times New Roman" w:cs="Times New Roman"/>
                <w:highlight w:val="none"/>
              </w:rPr>
            </w:pPr>
          </w:p>
        </w:tc>
        <w:tc>
          <w:tcPr>
            <w:tcW w:w="477" w:type="dxa"/>
            <w:vAlign w:val="center"/>
          </w:tcPr>
          <w:p w14:paraId="0753D5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55740E7A">
            <w:pPr>
              <w:pStyle w:val="22"/>
              <w:bidi w:val="0"/>
              <w:jc w:val="center"/>
              <w:rPr>
                <w:rFonts w:hint="default" w:ascii="Times New Roman" w:hAnsi="Times New Roman" w:cs="Times New Roman"/>
                <w:highlight w:val="none"/>
              </w:rPr>
            </w:pPr>
          </w:p>
        </w:tc>
        <w:tc>
          <w:tcPr>
            <w:tcW w:w="477" w:type="dxa"/>
            <w:vAlign w:val="center"/>
          </w:tcPr>
          <w:p w14:paraId="578F40C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582C36F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77" w:type="dxa"/>
            <w:vAlign w:val="center"/>
          </w:tcPr>
          <w:p w14:paraId="0EF58E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4A9C1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50" w:type="dxa"/>
            <w:vAlign w:val="center"/>
          </w:tcPr>
          <w:p w14:paraId="24621D8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物种总数</w:t>
            </w:r>
          </w:p>
        </w:tc>
        <w:tc>
          <w:tcPr>
            <w:tcW w:w="1039" w:type="dxa"/>
            <w:vAlign w:val="center"/>
          </w:tcPr>
          <w:p w14:paraId="01273AA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1071" w:type="dxa"/>
            <w:vAlign w:val="center"/>
          </w:tcPr>
          <w:p w14:paraId="68051CF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11</w:t>
            </w:r>
          </w:p>
        </w:tc>
        <w:tc>
          <w:tcPr>
            <w:tcW w:w="476" w:type="dxa"/>
            <w:vAlign w:val="center"/>
          </w:tcPr>
          <w:p w14:paraId="2D4726A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476" w:type="dxa"/>
            <w:vAlign w:val="center"/>
          </w:tcPr>
          <w:p w14:paraId="5A7A74C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476" w:type="dxa"/>
            <w:vAlign w:val="center"/>
          </w:tcPr>
          <w:p w14:paraId="3827889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476" w:type="dxa"/>
            <w:vAlign w:val="center"/>
          </w:tcPr>
          <w:p w14:paraId="63442D4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476" w:type="dxa"/>
            <w:vAlign w:val="center"/>
          </w:tcPr>
          <w:p w14:paraId="78E2085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476" w:type="dxa"/>
            <w:vAlign w:val="center"/>
          </w:tcPr>
          <w:p w14:paraId="6E6B07A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476" w:type="dxa"/>
            <w:vAlign w:val="center"/>
          </w:tcPr>
          <w:p w14:paraId="638F22B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477" w:type="dxa"/>
            <w:vAlign w:val="center"/>
          </w:tcPr>
          <w:p w14:paraId="03E2844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477" w:type="dxa"/>
            <w:vAlign w:val="center"/>
          </w:tcPr>
          <w:p w14:paraId="2DEC181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477" w:type="dxa"/>
            <w:vAlign w:val="center"/>
          </w:tcPr>
          <w:p w14:paraId="6B20DF3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477" w:type="dxa"/>
            <w:vAlign w:val="center"/>
          </w:tcPr>
          <w:p w14:paraId="60E5D34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477" w:type="dxa"/>
            <w:vAlign w:val="center"/>
          </w:tcPr>
          <w:p w14:paraId="53658F8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r>
    </w:tbl>
    <w:p w14:paraId="1A6593BE">
      <w:pPr>
        <w:spacing w:line="360" w:lineRule="auto"/>
        <w:ind w:left="0" w:leftChars="0" w:firstLine="0" w:firstLineChars="0"/>
        <w:rPr>
          <w:rFonts w:hint="default" w:ascii="Times New Roman" w:hAnsi="Times New Roman" w:cs="Times New Roman"/>
          <w:color w:val="auto"/>
          <w:sz w:val="24"/>
          <w:highlight w:val="none"/>
          <w:lang w:val="en-US" w:eastAsia="zh-CN"/>
        </w:rPr>
      </w:pPr>
    </w:p>
    <w:p w14:paraId="0EBB67FC">
      <w:pPr>
        <w:bidi w:val="0"/>
        <w:rPr>
          <w:rFonts w:hint="default"/>
          <w:highlight w:val="none"/>
          <w:lang w:val="en-US" w:eastAsia="zh-CN"/>
        </w:rPr>
      </w:pPr>
      <w:r>
        <w:rPr>
          <w:rFonts w:hint="default"/>
          <w:highlight w:val="none"/>
          <w:lang w:val="en-US" w:eastAsia="zh-CN"/>
        </w:rPr>
        <w:t>（2）密度及生物量</w:t>
      </w:r>
    </w:p>
    <w:p w14:paraId="11D79218">
      <w:pPr>
        <w:spacing w:line="360" w:lineRule="auto"/>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对项目各采样点采集的浮游动物样</w:t>
      </w:r>
      <w:r>
        <w:rPr>
          <w:rFonts w:hint="eastAsia" w:cs="Times New Roman"/>
          <w:color w:val="auto"/>
          <w:sz w:val="24"/>
          <w:highlight w:val="none"/>
          <w:lang w:val="en-US" w:eastAsia="zh-CN"/>
        </w:rPr>
        <w:t>本</w:t>
      </w:r>
      <w:r>
        <w:rPr>
          <w:rFonts w:hint="default" w:ascii="Times New Roman" w:hAnsi="Times New Roman" w:cs="Times New Roman"/>
          <w:color w:val="auto"/>
          <w:sz w:val="24"/>
          <w:highlight w:val="none"/>
          <w:lang w:val="en-US" w:eastAsia="zh-CN"/>
        </w:rPr>
        <w:t>进行定量统计分析，2023年12月调查结果表明，工程影响水域浮游动物的平均密度和生物量分别为22.5ind./L和0.004mg/L。采样点1-6浮游动物密度分别为21ind./L、19ind./L、26ind./L、24ind./L、23ind./L和22ind./L，生物量（湿重）分别为0.0046mg/L、0.0026mg/L、0.0035mg/L、0.0051mg/L、0.0047mg/L和0.0035mg/L。2024年3月结果表明，工程影响河段浮游动物的平均密度为26.00ind./L。采样点1-6浮游动物密度分别为23ind./L、21ind./L、27ind./L、25ind./L、29ind./L和31ind./L。生物量（湿重）分别为0.0042mg/L、0.0038mg/L和0.0040mg/L。整体上看，工程影响河段浮游动物密度和生物量相差不大。</w:t>
      </w:r>
    </w:p>
    <w:p w14:paraId="5D6000DC">
      <w:pPr>
        <w:bidi w:val="0"/>
        <w:rPr>
          <w:rFonts w:hint="default" w:ascii="Times New Roman" w:hAnsi="Times New Roman" w:cs="Times New Roman"/>
          <w:b/>
          <w:bCs/>
          <w:highlight w:val="none"/>
          <w:lang w:val="en-US"/>
        </w:rPr>
      </w:pPr>
      <w:r>
        <w:rPr>
          <w:rFonts w:hint="default" w:ascii="Times New Roman" w:hAnsi="Times New Roman" w:cs="Times New Roman"/>
          <w:b/>
          <w:bCs/>
          <w:highlight w:val="none"/>
          <w:lang w:val="en-US" w:eastAsia="zh-CN"/>
        </w:rPr>
        <w:t>3、底栖动物</w:t>
      </w:r>
    </w:p>
    <w:p w14:paraId="02237170">
      <w:pPr>
        <w:bidi w:val="0"/>
        <w:rPr>
          <w:rFonts w:hint="default"/>
          <w:highlight w:val="none"/>
          <w:lang w:val="en-US" w:eastAsia="zh-CN"/>
        </w:rPr>
      </w:pPr>
      <w:r>
        <w:rPr>
          <w:rFonts w:hint="default"/>
          <w:highlight w:val="none"/>
          <w:lang w:val="en-US" w:eastAsia="zh-CN"/>
        </w:rPr>
        <w:t>（1）种类组成</w:t>
      </w:r>
    </w:p>
    <w:p w14:paraId="2B024E72">
      <w:pPr>
        <w:shd w:val="clea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底栖无脊椎动物是分布于水体底部的许多无脊椎动物种类的总称，是水生生态系统的主要组成部分，其类群组成及种类数量与所处</w:t>
      </w:r>
      <w:r>
        <w:rPr>
          <w:rFonts w:hint="eastAsia" w:cs="Times New Roman"/>
          <w:highlight w:val="none"/>
          <w:lang w:val="en-US" w:eastAsia="zh-CN"/>
        </w:rPr>
        <w:t>水</w:t>
      </w:r>
      <w:r>
        <w:rPr>
          <w:rFonts w:hint="default" w:ascii="Times New Roman" w:hAnsi="Times New Roman" w:cs="Times New Roman"/>
          <w:highlight w:val="none"/>
          <w:lang w:val="en-US" w:eastAsia="zh-CN"/>
        </w:rPr>
        <w:t>域环境质量密切相关，特别是该类群中的多数种类，具有被动摄食方式，生命周期较长，且缺乏有效的逃避敌害的运动能力等特点，在水体环境发生变化时，更能够较客观地反映出水体的质量。因此，底栖无脊椎动物较其它水生生物类群对</w:t>
      </w:r>
      <w:r>
        <w:rPr>
          <w:rFonts w:hint="eastAsia" w:cs="Times New Roman"/>
          <w:highlight w:val="none"/>
          <w:lang w:val="en-US" w:eastAsia="zh-CN"/>
        </w:rPr>
        <w:t>水</w:t>
      </w:r>
      <w:r>
        <w:rPr>
          <w:rFonts w:hint="default" w:ascii="Times New Roman" w:hAnsi="Times New Roman" w:cs="Times New Roman"/>
          <w:highlight w:val="none"/>
          <w:lang w:val="en-US" w:eastAsia="zh-CN"/>
        </w:rPr>
        <w:t>域环境更具有指示性。2023年12月调查结果显示，工程影响流域内底栖无脊椎动物的区系由2纲、3目、4科、6种，主要包括襀翅目的石蝇和短尾石蝇；蜉蝣目的扁蜉、四节蜉和蜉蝣；端足目的钩虾（见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_Ref6067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表38</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）。其中，昆虫纲共有5种，占总数的83.3%。软甲纲共1种，占总数的16.7%。采样点1-6分别有5、4、4、5、4和4种。2024年3月调查也采集到了2纲、3目、4科6种（附表3），与2023年12</w:t>
      </w:r>
      <w:r>
        <w:rPr>
          <w:rFonts w:hint="eastAsia" w:cs="Times New Roman"/>
          <w:highlight w:val="none"/>
          <w:lang w:val="en-US" w:eastAsia="zh-CN"/>
        </w:rPr>
        <w:t>月</w:t>
      </w:r>
      <w:r>
        <w:rPr>
          <w:rFonts w:hint="default" w:ascii="Times New Roman" w:hAnsi="Times New Roman" w:cs="Times New Roman"/>
          <w:highlight w:val="none"/>
          <w:lang w:val="en-US" w:eastAsia="zh-CN"/>
        </w:rPr>
        <w:t>调查到的种类一致。但点位种类存在一定的差异，采样点1-6分别有5、4、5、4、5和5种。</w:t>
      </w:r>
    </w:p>
    <w:p w14:paraId="322A6A5C">
      <w:pPr>
        <w:shd w:val="clea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总体来看，底栖无脊椎动物种类较多，这些类群主要以喜氧的种类为主，分布在急流险滩和乱石下。</w:t>
      </w:r>
    </w:p>
    <w:p w14:paraId="3CCEBE27">
      <w:pPr>
        <w:pStyle w:val="11"/>
        <w:shd w:val="clear"/>
        <w:ind w:left="0" w:leftChars="0" w:firstLine="0" w:firstLineChars="0"/>
        <w:rPr>
          <w:rFonts w:hint="default" w:ascii="Times New Roman" w:hAnsi="Times New Roman" w:eastAsia="黑体" w:cs="Times New Roman"/>
          <w:highlight w:val="none"/>
          <w:lang w:val="en-US" w:eastAsia="zh-CN"/>
        </w:rPr>
      </w:pPr>
      <w:bookmarkStart w:id="50" w:name="_Ref6067"/>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52</w:t>
      </w:r>
      <w:r>
        <w:rPr>
          <w:rFonts w:hint="default" w:ascii="Times New Roman" w:hAnsi="Times New Roman" w:cs="Times New Roman"/>
          <w:highlight w:val="none"/>
        </w:rPr>
        <w:fldChar w:fldCharType="end"/>
      </w:r>
      <w:bookmarkEnd w:id="50"/>
      <w:r>
        <w:rPr>
          <w:rFonts w:hint="default" w:ascii="Times New Roman" w:hAnsi="Times New Roman" w:cs="Times New Roman"/>
          <w:highlight w:val="none"/>
          <w:lang w:val="en-US" w:eastAsia="zh-CN"/>
        </w:rPr>
        <w:t xml:space="preserve"> 工程影响水域底栖动物名录</w:t>
      </w:r>
    </w:p>
    <w:tbl>
      <w:tblPr>
        <w:tblStyle w:val="24"/>
        <w:tblW w:w="8462" w:type="dxa"/>
        <w:tblInd w:w="-11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91"/>
        <w:gridCol w:w="600"/>
        <w:gridCol w:w="600"/>
        <w:gridCol w:w="724"/>
        <w:gridCol w:w="724"/>
        <w:gridCol w:w="769"/>
        <w:gridCol w:w="346"/>
        <w:gridCol w:w="346"/>
        <w:gridCol w:w="346"/>
        <w:gridCol w:w="346"/>
        <w:gridCol w:w="346"/>
        <w:gridCol w:w="349"/>
        <w:gridCol w:w="346"/>
        <w:gridCol w:w="346"/>
        <w:gridCol w:w="346"/>
        <w:gridCol w:w="346"/>
        <w:gridCol w:w="346"/>
        <w:gridCol w:w="345"/>
      </w:tblGrid>
      <w:tr w14:paraId="45BAFEC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56" w:hRule="atLeast"/>
        </w:trPr>
        <w:tc>
          <w:tcPr>
            <w:tcW w:w="891" w:type="dxa"/>
            <w:vMerge w:val="restart"/>
            <w:tcBorders>
              <w:top w:val="single" w:color="auto" w:sz="4" w:space="0"/>
              <w:left w:val="single" w:color="auto" w:sz="4" w:space="0"/>
              <w:bottom w:val="single" w:color="auto" w:sz="4" w:space="0"/>
              <w:right w:val="single" w:color="auto" w:sz="4" w:space="0"/>
            </w:tcBorders>
            <w:vAlign w:val="center"/>
          </w:tcPr>
          <w:p w14:paraId="76CE7B47">
            <w:pPr>
              <w:pStyle w:val="22"/>
              <w:bidi w:val="0"/>
              <w:jc w:val="center"/>
              <w:rPr>
                <w:rFonts w:hint="eastAsia" w:ascii="Times New Roman" w:hAnsi="Times New Roman" w:cs="Times New Roman" w:eastAsiaTheme="minorEastAsia"/>
                <w:highlight w:val="none"/>
                <w:lang w:eastAsia="zh-CN"/>
              </w:rPr>
            </w:pPr>
            <w:r>
              <w:rPr>
                <w:rFonts w:hint="eastAsia" w:cs="Times New Roman"/>
                <w:highlight w:val="none"/>
                <w:lang w:eastAsia="zh-CN"/>
              </w:rPr>
              <w:t>门</w:t>
            </w:r>
          </w:p>
        </w:tc>
        <w:tc>
          <w:tcPr>
            <w:tcW w:w="600" w:type="dxa"/>
            <w:vMerge w:val="restart"/>
            <w:tcBorders>
              <w:top w:val="single" w:color="auto" w:sz="4" w:space="0"/>
              <w:left w:val="single" w:color="auto" w:sz="4" w:space="0"/>
              <w:bottom w:val="single" w:color="auto" w:sz="4" w:space="0"/>
              <w:right w:val="single" w:color="auto" w:sz="4" w:space="0"/>
            </w:tcBorders>
            <w:vAlign w:val="center"/>
          </w:tcPr>
          <w:p w14:paraId="29355E5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纲</w:t>
            </w:r>
          </w:p>
        </w:tc>
        <w:tc>
          <w:tcPr>
            <w:tcW w:w="600" w:type="dxa"/>
            <w:vMerge w:val="restart"/>
            <w:tcBorders>
              <w:top w:val="single" w:color="auto" w:sz="4" w:space="0"/>
              <w:left w:val="single" w:color="auto" w:sz="4" w:space="0"/>
              <w:bottom w:val="single" w:color="auto" w:sz="4" w:space="0"/>
              <w:right w:val="single" w:color="auto" w:sz="4" w:space="0"/>
            </w:tcBorders>
            <w:vAlign w:val="center"/>
          </w:tcPr>
          <w:p w14:paraId="5F29DE12">
            <w:pPr>
              <w:pStyle w:val="22"/>
              <w:bidi w:val="0"/>
              <w:jc w:val="center"/>
              <w:rPr>
                <w:rFonts w:hint="eastAsia" w:ascii="Times New Roman" w:hAnsi="Times New Roman" w:cs="Times New Roman" w:eastAsiaTheme="minorEastAsia"/>
                <w:highlight w:val="none"/>
                <w:lang w:eastAsia="zh-CN"/>
              </w:rPr>
            </w:pPr>
            <w:r>
              <w:rPr>
                <w:rFonts w:hint="eastAsia" w:cs="Times New Roman"/>
                <w:highlight w:val="none"/>
                <w:lang w:eastAsia="zh-CN"/>
              </w:rPr>
              <w:t>目</w:t>
            </w:r>
          </w:p>
        </w:tc>
        <w:tc>
          <w:tcPr>
            <w:tcW w:w="724" w:type="dxa"/>
            <w:vMerge w:val="restart"/>
            <w:tcBorders>
              <w:top w:val="single" w:color="auto" w:sz="4" w:space="0"/>
              <w:left w:val="single" w:color="auto" w:sz="4" w:space="0"/>
              <w:bottom w:val="single" w:color="auto" w:sz="4" w:space="0"/>
              <w:right w:val="single" w:color="auto" w:sz="4" w:space="0"/>
            </w:tcBorders>
            <w:vAlign w:val="center"/>
          </w:tcPr>
          <w:p w14:paraId="6B04D57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科</w:t>
            </w:r>
          </w:p>
        </w:tc>
        <w:tc>
          <w:tcPr>
            <w:tcW w:w="724" w:type="dxa"/>
            <w:vMerge w:val="restart"/>
            <w:tcBorders>
              <w:top w:val="single" w:color="auto" w:sz="4" w:space="0"/>
              <w:left w:val="single" w:color="auto" w:sz="4" w:space="0"/>
              <w:bottom w:val="single" w:color="auto" w:sz="4" w:space="0"/>
              <w:right w:val="single" w:color="auto" w:sz="4" w:space="0"/>
            </w:tcBorders>
            <w:vAlign w:val="center"/>
          </w:tcPr>
          <w:p w14:paraId="5BF939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种名</w:t>
            </w:r>
          </w:p>
        </w:tc>
        <w:tc>
          <w:tcPr>
            <w:tcW w:w="769" w:type="dxa"/>
            <w:vMerge w:val="restart"/>
            <w:tcBorders>
              <w:top w:val="single" w:color="auto" w:sz="4" w:space="0"/>
              <w:left w:val="single" w:color="auto" w:sz="4" w:space="0"/>
              <w:bottom w:val="single" w:color="auto" w:sz="4" w:space="0"/>
              <w:right w:val="single" w:color="auto" w:sz="4" w:space="0"/>
            </w:tcBorders>
            <w:vAlign w:val="center"/>
          </w:tcPr>
          <w:p w14:paraId="444E814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学名</w:t>
            </w:r>
          </w:p>
        </w:tc>
        <w:tc>
          <w:tcPr>
            <w:tcW w:w="2079" w:type="dxa"/>
            <w:gridSpan w:val="6"/>
            <w:tcBorders>
              <w:top w:val="single" w:color="auto" w:sz="4" w:space="0"/>
              <w:left w:val="single" w:color="auto" w:sz="4" w:space="0"/>
              <w:bottom w:val="single" w:color="auto" w:sz="4" w:space="0"/>
              <w:right w:val="single" w:color="auto" w:sz="4" w:space="0"/>
            </w:tcBorders>
            <w:vAlign w:val="center"/>
          </w:tcPr>
          <w:p w14:paraId="6AC501D3">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2023年12</w:t>
            </w:r>
            <w:r>
              <w:rPr>
                <w:rFonts w:hint="eastAsia" w:cs="Times New Roman"/>
                <w:highlight w:val="none"/>
                <w:lang w:eastAsia="zh-CN"/>
              </w:rPr>
              <w:t>月</w:t>
            </w:r>
          </w:p>
        </w:tc>
        <w:tc>
          <w:tcPr>
            <w:tcW w:w="2075" w:type="dxa"/>
            <w:gridSpan w:val="6"/>
            <w:tcBorders>
              <w:top w:val="single" w:color="auto" w:sz="4" w:space="0"/>
              <w:left w:val="single" w:color="auto" w:sz="4" w:space="0"/>
              <w:bottom w:val="single" w:color="auto" w:sz="4" w:space="0"/>
              <w:right w:val="single" w:color="auto" w:sz="4" w:space="0"/>
            </w:tcBorders>
            <w:vAlign w:val="center"/>
          </w:tcPr>
          <w:p w14:paraId="4E47E923">
            <w:pPr>
              <w:pStyle w:val="22"/>
              <w:bidi w:val="0"/>
              <w:jc w:val="center"/>
              <w:rPr>
                <w:rFonts w:hint="eastAsia" w:ascii="Times New Roman" w:hAnsi="Times New Roman" w:cs="Times New Roman" w:eastAsiaTheme="minorEastAsia"/>
                <w:highlight w:val="none"/>
                <w:lang w:eastAsia="zh-CN"/>
              </w:rPr>
            </w:pPr>
            <w:r>
              <w:rPr>
                <w:rFonts w:hint="default" w:ascii="Times New Roman" w:hAnsi="Times New Roman" w:cs="Times New Roman"/>
                <w:highlight w:val="none"/>
              </w:rPr>
              <w:t>2024年3</w:t>
            </w:r>
            <w:r>
              <w:rPr>
                <w:rFonts w:hint="eastAsia" w:cs="Times New Roman"/>
                <w:highlight w:val="none"/>
                <w:lang w:eastAsia="zh-CN"/>
              </w:rPr>
              <w:t>月</w:t>
            </w:r>
          </w:p>
        </w:tc>
      </w:tr>
      <w:tr w14:paraId="3274314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9" w:hRule="atLeast"/>
        </w:trPr>
        <w:tc>
          <w:tcPr>
            <w:tcW w:w="891" w:type="dxa"/>
            <w:vMerge w:val="continue"/>
            <w:tcBorders>
              <w:top w:val="single" w:color="auto" w:sz="4" w:space="0"/>
              <w:left w:val="single" w:color="auto" w:sz="4" w:space="0"/>
              <w:bottom w:val="single" w:color="auto" w:sz="4" w:space="0"/>
              <w:right w:val="single" w:color="auto" w:sz="4" w:space="0"/>
            </w:tcBorders>
            <w:vAlign w:val="center"/>
          </w:tcPr>
          <w:p w14:paraId="2D88F2F0">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7DBF8FA0">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7D8ECB3B">
            <w:pPr>
              <w:pStyle w:val="22"/>
              <w:bidi w:val="0"/>
              <w:jc w:val="center"/>
              <w:rPr>
                <w:rFonts w:hint="default" w:ascii="Times New Roman" w:hAnsi="Times New Roman" w:cs="Times New Roman"/>
                <w:highlight w:val="none"/>
              </w:rPr>
            </w:pPr>
          </w:p>
        </w:tc>
        <w:tc>
          <w:tcPr>
            <w:tcW w:w="724" w:type="dxa"/>
            <w:vMerge w:val="continue"/>
            <w:tcBorders>
              <w:top w:val="single" w:color="auto" w:sz="4" w:space="0"/>
              <w:left w:val="single" w:color="auto" w:sz="4" w:space="0"/>
              <w:bottom w:val="single" w:color="auto" w:sz="4" w:space="0"/>
              <w:right w:val="single" w:color="auto" w:sz="4" w:space="0"/>
            </w:tcBorders>
            <w:vAlign w:val="center"/>
          </w:tcPr>
          <w:p w14:paraId="42C78C43">
            <w:pPr>
              <w:pStyle w:val="22"/>
              <w:bidi w:val="0"/>
              <w:jc w:val="center"/>
              <w:rPr>
                <w:rFonts w:hint="default" w:ascii="Times New Roman" w:hAnsi="Times New Roman" w:cs="Times New Roman"/>
                <w:highlight w:val="none"/>
              </w:rPr>
            </w:pPr>
          </w:p>
        </w:tc>
        <w:tc>
          <w:tcPr>
            <w:tcW w:w="724" w:type="dxa"/>
            <w:vMerge w:val="continue"/>
            <w:tcBorders>
              <w:top w:val="single" w:color="auto" w:sz="4" w:space="0"/>
              <w:left w:val="single" w:color="auto" w:sz="4" w:space="0"/>
              <w:bottom w:val="single" w:color="auto" w:sz="4" w:space="0"/>
              <w:right w:val="single" w:color="auto" w:sz="4" w:space="0"/>
            </w:tcBorders>
            <w:vAlign w:val="center"/>
          </w:tcPr>
          <w:p w14:paraId="595BB244">
            <w:pPr>
              <w:pStyle w:val="22"/>
              <w:bidi w:val="0"/>
              <w:jc w:val="center"/>
              <w:rPr>
                <w:rFonts w:hint="default" w:ascii="Times New Roman" w:hAnsi="Times New Roman" w:cs="Times New Roman"/>
                <w:highlight w:val="none"/>
              </w:rPr>
            </w:pPr>
          </w:p>
        </w:tc>
        <w:tc>
          <w:tcPr>
            <w:tcW w:w="769" w:type="dxa"/>
            <w:vMerge w:val="continue"/>
            <w:tcBorders>
              <w:top w:val="single" w:color="auto" w:sz="4" w:space="0"/>
              <w:left w:val="single" w:color="auto" w:sz="4" w:space="0"/>
              <w:bottom w:val="single" w:color="auto" w:sz="4" w:space="0"/>
              <w:right w:val="single" w:color="auto" w:sz="4" w:space="0"/>
            </w:tcBorders>
            <w:vAlign w:val="center"/>
          </w:tcPr>
          <w:p w14:paraId="0C49A10B">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55BB63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样点1</w:t>
            </w:r>
          </w:p>
        </w:tc>
        <w:tc>
          <w:tcPr>
            <w:tcW w:w="346" w:type="dxa"/>
            <w:tcBorders>
              <w:top w:val="single" w:color="auto" w:sz="4" w:space="0"/>
              <w:left w:val="single" w:color="auto" w:sz="4" w:space="0"/>
              <w:bottom w:val="single" w:color="auto" w:sz="4" w:space="0"/>
              <w:right w:val="single" w:color="auto" w:sz="4" w:space="0"/>
            </w:tcBorders>
            <w:vAlign w:val="center"/>
          </w:tcPr>
          <w:p w14:paraId="1E186DE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样点2</w:t>
            </w:r>
          </w:p>
        </w:tc>
        <w:tc>
          <w:tcPr>
            <w:tcW w:w="346" w:type="dxa"/>
            <w:tcBorders>
              <w:top w:val="single" w:color="auto" w:sz="4" w:space="0"/>
              <w:left w:val="single" w:color="auto" w:sz="4" w:space="0"/>
              <w:bottom w:val="single" w:color="auto" w:sz="4" w:space="0"/>
              <w:right w:val="single" w:color="auto" w:sz="4" w:space="0"/>
            </w:tcBorders>
            <w:vAlign w:val="center"/>
          </w:tcPr>
          <w:p w14:paraId="571F2DE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样点3</w:t>
            </w:r>
          </w:p>
        </w:tc>
        <w:tc>
          <w:tcPr>
            <w:tcW w:w="346" w:type="dxa"/>
            <w:tcBorders>
              <w:top w:val="single" w:color="auto" w:sz="4" w:space="0"/>
              <w:left w:val="single" w:color="auto" w:sz="4" w:space="0"/>
              <w:bottom w:val="single" w:color="auto" w:sz="4" w:space="0"/>
              <w:right w:val="single" w:color="auto" w:sz="4" w:space="0"/>
            </w:tcBorders>
            <w:vAlign w:val="center"/>
          </w:tcPr>
          <w:p w14:paraId="2A99FD8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样点4</w:t>
            </w:r>
          </w:p>
        </w:tc>
        <w:tc>
          <w:tcPr>
            <w:tcW w:w="346" w:type="dxa"/>
            <w:tcBorders>
              <w:top w:val="single" w:color="auto" w:sz="4" w:space="0"/>
              <w:left w:val="single" w:color="auto" w:sz="4" w:space="0"/>
              <w:bottom w:val="single" w:color="auto" w:sz="4" w:space="0"/>
              <w:right w:val="single" w:color="auto" w:sz="4" w:space="0"/>
            </w:tcBorders>
            <w:vAlign w:val="center"/>
          </w:tcPr>
          <w:p w14:paraId="70892A8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样点5</w:t>
            </w:r>
          </w:p>
        </w:tc>
        <w:tc>
          <w:tcPr>
            <w:tcW w:w="349" w:type="dxa"/>
            <w:tcBorders>
              <w:top w:val="single" w:color="auto" w:sz="4" w:space="0"/>
              <w:left w:val="single" w:color="auto" w:sz="4" w:space="0"/>
              <w:bottom w:val="single" w:color="auto" w:sz="4" w:space="0"/>
              <w:right w:val="single" w:color="auto" w:sz="4" w:space="0"/>
            </w:tcBorders>
            <w:vAlign w:val="center"/>
          </w:tcPr>
          <w:p w14:paraId="726CCCB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样点6</w:t>
            </w:r>
          </w:p>
        </w:tc>
        <w:tc>
          <w:tcPr>
            <w:tcW w:w="346" w:type="dxa"/>
            <w:tcBorders>
              <w:top w:val="single" w:color="auto" w:sz="4" w:space="0"/>
              <w:left w:val="single" w:color="auto" w:sz="4" w:space="0"/>
              <w:bottom w:val="single" w:color="auto" w:sz="4" w:space="0"/>
              <w:right w:val="single" w:color="auto" w:sz="4" w:space="0"/>
            </w:tcBorders>
            <w:vAlign w:val="center"/>
          </w:tcPr>
          <w:p w14:paraId="22CCC4B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样点1</w:t>
            </w:r>
          </w:p>
        </w:tc>
        <w:tc>
          <w:tcPr>
            <w:tcW w:w="346" w:type="dxa"/>
            <w:tcBorders>
              <w:top w:val="single" w:color="auto" w:sz="4" w:space="0"/>
              <w:left w:val="single" w:color="auto" w:sz="4" w:space="0"/>
              <w:bottom w:val="single" w:color="auto" w:sz="4" w:space="0"/>
              <w:right w:val="single" w:color="auto" w:sz="4" w:space="0"/>
            </w:tcBorders>
            <w:vAlign w:val="center"/>
          </w:tcPr>
          <w:p w14:paraId="2804953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样点2</w:t>
            </w:r>
          </w:p>
        </w:tc>
        <w:tc>
          <w:tcPr>
            <w:tcW w:w="346" w:type="dxa"/>
            <w:tcBorders>
              <w:top w:val="single" w:color="auto" w:sz="4" w:space="0"/>
              <w:left w:val="single" w:color="auto" w:sz="4" w:space="0"/>
              <w:bottom w:val="single" w:color="auto" w:sz="4" w:space="0"/>
              <w:right w:val="single" w:color="auto" w:sz="4" w:space="0"/>
            </w:tcBorders>
            <w:vAlign w:val="center"/>
          </w:tcPr>
          <w:p w14:paraId="10A5AF3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样点3</w:t>
            </w:r>
          </w:p>
        </w:tc>
        <w:tc>
          <w:tcPr>
            <w:tcW w:w="346" w:type="dxa"/>
            <w:tcBorders>
              <w:top w:val="single" w:color="auto" w:sz="4" w:space="0"/>
              <w:left w:val="single" w:color="auto" w:sz="4" w:space="0"/>
              <w:bottom w:val="single" w:color="auto" w:sz="4" w:space="0"/>
              <w:right w:val="single" w:color="auto" w:sz="4" w:space="0"/>
            </w:tcBorders>
            <w:vAlign w:val="center"/>
          </w:tcPr>
          <w:p w14:paraId="5B40015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样点4</w:t>
            </w:r>
          </w:p>
        </w:tc>
        <w:tc>
          <w:tcPr>
            <w:tcW w:w="346" w:type="dxa"/>
            <w:tcBorders>
              <w:top w:val="single" w:color="auto" w:sz="4" w:space="0"/>
              <w:left w:val="single" w:color="auto" w:sz="4" w:space="0"/>
              <w:bottom w:val="single" w:color="auto" w:sz="4" w:space="0"/>
              <w:right w:val="single" w:color="auto" w:sz="4" w:space="0"/>
            </w:tcBorders>
            <w:vAlign w:val="center"/>
          </w:tcPr>
          <w:p w14:paraId="01FE85D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样点5</w:t>
            </w:r>
          </w:p>
        </w:tc>
        <w:tc>
          <w:tcPr>
            <w:tcW w:w="345" w:type="dxa"/>
            <w:tcBorders>
              <w:top w:val="single" w:color="auto" w:sz="4" w:space="0"/>
              <w:left w:val="single" w:color="auto" w:sz="4" w:space="0"/>
              <w:bottom w:val="single" w:color="auto" w:sz="4" w:space="0"/>
              <w:right w:val="single" w:color="auto" w:sz="4" w:space="0"/>
            </w:tcBorders>
            <w:vAlign w:val="center"/>
          </w:tcPr>
          <w:p w14:paraId="3B68BCE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样点6</w:t>
            </w:r>
          </w:p>
        </w:tc>
      </w:tr>
      <w:tr w14:paraId="30F5AC5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891" w:type="dxa"/>
            <w:vMerge w:val="restart"/>
            <w:tcBorders>
              <w:top w:val="single" w:color="auto" w:sz="4" w:space="0"/>
              <w:left w:val="single" w:color="auto" w:sz="4" w:space="0"/>
              <w:bottom w:val="single" w:color="auto" w:sz="4" w:space="0"/>
              <w:right w:val="single" w:color="auto" w:sz="4" w:space="0"/>
            </w:tcBorders>
            <w:vAlign w:val="center"/>
          </w:tcPr>
          <w:p w14:paraId="6B5BA0C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节肢动物门</w:t>
            </w:r>
          </w:p>
        </w:tc>
        <w:tc>
          <w:tcPr>
            <w:tcW w:w="600" w:type="dxa"/>
            <w:vMerge w:val="restart"/>
            <w:tcBorders>
              <w:top w:val="single" w:color="auto" w:sz="4" w:space="0"/>
              <w:left w:val="single" w:color="auto" w:sz="4" w:space="0"/>
              <w:bottom w:val="single" w:color="auto" w:sz="4" w:space="0"/>
              <w:right w:val="single" w:color="auto" w:sz="4" w:space="0"/>
            </w:tcBorders>
            <w:vAlign w:val="center"/>
          </w:tcPr>
          <w:p w14:paraId="45CBBBB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1.昆虫纲</w:t>
            </w:r>
          </w:p>
        </w:tc>
        <w:tc>
          <w:tcPr>
            <w:tcW w:w="600" w:type="dxa"/>
            <w:vMerge w:val="restart"/>
            <w:tcBorders>
              <w:top w:val="single" w:color="auto" w:sz="4" w:space="0"/>
              <w:left w:val="single" w:color="auto" w:sz="4" w:space="0"/>
              <w:bottom w:val="single" w:color="auto" w:sz="4" w:space="0"/>
              <w:right w:val="single" w:color="auto" w:sz="4" w:space="0"/>
            </w:tcBorders>
            <w:vAlign w:val="center"/>
          </w:tcPr>
          <w:p w14:paraId="1692BAF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1.襀翅目</w:t>
            </w:r>
          </w:p>
        </w:tc>
        <w:tc>
          <w:tcPr>
            <w:tcW w:w="724" w:type="dxa"/>
            <w:vMerge w:val="restart"/>
            <w:tcBorders>
              <w:top w:val="single" w:color="auto" w:sz="4" w:space="0"/>
              <w:left w:val="single" w:color="auto" w:sz="4" w:space="0"/>
              <w:bottom w:val="single" w:color="auto" w:sz="4" w:space="0"/>
              <w:right w:val="single" w:color="auto" w:sz="4" w:space="0"/>
            </w:tcBorders>
            <w:vAlign w:val="center"/>
          </w:tcPr>
          <w:p w14:paraId="1399EB1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1.石蝇科</w:t>
            </w:r>
          </w:p>
        </w:tc>
        <w:tc>
          <w:tcPr>
            <w:tcW w:w="724" w:type="dxa"/>
            <w:tcBorders>
              <w:top w:val="single" w:color="auto" w:sz="4" w:space="0"/>
              <w:left w:val="single" w:color="auto" w:sz="4" w:space="0"/>
              <w:bottom w:val="single" w:color="auto" w:sz="4" w:space="0"/>
              <w:right w:val="single" w:color="auto" w:sz="4" w:space="0"/>
            </w:tcBorders>
            <w:vAlign w:val="center"/>
          </w:tcPr>
          <w:p w14:paraId="3D50E2A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1.大石蝇</w:t>
            </w:r>
          </w:p>
        </w:tc>
        <w:tc>
          <w:tcPr>
            <w:tcW w:w="769" w:type="dxa"/>
            <w:tcBorders>
              <w:top w:val="single" w:color="auto" w:sz="4" w:space="0"/>
              <w:left w:val="single" w:color="auto" w:sz="4" w:space="0"/>
              <w:bottom w:val="single" w:color="auto" w:sz="4" w:space="0"/>
              <w:right w:val="single" w:color="auto" w:sz="4" w:space="0"/>
            </w:tcBorders>
            <w:vAlign w:val="center"/>
          </w:tcPr>
          <w:p w14:paraId="37F1E7B4">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Pteronacys</w:t>
            </w:r>
          </w:p>
        </w:tc>
        <w:tc>
          <w:tcPr>
            <w:tcW w:w="346" w:type="dxa"/>
            <w:tcBorders>
              <w:top w:val="single" w:color="auto" w:sz="4" w:space="0"/>
              <w:left w:val="single" w:color="auto" w:sz="4" w:space="0"/>
              <w:bottom w:val="single" w:color="auto" w:sz="4" w:space="0"/>
              <w:right w:val="single" w:color="auto" w:sz="4" w:space="0"/>
            </w:tcBorders>
            <w:vAlign w:val="center"/>
          </w:tcPr>
          <w:p w14:paraId="5B025883">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4FA3E41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799451BC">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4CB70BDE">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23489BE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9" w:type="dxa"/>
            <w:tcBorders>
              <w:top w:val="single" w:color="auto" w:sz="4" w:space="0"/>
              <w:left w:val="single" w:color="auto" w:sz="4" w:space="0"/>
              <w:bottom w:val="single" w:color="auto" w:sz="4" w:space="0"/>
              <w:right w:val="single" w:color="auto" w:sz="4" w:space="0"/>
            </w:tcBorders>
            <w:vAlign w:val="center"/>
          </w:tcPr>
          <w:p w14:paraId="1B19D7C7">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4E180CF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0E31B9B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71143C6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480F3323">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6033BB4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5" w:type="dxa"/>
            <w:tcBorders>
              <w:top w:val="single" w:color="auto" w:sz="4" w:space="0"/>
              <w:left w:val="single" w:color="auto" w:sz="4" w:space="0"/>
              <w:bottom w:val="single" w:color="auto" w:sz="4" w:space="0"/>
              <w:right w:val="single" w:color="auto" w:sz="4" w:space="0"/>
            </w:tcBorders>
            <w:vAlign w:val="center"/>
          </w:tcPr>
          <w:p w14:paraId="027924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C187E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891" w:type="dxa"/>
            <w:vMerge w:val="continue"/>
            <w:tcBorders>
              <w:top w:val="single" w:color="auto" w:sz="4" w:space="0"/>
              <w:left w:val="single" w:color="auto" w:sz="4" w:space="0"/>
              <w:bottom w:val="single" w:color="auto" w:sz="4" w:space="0"/>
              <w:right w:val="single" w:color="auto" w:sz="4" w:space="0"/>
            </w:tcBorders>
            <w:vAlign w:val="center"/>
          </w:tcPr>
          <w:p w14:paraId="283BF758">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0DECB452">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6B59AB08">
            <w:pPr>
              <w:pStyle w:val="22"/>
              <w:bidi w:val="0"/>
              <w:jc w:val="center"/>
              <w:rPr>
                <w:rFonts w:hint="default" w:ascii="Times New Roman" w:hAnsi="Times New Roman" w:cs="Times New Roman"/>
                <w:highlight w:val="none"/>
              </w:rPr>
            </w:pPr>
          </w:p>
        </w:tc>
        <w:tc>
          <w:tcPr>
            <w:tcW w:w="724" w:type="dxa"/>
            <w:vMerge w:val="continue"/>
            <w:tcBorders>
              <w:top w:val="single" w:color="auto" w:sz="4" w:space="0"/>
              <w:left w:val="single" w:color="auto" w:sz="4" w:space="0"/>
              <w:bottom w:val="single" w:color="auto" w:sz="4" w:space="0"/>
              <w:right w:val="single" w:color="auto" w:sz="4" w:space="0"/>
            </w:tcBorders>
            <w:vAlign w:val="center"/>
          </w:tcPr>
          <w:p w14:paraId="218CD940">
            <w:pPr>
              <w:pStyle w:val="22"/>
              <w:bidi w:val="0"/>
              <w:jc w:val="center"/>
              <w:rPr>
                <w:rFonts w:hint="default" w:ascii="Times New Roman" w:hAnsi="Times New Roman" w:cs="Times New Roman"/>
                <w:highlight w:val="none"/>
              </w:rPr>
            </w:pPr>
          </w:p>
        </w:tc>
        <w:tc>
          <w:tcPr>
            <w:tcW w:w="724" w:type="dxa"/>
            <w:tcBorders>
              <w:top w:val="single" w:color="auto" w:sz="4" w:space="0"/>
              <w:left w:val="single" w:color="auto" w:sz="4" w:space="0"/>
              <w:bottom w:val="single" w:color="auto" w:sz="4" w:space="0"/>
              <w:right w:val="single" w:color="auto" w:sz="4" w:space="0"/>
            </w:tcBorders>
            <w:vAlign w:val="center"/>
          </w:tcPr>
          <w:p w14:paraId="554C05F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2.短尾石蝇</w:t>
            </w:r>
          </w:p>
        </w:tc>
        <w:tc>
          <w:tcPr>
            <w:tcW w:w="769" w:type="dxa"/>
            <w:tcBorders>
              <w:top w:val="single" w:color="auto" w:sz="4" w:space="0"/>
              <w:left w:val="single" w:color="auto" w:sz="4" w:space="0"/>
              <w:bottom w:val="single" w:color="auto" w:sz="4" w:space="0"/>
              <w:right w:val="single" w:color="auto" w:sz="4" w:space="0"/>
            </w:tcBorders>
            <w:vAlign w:val="center"/>
          </w:tcPr>
          <w:p w14:paraId="1FD9C921">
            <w:pPr>
              <w:pStyle w:val="22"/>
              <w:bidi w:val="0"/>
              <w:jc w:val="center"/>
              <w:rPr>
                <w:rFonts w:hint="default" w:ascii="Times New Roman" w:hAnsi="Times New Roman" w:cs="Times New Roman"/>
                <w:highlight w:val="none"/>
              </w:rPr>
            </w:pPr>
            <w:r>
              <w:rPr>
                <w:rFonts w:hint="default" w:ascii="Times New Roman" w:hAnsi="Times New Roman" w:cs="Times New Roman"/>
                <w:i/>
                <w:iCs w:val="0"/>
                <w:highlight w:val="none"/>
              </w:rPr>
              <w:t>Nemoura</w:t>
            </w:r>
          </w:p>
        </w:tc>
        <w:tc>
          <w:tcPr>
            <w:tcW w:w="346" w:type="dxa"/>
            <w:tcBorders>
              <w:top w:val="single" w:color="auto" w:sz="4" w:space="0"/>
              <w:left w:val="single" w:color="auto" w:sz="4" w:space="0"/>
              <w:bottom w:val="single" w:color="auto" w:sz="4" w:space="0"/>
              <w:right w:val="single" w:color="auto" w:sz="4" w:space="0"/>
            </w:tcBorders>
            <w:vAlign w:val="center"/>
          </w:tcPr>
          <w:p w14:paraId="247F0C5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0025EA2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4F00FDF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A9B81A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7212CB2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9" w:type="dxa"/>
            <w:tcBorders>
              <w:top w:val="single" w:color="auto" w:sz="4" w:space="0"/>
              <w:left w:val="single" w:color="auto" w:sz="4" w:space="0"/>
              <w:bottom w:val="single" w:color="auto" w:sz="4" w:space="0"/>
              <w:right w:val="single" w:color="auto" w:sz="4" w:space="0"/>
            </w:tcBorders>
            <w:vAlign w:val="center"/>
          </w:tcPr>
          <w:p w14:paraId="5D30A2A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361C1B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57D7901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541B705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6ECBAB4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174068C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5" w:type="dxa"/>
            <w:tcBorders>
              <w:top w:val="single" w:color="auto" w:sz="4" w:space="0"/>
              <w:left w:val="single" w:color="auto" w:sz="4" w:space="0"/>
              <w:bottom w:val="single" w:color="auto" w:sz="4" w:space="0"/>
              <w:right w:val="single" w:color="auto" w:sz="4" w:space="0"/>
            </w:tcBorders>
            <w:vAlign w:val="center"/>
          </w:tcPr>
          <w:p w14:paraId="71B079F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8B187E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891" w:type="dxa"/>
            <w:vMerge w:val="continue"/>
            <w:tcBorders>
              <w:top w:val="single" w:color="auto" w:sz="4" w:space="0"/>
              <w:left w:val="single" w:color="auto" w:sz="4" w:space="0"/>
              <w:bottom w:val="single" w:color="auto" w:sz="4" w:space="0"/>
              <w:right w:val="single" w:color="auto" w:sz="4" w:space="0"/>
            </w:tcBorders>
            <w:vAlign w:val="center"/>
          </w:tcPr>
          <w:p w14:paraId="11374435">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195CA3CF">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38B85B67">
            <w:pPr>
              <w:pStyle w:val="22"/>
              <w:bidi w:val="0"/>
              <w:jc w:val="center"/>
              <w:rPr>
                <w:rFonts w:hint="default" w:ascii="Times New Roman" w:hAnsi="Times New Roman" w:cs="Times New Roman"/>
                <w:highlight w:val="none"/>
              </w:rPr>
            </w:pPr>
          </w:p>
        </w:tc>
        <w:tc>
          <w:tcPr>
            <w:tcW w:w="724" w:type="dxa"/>
            <w:vMerge w:val="restart"/>
            <w:tcBorders>
              <w:top w:val="single" w:color="auto" w:sz="4" w:space="0"/>
              <w:left w:val="single" w:color="auto" w:sz="4" w:space="0"/>
              <w:bottom w:val="single" w:color="auto" w:sz="4" w:space="0"/>
              <w:right w:val="single" w:color="auto" w:sz="4" w:space="0"/>
            </w:tcBorders>
            <w:vAlign w:val="center"/>
          </w:tcPr>
          <w:p w14:paraId="45423BF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2.扁蜉科</w:t>
            </w:r>
          </w:p>
        </w:tc>
        <w:tc>
          <w:tcPr>
            <w:tcW w:w="724" w:type="dxa"/>
            <w:tcBorders>
              <w:top w:val="single" w:color="auto" w:sz="4" w:space="0"/>
              <w:left w:val="single" w:color="auto" w:sz="4" w:space="0"/>
              <w:bottom w:val="single" w:color="auto" w:sz="4" w:space="0"/>
              <w:right w:val="single" w:color="auto" w:sz="4" w:space="0"/>
            </w:tcBorders>
            <w:vAlign w:val="center"/>
          </w:tcPr>
          <w:p w14:paraId="0C40E8A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3.扁蜉</w:t>
            </w:r>
          </w:p>
        </w:tc>
        <w:tc>
          <w:tcPr>
            <w:tcW w:w="769" w:type="dxa"/>
            <w:tcBorders>
              <w:top w:val="single" w:color="auto" w:sz="4" w:space="0"/>
              <w:left w:val="single" w:color="auto" w:sz="4" w:space="0"/>
              <w:bottom w:val="single" w:color="auto" w:sz="4" w:space="0"/>
              <w:right w:val="single" w:color="auto" w:sz="4" w:space="0"/>
            </w:tcBorders>
            <w:vAlign w:val="center"/>
          </w:tcPr>
          <w:p w14:paraId="6CBA634E">
            <w:pPr>
              <w:pStyle w:val="22"/>
              <w:bidi w:val="0"/>
              <w:jc w:val="center"/>
              <w:rPr>
                <w:rFonts w:hint="default" w:ascii="Times New Roman" w:hAnsi="Times New Roman" w:cs="Times New Roman"/>
                <w:i/>
                <w:iCs w:val="0"/>
                <w:highlight w:val="none"/>
              </w:rPr>
            </w:pPr>
            <w:r>
              <w:rPr>
                <w:rFonts w:hint="default" w:ascii="Times New Roman" w:hAnsi="Times New Roman" w:cs="Times New Roman"/>
                <w:i/>
                <w:iCs w:val="0"/>
                <w:highlight w:val="none"/>
              </w:rPr>
              <w:t>Ecdyrus</w:t>
            </w:r>
          </w:p>
        </w:tc>
        <w:tc>
          <w:tcPr>
            <w:tcW w:w="346" w:type="dxa"/>
            <w:tcBorders>
              <w:top w:val="single" w:color="auto" w:sz="4" w:space="0"/>
              <w:left w:val="single" w:color="auto" w:sz="4" w:space="0"/>
              <w:bottom w:val="single" w:color="auto" w:sz="4" w:space="0"/>
              <w:right w:val="single" w:color="auto" w:sz="4" w:space="0"/>
            </w:tcBorders>
            <w:vAlign w:val="center"/>
          </w:tcPr>
          <w:p w14:paraId="089DAA6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58ED1DC4">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12C1C85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71114F6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5DB1E49C">
            <w:pPr>
              <w:pStyle w:val="22"/>
              <w:bidi w:val="0"/>
              <w:jc w:val="center"/>
              <w:rPr>
                <w:rFonts w:hint="default" w:ascii="Times New Roman" w:hAnsi="Times New Roman" w:cs="Times New Roman"/>
                <w:highlight w:val="none"/>
              </w:rPr>
            </w:pPr>
          </w:p>
        </w:tc>
        <w:tc>
          <w:tcPr>
            <w:tcW w:w="349" w:type="dxa"/>
            <w:tcBorders>
              <w:top w:val="single" w:color="auto" w:sz="4" w:space="0"/>
              <w:left w:val="single" w:color="auto" w:sz="4" w:space="0"/>
              <w:bottom w:val="single" w:color="auto" w:sz="4" w:space="0"/>
              <w:right w:val="single" w:color="auto" w:sz="4" w:space="0"/>
            </w:tcBorders>
            <w:vAlign w:val="center"/>
          </w:tcPr>
          <w:p w14:paraId="43AA670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3B736C3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75488D98">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60DB079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4620356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73745F2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5" w:type="dxa"/>
            <w:tcBorders>
              <w:top w:val="single" w:color="auto" w:sz="4" w:space="0"/>
              <w:left w:val="single" w:color="auto" w:sz="4" w:space="0"/>
              <w:bottom w:val="single" w:color="auto" w:sz="4" w:space="0"/>
              <w:right w:val="single" w:color="auto" w:sz="4" w:space="0"/>
            </w:tcBorders>
            <w:vAlign w:val="center"/>
          </w:tcPr>
          <w:p w14:paraId="129957E1">
            <w:pPr>
              <w:pStyle w:val="22"/>
              <w:bidi w:val="0"/>
              <w:jc w:val="center"/>
              <w:rPr>
                <w:rFonts w:hint="default" w:ascii="Times New Roman" w:hAnsi="Times New Roman" w:cs="Times New Roman"/>
                <w:highlight w:val="none"/>
              </w:rPr>
            </w:pPr>
          </w:p>
        </w:tc>
      </w:tr>
      <w:tr w14:paraId="3A07B24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891" w:type="dxa"/>
            <w:vMerge w:val="continue"/>
            <w:tcBorders>
              <w:top w:val="single" w:color="auto" w:sz="4" w:space="0"/>
              <w:left w:val="single" w:color="auto" w:sz="4" w:space="0"/>
              <w:bottom w:val="single" w:color="auto" w:sz="4" w:space="0"/>
              <w:right w:val="single" w:color="auto" w:sz="4" w:space="0"/>
            </w:tcBorders>
            <w:vAlign w:val="center"/>
          </w:tcPr>
          <w:p w14:paraId="2189EE4E">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465A9EAB">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1C80C963">
            <w:pPr>
              <w:pStyle w:val="22"/>
              <w:bidi w:val="0"/>
              <w:jc w:val="center"/>
              <w:rPr>
                <w:rFonts w:hint="default" w:ascii="Times New Roman" w:hAnsi="Times New Roman" w:cs="Times New Roman"/>
                <w:highlight w:val="none"/>
              </w:rPr>
            </w:pPr>
          </w:p>
        </w:tc>
        <w:tc>
          <w:tcPr>
            <w:tcW w:w="724" w:type="dxa"/>
            <w:vMerge w:val="continue"/>
            <w:tcBorders>
              <w:top w:val="single" w:color="auto" w:sz="4" w:space="0"/>
              <w:left w:val="single" w:color="auto" w:sz="4" w:space="0"/>
              <w:bottom w:val="single" w:color="auto" w:sz="4" w:space="0"/>
              <w:right w:val="single" w:color="auto" w:sz="4" w:space="0"/>
            </w:tcBorders>
            <w:vAlign w:val="center"/>
          </w:tcPr>
          <w:p w14:paraId="5B529733">
            <w:pPr>
              <w:pStyle w:val="22"/>
              <w:bidi w:val="0"/>
              <w:jc w:val="center"/>
              <w:rPr>
                <w:rFonts w:hint="default" w:ascii="Times New Roman" w:hAnsi="Times New Roman" w:cs="Times New Roman"/>
                <w:highlight w:val="none"/>
              </w:rPr>
            </w:pPr>
          </w:p>
        </w:tc>
        <w:tc>
          <w:tcPr>
            <w:tcW w:w="724" w:type="dxa"/>
            <w:tcBorders>
              <w:top w:val="single" w:color="auto" w:sz="4" w:space="0"/>
              <w:left w:val="single" w:color="auto" w:sz="4" w:space="0"/>
              <w:bottom w:val="single" w:color="auto" w:sz="4" w:space="0"/>
              <w:right w:val="single" w:color="auto" w:sz="4" w:space="0"/>
            </w:tcBorders>
            <w:vAlign w:val="center"/>
          </w:tcPr>
          <w:p w14:paraId="174B333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4.小蜉</w:t>
            </w:r>
          </w:p>
        </w:tc>
        <w:tc>
          <w:tcPr>
            <w:tcW w:w="769" w:type="dxa"/>
            <w:tcBorders>
              <w:top w:val="single" w:color="auto" w:sz="4" w:space="0"/>
              <w:left w:val="single" w:color="auto" w:sz="4" w:space="0"/>
              <w:bottom w:val="single" w:color="auto" w:sz="4" w:space="0"/>
              <w:right w:val="single" w:color="auto" w:sz="4" w:space="0"/>
            </w:tcBorders>
            <w:vAlign w:val="center"/>
          </w:tcPr>
          <w:p w14:paraId="688FA571">
            <w:pPr>
              <w:pStyle w:val="22"/>
              <w:bidi w:val="0"/>
              <w:jc w:val="center"/>
              <w:rPr>
                <w:rFonts w:hint="default" w:ascii="Times New Roman" w:hAnsi="Times New Roman" w:cs="Times New Roman"/>
                <w:i/>
                <w:iCs w:val="0"/>
                <w:highlight w:val="none"/>
              </w:rPr>
            </w:pPr>
            <w:r>
              <w:rPr>
                <w:rFonts w:hint="default" w:ascii="Times New Roman" w:hAnsi="Times New Roman" w:cs="Times New Roman"/>
                <w:i/>
                <w:iCs w:val="0"/>
                <w:highlight w:val="none"/>
              </w:rPr>
              <w:t>Ephemerella</w:t>
            </w:r>
          </w:p>
        </w:tc>
        <w:tc>
          <w:tcPr>
            <w:tcW w:w="346" w:type="dxa"/>
            <w:tcBorders>
              <w:top w:val="single" w:color="auto" w:sz="4" w:space="0"/>
              <w:left w:val="single" w:color="auto" w:sz="4" w:space="0"/>
              <w:bottom w:val="single" w:color="auto" w:sz="4" w:space="0"/>
              <w:right w:val="single" w:color="auto" w:sz="4" w:space="0"/>
            </w:tcBorders>
            <w:vAlign w:val="center"/>
          </w:tcPr>
          <w:p w14:paraId="69E374B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36B6545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10C396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7AF268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5784C5F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9" w:type="dxa"/>
            <w:tcBorders>
              <w:top w:val="single" w:color="auto" w:sz="4" w:space="0"/>
              <w:left w:val="single" w:color="auto" w:sz="4" w:space="0"/>
              <w:bottom w:val="single" w:color="auto" w:sz="4" w:space="0"/>
              <w:right w:val="single" w:color="auto" w:sz="4" w:space="0"/>
            </w:tcBorders>
            <w:vAlign w:val="center"/>
          </w:tcPr>
          <w:p w14:paraId="569A33B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60E26B3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43EF95D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3089320C">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41FBD4E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05F11976">
            <w:pPr>
              <w:pStyle w:val="22"/>
              <w:bidi w:val="0"/>
              <w:jc w:val="center"/>
              <w:rPr>
                <w:rFonts w:hint="default" w:ascii="Times New Roman" w:hAnsi="Times New Roman" w:cs="Times New Roman"/>
                <w:highlight w:val="none"/>
              </w:rPr>
            </w:pPr>
          </w:p>
        </w:tc>
        <w:tc>
          <w:tcPr>
            <w:tcW w:w="345" w:type="dxa"/>
            <w:tcBorders>
              <w:top w:val="single" w:color="auto" w:sz="4" w:space="0"/>
              <w:left w:val="single" w:color="auto" w:sz="4" w:space="0"/>
              <w:bottom w:val="single" w:color="auto" w:sz="4" w:space="0"/>
              <w:right w:val="single" w:color="auto" w:sz="4" w:space="0"/>
            </w:tcBorders>
            <w:vAlign w:val="center"/>
          </w:tcPr>
          <w:p w14:paraId="585EEBA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3EE3CD1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891" w:type="dxa"/>
            <w:vMerge w:val="continue"/>
            <w:tcBorders>
              <w:top w:val="single" w:color="auto" w:sz="4" w:space="0"/>
              <w:left w:val="single" w:color="auto" w:sz="4" w:space="0"/>
              <w:bottom w:val="single" w:color="auto" w:sz="4" w:space="0"/>
              <w:right w:val="single" w:color="auto" w:sz="4" w:space="0"/>
            </w:tcBorders>
            <w:vAlign w:val="center"/>
          </w:tcPr>
          <w:p w14:paraId="2DBF3BC7">
            <w:pPr>
              <w:pStyle w:val="22"/>
              <w:bidi w:val="0"/>
              <w:jc w:val="center"/>
              <w:rPr>
                <w:rFonts w:hint="default" w:ascii="Times New Roman" w:hAnsi="Times New Roman" w:cs="Times New Roman"/>
                <w:highlight w:val="none"/>
              </w:rPr>
            </w:pPr>
          </w:p>
        </w:tc>
        <w:tc>
          <w:tcPr>
            <w:tcW w:w="600" w:type="dxa"/>
            <w:vMerge w:val="continue"/>
            <w:tcBorders>
              <w:top w:val="single" w:color="auto" w:sz="4" w:space="0"/>
              <w:left w:val="single" w:color="auto" w:sz="4" w:space="0"/>
              <w:bottom w:val="single" w:color="auto" w:sz="4" w:space="0"/>
              <w:right w:val="single" w:color="auto" w:sz="4" w:space="0"/>
            </w:tcBorders>
            <w:vAlign w:val="center"/>
          </w:tcPr>
          <w:p w14:paraId="6D658083">
            <w:pPr>
              <w:pStyle w:val="22"/>
              <w:bidi w:val="0"/>
              <w:jc w:val="center"/>
              <w:rPr>
                <w:rFonts w:hint="default" w:ascii="Times New Roman" w:hAnsi="Times New Roman" w:cs="Times New Roman"/>
                <w:highlight w:val="none"/>
              </w:rPr>
            </w:pPr>
          </w:p>
        </w:tc>
        <w:tc>
          <w:tcPr>
            <w:tcW w:w="600" w:type="dxa"/>
            <w:tcBorders>
              <w:top w:val="single" w:color="auto" w:sz="4" w:space="0"/>
              <w:left w:val="single" w:color="auto" w:sz="4" w:space="0"/>
              <w:bottom w:val="single" w:color="auto" w:sz="4" w:space="0"/>
              <w:right w:val="single" w:color="auto" w:sz="4" w:space="0"/>
            </w:tcBorders>
            <w:vAlign w:val="center"/>
          </w:tcPr>
          <w:p w14:paraId="2CB0E80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2.蜉蝣目</w:t>
            </w:r>
          </w:p>
        </w:tc>
        <w:tc>
          <w:tcPr>
            <w:tcW w:w="724" w:type="dxa"/>
            <w:tcBorders>
              <w:top w:val="single" w:color="auto" w:sz="4" w:space="0"/>
              <w:left w:val="single" w:color="auto" w:sz="4" w:space="0"/>
              <w:bottom w:val="single" w:color="auto" w:sz="4" w:space="0"/>
              <w:right w:val="single" w:color="auto" w:sz="4" w:space="0"/>
            </w:tcBorders>
            <w:vAlign w:val="center"/>
          </w:tcPr>
          <w:p w14:paraId="09D680F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3.四节蜉科</w:t>
            </w:r>
          </w:p>
        </w:tc>
        <w:tc>
          <w:tcPr>
            <w:tcW w:w="724" w:type="dxa"/>
            <w:tcBorders>
              <w:top w:val="single" w:color="auto" w:sz="4" w:space="0"/>
              <w:left w:val="single" w:color="auto" w:sz="4" w:space="0"/>
              <w:bottom w:val="single" w:color="auto" w:sz="4" w:space="0"/>
              <w:right w:val="single" w:color="auto" w:sz="4" w:space="0"/>
            </w:tcBorders>
            <w:vAlign w:val="center"/>
          </w:tcPr>
          <w:p w14:paraId="163455E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5.四节蜉</w:t>
            </w:r>
          </w:p>
        </w:tc>
        <w:tc>
          <w:tcPr>
            <w:tcW w:w="769" w:type="dxa"/>
            <w:tcBorders>
              <w:top w:val="single" w:color="auto" w:sz="4" w:space="0"/>
              <w:left w:val="single" w:color="auto" w:sz="4" w:space="0"/>
              <w:bottom w:val="single" w:color="auto" w:sz="4" w:space="0"/>
              <w:right w:val="single" w:color="auto" w:sz="4" w:space="0"/>
            </w:tcBorders>
            <w:vAlign w:val="center"/>
          </w:tcPr>
          <w:p w14:paraId="761CB8B3">
            <w:pPr>
              <w:pStyle w:val="22"/>
              <w:bidi w:val="0"/>
              <w:jc w:val="center"/>
              <w:rPr>
                <w:rFonts w:hint="default" w:ascii="Times New Roman" w:hAnsi="Times New Roman" w:cs="Times New Roman"/>
                <w:i/>
                <w:iCs w:val="0"/>
                <w:highlight w:val="none"/>
              </w:rPr>
            </w:pPr>
            <w:r>
              <w:rPr>
                <w:rFonts w:hint="default" w:ascii="Times New Roman" w:hAnsi="Times New Roman" w:cs="Times New Roman"/>
                <w:i/>
                <w:iCs w:val="0"/>
                <w:highlight w:val="none"/>
              </w:rPr>
              <w:t>Baetis</w:t>
            </w:r>
          </w:p>
        </w:tc>
        <w:tc>
          <w:tcPr>
            <w:tcW w:w="346" w:type="dxa"/>
            <w:tcBorders>
              <w:top w:val="single" w:color="auto" w:sz="4" w:space="0"/>
              <w:left w:val="single" w:color="auto" w:sz="4" w:space="0"/>
              <w:bottom w:val="single" w:color="auto" w:sz="4" w:space="0"/>
              <w:right w:val="single" w:color="auto" w:sz="4" w:space="0"/>
            </w:tcBorders>
            <w:vAlign w:val="center"/>
          </w:tcPr>
          <w:p w14:paraId="35026AA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4FA9CD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5C8059C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741C603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664B783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9" w:type="dxa"/>
            <w:tcBorders>
              <w:top w:val="single" w:color="auto" w:sz="4" w:space="0"/>
              <w:left w:val="single" w:color="auto" w:sz="4" w:space="0"/>
              <w:bottom w:val="single" w:color="auto" w:sz="4" w:space="0"/>
              <w:right w:val="single" w:color="auto" w:sz="4" w:space="0"/>
            </w:tcBorders>
            <w:vAlign w:val="center"/>
          </w:tcPr>
          <w:p w14:paraId="192E2DC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3519A0E">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19085101">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444253D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9ACA84B">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1E2A86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5" w:type="dxa"/>
            <w:tcBorders>
              <w:top w:val="single" w:color="auto" w:sz="4" w:space="0"/>
              <w:left w:val="single" w:color="auto" w:sz="4" w:space="0"/>
              <w:bottom w:val="single" w:color="auto" w:sz="4" w:space="0"/>
              <w:right w:val="single" w:color="auto" w:sz="4" w:space="0"/>
            </w:tcBorders>
            <w:vAlign w:val="center"/>
          </w:tcPr>
          <w:p w14:paraId="0F4361A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D06F78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891" w:type="dxa"/>
            <w:vMerge w:val="continue"/>
            <w:tcBorders>
              <w:top w:val="single" w:color="auto" w:sz="4" w:space="0"/>
              <w:left w:val="single" w:color="auto" w:sz="4" w:space="0"/>
              <w:bottom w:val="single" w:color="auto" w:sz="4" w:space="0"/>
              <w:right w:val="single" w:color="auto" w:sz="4" w:space="0"/>
            </w:tcBorders>
            <w:vAlign w:val="center"/>
          </w:tcPr>
          <w:p w14:paraId="2EB63AE7">
            <w:pPr>
              <w:pStyle w:val="22"/>
              <w:bidi w:val="0"/>
              <w:jc w:val="center"/>
              <w:rPr>
                <w:rFonts w:hint="default" w:ascii="Times New Roman" w:hAnsi="Times New Roman" w:cs="Times New Roman"/>
                <w:highlight w:val="none"/>
              </w:rPr>
            </w:pPr>
          </w:p>
        </w:tc>
        <w:tc>
          <w:tcPr>
            <w:tcW w:w="600" w:type="dxa"/>
            <w:tcBorders>
              <w:top w:val="single" w:color="auto" w:sz="4" w:space="0"/>
              <w:left w:val="single" w:color="auto" w:sz="4" w:space="0"/>
              <w:bottom w:val="single" w:color="auto" w:sz="4" w:space="0"/>
              <w:right w:val="single" w:color="auto" w:sz="4" w:space="0"/>
            </w:tcBorders>
            <w:vAlign w:val="center"/>
          </w:tcPr>
          <w:p w14:paraId="02BDF1D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2.软甲纲</w:t>
            </w:r>
          </w:p>
        </w:tc>
        <w:tc>
          <w:tcPr>
            <w:tcW w:w="600" w:type="dxa"/>
            <w:tcBorders>
              <w:top w:val="single" w:color="auto" w:sz="4" w:space="0"/>
              <w:left w:val="single" w:color="auto" w:sz="4" w:space="0"/>
              <w:bottom w:val="single" w:color="auto" w:sz="4" w:space="0"/>
              <w:right w:val="single" w:color="auto" w:sz="4" w:space="0"/>
            </w:tcBorders>
            <w:vAlign w:val="center"/>
          </w:tcPr>
          <w:p w14:paraId="7ED410A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3.端足目</w:t>
            </w:r>
          </w:p>
        </w:tc>
        <w:tc>
          <w:tcPr>
            <w:tcW w:w="724" w:type="dxa"/>
            <w:tcBorders>
              <w:top w:val="single" w:color="auto" w:sz="4" w:space="0"/>
              <w:left w:val="single" w:color="auto" w:sz="4" w:space="0"/>
              <w:bottom w:val="single" w:color="auto" w:sz="4" w:space="0"/>
              <w:right w:val="single" w:color="auto" w:sz="4" w:space="0"/>
            </w:tcBorders>
            <w:vAlign w:val="center"/>
          </w:tcPr>
          <w:p w14:paraId="34247F7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4.钩虾科</w:t>
            </w:r>
          </w:p>
        </w:tc>
        <w:tc>
          <w:tcPr>
            <w:tcW w:w="724" w:type="dxa"/>
            <w:tcBorders>
              <w:top w:val="single" w:color="auto" w:sz="4" w:space="0"/>
              <w:left w:val="single" w:color="auto" w:sz="4" w:space="0"/>
              <w:bottom w:val="single" w:color="auto" w:sz="4" w:space="0"/>
              <w:right w:val="single" w:color="auto" w:sz="4" w:space="0"/>
            </w:tcBorders>
            <w:vAlign w:val="center"/>
          </w:tcPr>
          <w:p w14:paraId="68B1628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6.钩虾</w:t>
            </w:r>
          </w:p>
        </w:tc>
        <w:tc>
          <w:tcPr>
            <w:tcW w:w="769" w:type="dxa"/>
            <w:tcBorders>
              <w:top w:val="single" w:color="auto" w:sz="4" w:space="0"/>
              <w:left w:val="single" w:color="auto" w:sz="4" w:space="0"/>
              <w:bottom w:val="single" w:color="auto" w:sz="4" w:space="0"/>
              <w:right w:val="single" w:color="auto" w:sz="4" w:space="0"/>
            </w:tcBorders>
            <w:vAlign w:val="center"/>
          </w:tcPr>
          <w:p w14:paraId="2528A115">
            <w:pPr>
              <w:pStyle w:val="22"/>
              <w:bidi w:val="0"/>
              <w:jc w:val="center"/>
              <w:rPr>
                <w:rFonts w:hint="default" w:ascii="Times New Roman" w:hAnsi="Times New Roman" w:cs="Times New Roman"/>
                <w:i/>
                <w:iCs w:val="0"/>
                <w:highlight w:val="none"/>
              </w:rPr>
            </w:pPr>
            <w:r>
              <w:rPr>
                <w:rFonts w:hint="default" w:ascii="Times New Roman" w:hAnsi="Times New Roman" w:cs="Times New Roman"/>
                <w:i/>
                <w:iCs w:val="0"/>
                <w:highlight w:val="none"/>
              </w:rPr>
              <w:t>Gammarus</w:t>
            </w:r>
          </w:p>
        </w:tc>
        <w:tc>
          <w:tcPr>
            <w:tcW w:w="346" w:type="dxa"/>
            <w:tcBorders>
              <w:top w:val="single" w:color="auto" w:sz="4" w:space="0"/>
              <w:left w:val="single" w:color="auto" w:sz="4" w:space="0"/>
              <w:bottom w:val="single" w:color="auto" w:sz="4" w:space="0"/>
              <w:right w:val="single" w:color="auto" w:sz="4" w:space="0"/>
            </w:tcBorders>
            <w:vAlign w:val="center"/>
          </w:tcPr>
          <w:p w14:paraId="61455A9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438B283E">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42901538">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7957EB0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DB36E02">
            <w:pPr>
              <w:pStyle w:val="22"/>
              <w:bidi w:val="0"/>
              <w:jc w:val="center"/>
              <w:rPr>
                <w:rFonts w:hint="default" w:ascii="Times New Roman" w:hAnsi="Times New Roman" w:cs="Times New Roman"/>
                <w:highlight w:val="none"/>
              </w:rPr>
            </w:pPr>
          </w:p>
        </w:tc>
        <w:tc>
          <w:tcPr>
            <w:tcW w:w="349" w:type="dxa"/>
            <w:tcBorders>
              <w:top w:val="single" w:color="auto" w:sz="4" w:space="0"/>
              <w:left w:val="single" w:color="auto" w:sz="4" w:space="0"/>
              <w:bottom w:val="single" w:color="auto" w:sz="4" w:space="0"/>
              <w:right w:val="single" w:color="auto" w:sz="4" w:space="0"/>
            </w:tcBorders>
            <w:vAlign w:val="center"/>
          </w:tcPr>
          <w:p w14:paraId="5D3DCB89">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6427AC5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2F75FF7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46FFB03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05C74D1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6" w:type="dxa"/>
            <w:tcBorders>
              <w:top w:val="single" w:color="auto" w:sz="4" w:space="0"/>
              <w:left w:val="single" w:color="auto" w:sz="4" w:space="0"/>
              <w:bottom w:val="single" w:color="auto" w:sz="4" w:space="0"/>
              <w:right w:val="single" w:color="auto" w:sz="4" w:space="0"/>
            </w:tcBorders>
            <w:vAlign w:val="center"/>
          </w:tcPr>
          <w:p w14:paraId="081A90E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345" w:type="dxa"/>
            <w:tcBorders>
              <w:top w:val="single" w:color="auto" w:sz="4" w:space="0"/>
              <w:left w:val="single" w:color="auto" w:sz="4" w:space="0"/>
              <w:bottom w:val="single" w:color="auto" w:sz="4" w:space="0"/>
              <w:right w:val="single" w:color="auto" w:sz="4" w:space="0"/>
            </w:tcBorders>
            <w:vAlign w:val="center"/>
          </w:tcPr>
          <w:p w14:paraId="6AEFD11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535E7D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8" w:hRule="atLeast"/>
        </w:trPr>
        <w:tc>
          <w:tcPr>
            <w:tcW w:w="891" w:type="dxa"/>
            <w:tcBorders>
              <w:top w:val="single" w:color="auto" w:sz="4" w:space="0"/>
              <w:left w:val="single" w:color="auto" w:sz="4" w:space="0"/>
              <w:bottom w:val="single" w:color="auto" w:sz="4" w:space="0"/>
              <w:right w:val="single" w:color="auto" w:sz="4" w:space="0"/>
            </w:tcBorders>
            <w:vAlign w:val="center"/>
          </w:tcPr>
          <w:p w14:paraId="7023DE5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物种总数</w:t>
            </w:r>
          </w:p>
        </w:tc>
        <w:tc>
          <w:tcPr>
            <w:tcW w:w="600" w:type="dxa"/>
            <w:tcBorders>
              <w:top w:val="single" w:color="auto" w:sz="4" w:space="0"/>
              <w:left w:val="single" w:color="auto" w:sz="4" w:space="0"/>
              <w:bottom w:val="single" w:color="auto" w:sz="4" w:space="0"/>
              <w:right w:val="single" w:color="auto" w:sz="4" w:space="0"/>
            </w:tcBorders>
            <w:vAlign w:val="center"/>
          </w:tcPr>
          <w:p w14:paraId="2EF59D3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600" w:type="dxa"/>
            <w:tcBorders>
              <w:top w:val="single" w:color="auto" w:sz="4" w:space="0"/>
              <w:left w:val="single" w:color="auto" w:sz="4" w:space="0"/>
              <w:bottom w:val="single" w:color="auto" w:sz="4" w:space="0"/>
              <w:right w:val="single" w:color="auto" w:sz="4" w:space="0"/>
            </w:tcBorders>
            <w:vAlign w:val="center"/>
          </w:tcPr>
          <w:p w14:paraId="4BFA4BF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724" w:type="dxa"/>
            <w:tcBorders>
              <w:top w:val="single" w:color="auto" w:sz="4" w:space="0"/>
              <w:left w:val="single" w:color="auto" w:sz="4" w:space="0"/>
              <w:bottom w:val="single" w:color="auto" w:sz="4" w:space="0"/>
              <w:right w:val="single" w:color="auto" w:sz="4" w:space="0"/>
            </w:tcBorders>
            <w:vAlign w:val="center"/>
          </w:tcPr>
          <w:p w14:paraId="0502E71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724" w:type="dxa"/>
            <w:tcBorders>
              <w:top w:val="single" w:color="auto" w:sz="4" w:space="0"/>
              <w:left w:val="single" w:color="auto" w:sz="4" w:space="0"/>
              <w:bottom w:val="single" w:color="auto" w:sz="4" w:space="0"/>
              <w:right w:val="single" w:color="auto" w:sz="4" w:space="0"/>
            </w:tcBorders>
            <w:vAlign w:val="center"/>
          </w:tcPr>
          <w:p w14:paraId="090BB69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769" w:type="dxa"/>
            <w:tcBorders>
              <w:top w:val="single" w:color="auto" w:sz="4" w:space="0"/>
              <w:left w:val="single" w:color="auto" w:sz="4" w:space="0"/>
              <w:bottom w:val="single" w:color="auto" w:sz="4" w:space="0"/>
              <w:right w:val="single" w:color="auto" w:sz="4" w:space="0"/>
            </w:tcBorders>
            <w:vAlign w:val="center"/>
          </w:tcPr>
          <w:p w14:paraId="2BB0C761">
            <w:pPr>
              <w:pStyle w:val="22"/>
              <w:bidi w:val="0"/>
              <w:jc w:val="center"/>
              <w:rPr>
                <w:rFonts w:hint="default" w:ascii="Times New Roman" w:hAnsi="Times New Roman" w:cs="Times New Roman"/>
                <w:highlight w:val="none"/>
              </w:rPr>
            </w:pPr>
          </w:p>
        </w:tc>
        <w:tc>
          <w:tcPr>
            <w:tcW w:w="346" w:type="dxa"/>
            <w:tcBorders>
              <w:top w:val="single" w:color="auto" w:sz="4" w:space="0"/>
              <w:left w:val="single" w:color="auto" w:sz="4" w:space="0"/>
              <w:bottom w:val="single" w:color="auto" w:sz="4" w:space="0"/>
              <w:right w:val="single" w:color="auto" w:sz="4" w:space="0"/>
            </w:tcBorders>
            <w:vAlign w:val="center"/>
          </w:tcPr>
          <w:p w14:paraId="7AC301B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346" w:type="dxa"/>
            <w:tcBorders>
              <w:top w:val="single" w:color="auto" w:sz="4" w:space="0"/>
              <w:left w:val="single" w:color="auto" w:sz="4" w:space="0"/>
              <w:bottom w:val="single" w:color="auto" w:sz="4" w:space="0"/>
              <w:right w:val="single" w:color="auto" w:sz="4" w:space="0"/>
            </w:tcBorders>
            <w:vAlign w:val="center"/>
          </w:tcPr>
          <w:p w14:paraId="48DCCA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46" w:type="dxa"/>
            <w:tcBorders>
              <w:top w:val="single" w:color="auto" w:sz="4" w:space="0"/>
              <w:left w:val="single" w:color="auto" w:sz="4" w:space="0"/>
              <w:bottom w:val="single" w:color="auto" w:sz="4" w:space="0"/>
              <w:right w:val="single" w:color="auto" w:sz="4" w:space="0"/>
            </w:tcBorders>
            <w:vAlign w:val="center"/>
          </w:tcPr>
          <w:p w14:paraId="3629B29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46" w:type="dxa"/>
            <w:tcBorders>
              <w:top w:val="single" w:color="auto" w:sz="4" w:space="0"/>
              <w:left w:val="single" w:color="auto" w:sz="4" w:space="0"/>
              <w:bottom w:val="single" w:color="auto" w:sz="4" w:space="0"/>
              <w:right w:val="single" w:color="auto" w:sz="4" w:space="0"/>
            </w:tcBorders>
            <w:vAlign w:val="center"/>
          </w:tcPr>
          <w:p w14:paraId="0B25DFE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346" w:type="dxa"/>
            <w:tcBorders>
              <w:top w:val="single" w:color="auto" w:sz="4" w:space="0"/>
              <w:left w:val="single" w:color="auto" w:sz="4" w:space="0"/>
              <w:bottom w:val="single" w:color="auto" w:sz="4" w:space="0"/>
              <w:right w:val="single" w:color="auto" w:sz="4" w:space="0"/>
            </w:tcBorders>
            <w:vAlign w:val="center"/>
          </w:tcPr>
          <w:p w14:paraId="70B6449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49" w:type="dxa"/>
            <w:tcBorders>
              <w:top w:val="single" w:color="auto" w:sz="4" w:space="0"/>
              <w:left w:val="single" w:color="auto" w:sz="4" w:space="0"/>
              <w:bottom w:val="single" w:color="auto" w:sz="4" w:space="0"/>
              <w:right w:val="single" w:color="auto" w:sz="4" w:space="0"/>
            </w:tcBorders>
            <w:vAlign w:val="center"/>
          </w:tcPr>
          <w:p w14:paraId="164ADC4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46" w:type="dxa"/>
            <w:tcBorders>
              <w:top w:val="single" w:color="auto" w:sz="4" w:space="0"/>
              <w:left w:val="single" w:color="auto" w:sz="4" w:space="0"/>
              <w:bottom w:val="single" w:color="auto" w:sz="4" w:space="0"/>
              <w:right w:val="single" w:color="auto" w:sz="4" w:space="0"/>
            </w:tcBorders>
            <w:vAlign w:val="center"/>
          </w:tcPr>
          <w:p w14:paraId="763F758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346" w:type="dxa"/>
            <w:tcBorders>
              <w:top w:val="single" w:color="auto" w:sz="4" w:space="0"/>
              <w:left w:val="single" w:color="auto" w:sz="4" w:space="0"/>
              <w:bottom w:val="single" w:color="auto" w:sz="4" w:space="0"/>
              <w:right w:val="single" w:color="auto" w:sz="4" w:space="0"/>
            </w:tcBorders>
            <w:vAlign w:val="center"/>
          </w:tcPr>
          <w:p w14:paraId="0A9290E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46" w:type="dxa"/>
            <w:tcBorders>
              <w:top w:val="single" w:color="auto" w:sz="4" w:space="0"/>
              <w:left w:val="single" w:color="auto" w:sz="4" w:space="0"/>
              <w:bottom w:val="single" w:color="auto" w:sz="4" w:space="0"/>
              <w:right w:val="single" w:color="auto" w:sz="4" w:space="0"/>
            </w:tcBorders>
            <w:vAlign w:val="center"/>
          </w:tcPr>
          <w:p w14:paraId="2E32996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346" w:type="dxa"/>
            <w:tcBorders>
              <w:top w:val="single" w:color="auto" w:sz="4" w:space="0"/>
              <w:left w:val="single" w:color="auto" w:sz="4" w:space="0"/>
              <w:bottom w:val="single" w:color="auto" w:sz="4" w:space="0"/>
              <w:right w:val="single" w:color="auto" w:sz="4" w:space="0"/>
            </w:tcBorders>
            <w:vAlign w:val="center"/>
          </w:tcPr>
          <w:p w14:paraId="49A4DB3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46" w:type="dxa"/>
            <w:tcBorders>
              <w:top w:val="single" w:color="auto" w:sz="4" w:space="0"/>
              <w:left w:val="single" w:color="auto" w:sz="4" w:space="0"/>
              <w:bottom w:val="single" w:color="auto" w:sz="4" w:space="0"/>
              <w:right w:val="single" w:color="auto" w:sz="4" w:space="0"/>
            </w:tcBorders>
            <w:vAlign w:val="center"/>
          </w:tcPr>
          <w:p w14:paraId="0CEFA61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345" w:type="dxa"/>
            <w:tcBorders>
              <w:top w:val="single" w:color="auto" w:sz="4" w:space="0"/>
              <w:left w:val="single" w:color="auto" w:sz="4" w:space="0"/>
              <w:bottom w:val="single" w:color="auto" w:sz="4" w:space="0"/>
              <w:right w:val="single" w:color="auto" w:sz="4" w:space="0"/>
            </w:tcBorders>
            <w:vAlign w:val="center"/>
          </w:tcPr>
          <w:p w14:paraId="33F4818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r>
    </w:tbl>
    <w:p w14:paraId="20EE76AA">
      <w:pPr>
        <w:shd w:val="clear"/>
        <w:ind w:left="0" w:leftChars="0" w:firstLine="0" w:firstLineChars="0"/>
        <w:rPr>
          <w:rFonts w:hint="default" w:ascii="Times New Roman" w:hAnsi="Times New Roman" w:cs="Times New Roman"/>
          <w:highlight w:val="none"/>
          <w:lang w:val="en-US" w:eastAsia="zh-CN"/>
        </w:rPr>
      </w:pPr>
    </w:p>
    <w:p w14:paraId="654EF65F">
      <w:pPr>
        <w:bidi w:val="0"/>
        <w:rPr>
          <w:rFonts w:hint="default"/>
          <w:highlight w:val="none"/>
          <w:lang w:val="en-US" w:eastAsia="zh-CN"/>
        </w:rPr>
      </w:pPr>
      <w:r>
        <w:rPr>
          <w:rFonts w:hint="default"/>
          <w:highlight w:val="none"/>
          <w:lang w:val="en-US" w:eastAsia="zh-CN"/>
        </w:rPr>
        <w:t>（2）密度及生物量</w:t>
      </w:r>
    </w:p>
    <w:p w14:paraId="12097DD5">
      <w:pPr>
        <w:shd w:val="clea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2023年12月调查结果显示，工程项目影响河段各采样点底栖动物的平均密度和生物量为17.0ind./m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和2.23g/m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。采样点1-6底栖动物密度分别为15ind./m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、17ind./m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、19ind./m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、13ind./m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、18ind./m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和20ind./m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，生物量（湿重）分别为2.41g/m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、2.43g/m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、2.12g/m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、2.01g/m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、2.24g/m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和2.18g/m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。2024年3月调查结果显示，工程项目影响河段各采样点底栖动物的平均密度和生物量为19.17ind./m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和2.31g/m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。采样点1-6底栖动物密度分别为16ind./m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、18ind./m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、21ind./m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、25ind./m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、17ind./m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和18ind./m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，生物量（湿重）分别为2.39、2.51、2.43、2.24、2.31和2.14g/m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。整体上看，流域范围内工程项目影响河段底栖动物密度和生物量相差不大。</w:t>
      </w:r>
    </w:p>
    <w:p w14:paraId="4411233A">
      <w:pPr>
        <w:bidi w:val="0"/>
        <w:rPr>
          <w:rFonts w:hint="default"/>
          <w:highlight w:val="none"/>
          <w:lang w:val="en-US" w:eastAsia="zh-CN"/>
        </w:rPr>
      </w:pPr>
      <w:r>
        <w:rPr>
          <w:rFonts w:hint="default"/>
          <w:highlight w:val="none"/>
          <w:lang w:val="en-US" w:eastAsia="zh-CN"/>
        </w:rPr>
        <w:t>（3）调查水域水质生物学评价</w:t>
      </w:r>
    </w:p>
    <w:p w14:paraId="619657D7">
      <w:pPr>
        <w:shd w:val="clea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底栖无脊椎动物是分布于水体底部的许多无脊椎动物种类的总称，其类群组成及种类数量与所处水域环境质量密切相关，特别是该类群中的多数种类，具有被动摄食方式，生命周期较长，缺乏有效的逃避敌害的运动能力等特点，在水体环境发生变化时，更能够较客观地反映出水体的质量，因此，底栖无脊椎动物较其它水生生物类群对水域环境更具有指示性。尽管采集到的底栖无脊椎动物数量相对较少，但是也可以从出现的种类作为指示生物来大体判断调查水域水质的情况。各个采样断面常见为昆虫纲中的种类，例如蜉蝣目的扁蜉和襀翅目中的石蝇等，这些无脊椎动物所要求的生存环境需溶氧较高的水环境。这些动物所栖息的水环境若被污染，水体含氧量降低，常引起它们大量死亡，所以栖息水域的清洁度和含氧量是影响他们它们分布的主要因素。因此，从6个采样点采集到底栖无脊椎动物类群的情况表明，项目影响水域水质总体较好。</w:t>
      </w:r>
    </w:p>
    <w:p w14:paraId="333CC02E">
      <w:pPr>
        <w:numPr>
          <w:ilvl w:val="0"/>
          <w:numId w:val="27"/>
        </w:numPr>
        <w:shd w:val="clear"/>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鱼类资源</w:t>
      </w:r>
    </w:p>
    <w:p w14:paraId="1666F225">
      <w:pPr>
        <w:numPr>
          <w:ilvl w:val="0"/>
          <w:numId w:val="42"/>
        </w:numPr>
        <w:bidi w:val="0"/>
        <w:rPr>
          <w:rFonts w:hint="default"/>
          <w:highlight w:val="none"/>
          <w:lang w:val="en-US" w:eastAsia="zh-CN"/>
        </w:rPr>
      </w:pPr>
      <w:r>
        <w:rPr>
          <w:rFonts w:hint="default"/>
          <w:highlight w:val="none"/>
          <w:lang w:val="en-US" w:eastAsia="zh-CN"/>
        </w:rPr>
        <w:t>鱼类组成</w:t>
      </w:r>
    </w:p>
    <w:p w14:paraId="78DC1B3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影响河段的鱼类区系组成历史调查工作较少，鱼类调查结论主要依据对工程影响河段沿岸居民的访问以及乡城县水产渔政部门提供的相关资料，同时结合《四川鱼类志》和《中国动物志硬骨鱼类纲鲤形目》等文献资料的记载。天然河流中水生生物特别是鱼类的组成与分布和周边水域环境因素是密切相关的，对本次调查水域的环境特征描述如下：调查时间为枯水季节，整个工程影响河段水流较慢，水量较⼩，河道周边有少量⼈口居住，无大型工矿企业污染源，并且在整个工程影响水域无大型水利水电设施及较大跌水河段，因此，整个工程影响水域处于天然状态，水生生态未受到较大破坏，鱼类的组成和分布主要受海拔、水温和水体承载能力等自然因素影响。结合历史调查资料和本次调查结果表明，在工程影响的冷龙沟及硕曲河汇合口附近河段分布有9种鱼类（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_Ref4911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表39</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），隶属于2目3科6属，其中鳅科鱼类2种，鲤科鱼类5种，鮡科鱼类2种。</w:t>
      </w:r>
    </w:p>
    <w:p w14:paraId="1B902A27">
      <w:pPr>
        <w:pStyle w:val="11"/>
        <w:bidi w:val="0"/>
        <w:ind w:left="0" w:leftChars="0" w:firstLine="0" w:firstLineChars="0"/>
        <w:rPr>
          <w:rFonts w:hint="default" w:ascii="Times New Roman" w:hAnsi="Times New Roman" w:eastAsia="黑体" w:cs="Times New Roman"/>
          <w:highlight w:val="none"/>
          <w:lang w:val="en-US" w:eastAsia="zh-CN"/>
        </w:rPr>
      </w:pPr>
      <w:bookmarkStart w:id="51" w:name="_Ref4911"/>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53</w:t>
      </w:r>
      <w:r>
        <w:rPr>
          <w:rFonts w:hint="default" w:ascii="Times New Roman" w:hAnsi="Times New Roman" w:cs="Times New Roman"/>
          <w:highlight w:val="none"/>
        </w:rPr>
        <w:fldChar w:fldCharType="end"/>
      </w:r>
      <w:bookmarkEnd w:id="51"/>
      <w:r>
        <w:rPr>
          <w:rFonts w:hint="default" w:ascii="Times New Roman" w:hAnsi="Times New Roman" w:cs="Times New Roman"/>
          <w:highlight w:val="none"/>
          <w:lang w:val="en-US" w:eastAsia="zh-CN"/>
        </w:rPr>
        <w:t xml:space="preserve"> 工程影响水域鱼类名录</w:t>
      </w:r>
    </w:p>
    <w:tbl>
      <w:tblPr>
        <w:tblStyle w:val="24"/>
        <w:tblW w:w="8208" w:type="dxa"/>
        <w:tblInd w:w="-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5"/>
        <w:gridCol w:w="533"/>
        <w:gridCol w:w="1033"/>
        <w:gridCol w:w="1405"/>
        <w:gridCol w:w="1767"/>
        <w:gridCol w:w="978"/>
        <w:gridCol w:w="772"/>
        <w:gridCol w:w="1045"/>
      </w:tblGrid>
      <w:tr w14:paraId="5B7F1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1" w:hRule="atLeast"/>
        </w:trPr>
        <w:tc>
          <w:tcPr>
            <w:tcW w:w="675" w:type="dxa"/>
            <w:vAlign w:val="center"/>
          </w:tcPr>
          <w:p w14:paraId="65CB40B2">
            <w:pPr>
              <w:pStyle w:val="22"/>
              <w:bidi w:val="0"/>
              <w:jc w:val="center"/>
              <w:rPr>
                <w:rFonts w:hint="eastAsia" w:ascii="Times New Roman" w:hAnsi="Times New Roman" w:cs="Times New Roman" w:eastAsiaTheme="minorEastAsia"/>
                <w:highlight w:val="none"/>
                <w:lang w:eastAsia="zh-CN"/>
              </w:rPr>
            </w:pPr>
            <w:r>
              <w:rPr>
                <w:rFonts w:hint="eastAsia" w:cs="Times New Roman"/>
                <w:highlight w:val="none"/>
                <w:lang w:eastAsia="zh-CN"/>
              </w:rPr>
              <w:t>目</w:t>
            </w:r>
          </w:p>
        </w:tc>
        <w:tc>
          <w:tcPr>
            <w:tcW w:w="533" w:type="dxa"/>
            <w:vAlign w:val="center"/>
          </w:tcPr>
          <w:p w14:paraId="4468F81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科</w:t>
            </w:r>
          </w:p>
        </w:tc>
        <w:tc>
          <w:tcPr>
            <w:tcW w:w="1033" w:type="dxa"/>
            <w:vAlign w:val="center"/>
          </w:tcPr>
          <w:p w14:paraId="599DF85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属</w:t>
            </w:r>
          </w:p>
        </w:tc>
        <w:tc>
          <w:tcPr>
            <w:tcW w:w="1405" w:type="dxa"/>
            <w:vAlign w:val="center"/>
          </w:tcPr>
          <w:p w14:paraId="4B2E07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种</w:t>
            </w:r>
          </w:p>
        </w:tc>
        <w:tc>
          <w:tcPr>
            <w:tcW w:w="1767" w:type="dxa"/>
            <w:vAlign w:val="center"/>
          </w:tcPr>
          <w:p w14:paraId="61CB3E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拉丁名</w:t>
            </w:r>
          </w:p>
        </w:tc>
        <w:tc>
          <w:tcPr>
            <w:tcW w:w="978" w:type="dxa"/>
            <w:vAlign w:val="center"/>
          </w:tcPr>
          <w:p w14:paraId="643162D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国家级保护鱼类</w:t>
            </w:r>
          </w:p>
        </w:tc>
        <w:tc>
          <w:tcPr>
            <w:tcW w:w="772" w:type="dxa"/>
            <w:vAlign w:val="center"/>
          </w:tcPr>
          <w:p w14:paraId="27E39EB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省级保护鱼类</w:t>
            </w:r>
          </w:p>
        </w:tc>
        <w:tc>
          <w:tcPr>
            <w:tcW w:w="1045" w:type="dxa"/>
            <w:vAlign w:val="center"/>
          </w:tcPr>
          <w:p w14:paraId="62E4DB9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长江上游特有鱼类</w:t>
            </w:r>
          </w:p>
        </w:tc>
      </w:tr>
      <w:tr w14:paraId="05001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4" w:hRule="atLeast"/>
        </w:trPr>
        <w:tc>
          <w:tcPr>
            <w:tcW w:w="675" w:type="dxa"/>
            <w:vMerge w:val="restart"/>
            <w:vAlign w:val="center"/>
          </w:tcPr>
          <w:p w14:paraId="6B539A5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鲤形目</w:t>
            </w:r>
          </w:p>
        </w:tc>
        <w:tc>
          <w:tcPr>
            <w:tcW w:w="533" w:type="dxa"/>
            <w:vMerge w:val="restart"/>
            <w:vAlign w:val="center"/>
          </w:tcPr>
          <w:p w14:paraId="05EE787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鳅科</w:t>
            </w:r>
          </w:p>
        </w:tc>
        <w:tc>
          <w:tcPr>
            <w:tcW w:w="1033" w:type="dxa"/>
            <w:vAlign w:val="center"/>
          </w:tcPr>
          <w:p w14:paraId="2BFA746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山鳅属</w:t>
            </w:r>
          </w:p>
        </w:tc>
        <w:tc>
          <w:tcPr>
            <w:tcW w:w="1405" w:type="dxa"/>
            <w:vAlign w:val="center"/>
          </w:tcPr>
          <w:p w14:paraId="6B92A78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1.戴氏山鳅</w:t>
            </w:r>
          </w:p>
        </w:tc>
        <w:tc>
          <w:tcPr>
            <w:tcW w:w="1767" w:type="dxa"/>
            <w:vAlign w:val="center"/>
          </w:tcPr>
          <w:p w14:paraId="317DFC9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Oreias dabryi</w:t>
            </w:r>
          </w:p>
        </w:tc>
        <w:tc>
          <w:tcPr>
            <w:tcW w:w="978" w:type="dxa"/>
            <w:vAlign w:val="center"/>
          </w:tcPr>
          <w:p w14:paraId="14E94AE2">
            <w:pPr>
              <w:pStyle w:val="22"/>
              <w:bidi w:val="0"/>
              <w:jc w:val="center"/>
              <w:rPr>
                <w:rFonts w:hint="default" w:ascii="Times New Roman" w:hAnsi="Times New Roman" w:cs="Times New Roman"/>
                <w:highlight w:val="none"/>
              </w:rPr>
            </w:pPr>
          </w:p>
        </w:tc>
        <w:tc>
          <w:tcPr>
            <w:tcW w:w="772" w:type="dxa"/>
            <w:vAlign w:val="center"/>
          </w:tcPr>
          <w:p w14:paraId="75FF15E5">
            <w:pPr>
              <w:pStyle w:val="22"/>
              <w:bidi w:val="0"/>
              <w:jc w:val="center"/>
              <w:rPr>
                <w:rFonts w:hint="default" w:ascii="Times New Roman" w:hAnsi="Times New Roman" w:cs="Times New Roman"/>
                <w:highlight w:val="none"/>
              </w:rPr>
            </w:pPr>
          </w:p>
        </w:tc>
        <w:tc>
          <w:tcPr>
            <w:tcW w:w="1045" w:type="dxa"/>
            <w:vAlign w:val="center"/>
          </w:tcPr>
          <w:p w14:paraId="2183CF0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2F4B2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0" w:hRule="atLeast"/>
        </w:trPr>
        <w:tc>
          <w:tcPr>
            <w:tcW w:w="675" w:type="dxa"/>
            <w:vMerge w:val="continue"/>
            <w:vAlign w:val="center"/>
          </w:tcPr>
          <w:p w14:paraId="19E79DDE">
            <w:pPr>
              <w:pStyle w:val="22"/>
              <w:bidi w:val="0"/>
              <w:jc w:val="center"/>
              <w:rPr>
                <w:rFonts w:hint="default" w:ascii="Times New Roman" w:hAnsi="Times New Roman" w:cs="Times New Roman"/>
                <w:highlight w:val="none"/>
              </w:rPr>
            </w:pPr>
          </w:p>
        </w:tc>
        <w:tc>
          <w:tcPr>
            <w:tcW w:w="533" w:type="dxa"/>
            <w:vMerge w:val="continue"/>
            <w:vAlign w:val="center"/>
          </w:tcPr>
          <w:p w14:paraId="1DE42665">
            <w:pPr>
              <w:pStyle w:val="22"/>
              <w:bidi w:val="0"/>
              <w:jc w:val="center"/>
              <w:rPr>
                <w:rFonts w:hint="default" w:ascii="Times New Roman" w:hAnsi="Times New Roman" w:cs="Times New Roman"/>
                <w:highlight w:val="none"/>
              </w:rPr>
            </w:pPr>
          </w:p>
        </w:tc>
        <w:tc>
          <w:tcPr>
            <w:tcW w:w="1033" w:type="dxa"/>
            <w:vAlign w:val="center"/>
          </w:tcPr>
          <w:p w14:paraId="6541EE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高原鳅属</w:t>
            </w:r>
          </w:p>
        </w:tc>
        <w:tc>
          <w:tcPr>
            <w:tcW w:w="1405" w:type="dxa"/>
            <w:vAlign w:val="center"/>
          </w:tcPr>
          <w:p w14:paraId="1BE73CD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2.斯氏高原鳅</w:t>
            </w:r>
          </w:p>
        </w:tc>
        <w:tc>
          <w:tcPr>
            <w:tcW w:w="1767" w:type="dxa"/>
            <w:vAlign w:val="center"/>
          </w:tcPr>
          <w:p w14:paraId="23C36C2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Triplophy sastoliczkae</w:t>
            </w:r>
          </w:p>
        </w:tc>
        <w:tc>
          <w:tcPr>
            <w:tcW w:w="978" w:type="dxa"/>
            <w:vAlign w:val="center"/>
          </w:tcPr>
          <w:p w14:paraId="45A9794C">
            <w:pPr>
              <w:pStyle w:val="22"/>
              <w:bidi w:val="0"/>
              <w:jc w:val="center"/>
              <w:rPr>
                <w:rFonts w:hint="default" w:ascii="Times New Roman" w:hAnsi="Times New Roman" w:cs="Times New Roman"/>
                <w:highlight w:val="none"/>
              </w:rPr>
            </w:pPr>
          </w:p>
        </w:tc>
        <w:tc>
          <w:tcPr>
            <w:tcW w:w="772" w:type="dxa"/>
            <w:vAlign w:val="center"/>
          </w:tcPr>
          <w:p w14:paraId="377D138C">
            <w:pPr>
              <w:pStyle w:val="22"/>
              <w:bidi w:val="0"/>
              <w:jc w:val="center"/>
              <w:rPr>
                <w:rFonts w:hint="default" w:ascii="Times New Roman" w:hAnsi="Times New Roman" w:cs="Times New Roman"/>
                <w:highlight w:val="none"/>
              </w:rPr>
            </w:pPr>
          </w:p>
        </w:tc>
        <w:tc>
          <w:tcPr>
            <w:tcW w:w="1045" w:type="dxa"/>
            <w:vAlign w:val="center"/>
          </w:tcPr>
          <w:p w14:paraId="33677255">
            <w:pPr>
              <w:pStyle w:val="22"/>
              <w:bidi w:val="0"/>
              <w:jc w:val="center"/>
              <w:rPr>
                <w:rFonts w:hint="default" w:ascii="Times New Roman" w:hAnsi="Times New Roman" w:cs="Times New Roman"/>
                <w:highlight w:val="none"/>
              </w:rPr>
            </w:pPr>
          </w:p>
        </w:tc>
      </w:tr>
      <w:tr w14:paraId="33465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4" w:hRule="atLeast"/>
        </w:trPr>
        <w:tc>
          <w:tcPr>
            <w:tcW w:w="675" w:type="dxa"/>
            <w:vMerge w:val="continue"/>
            <w:vAlign w:val="center"/>
          </w:tcPr>
          <w:p w14:paraId="72FC9FFF">
            <w:pPr>
              <w:pStyle w:val="22"/>
              <w:bidi w:val="0"/>
              <w:jc w:val="center"/>
              <w:rPr>
                <w:rFonts w:hint="default" w:ascii="Times New Roman" w:hAnsi="Times New Roman" w:cs="Times New Roman"/>
                <w:highlight w:val="none"/>
              </w:rPr>
            </w:pPr>
          </w:p>
        </w:tc>
        <w:tc>
          <w:tcPr>
            <w:tcW w:w="533" w:type="dxa"/>
            <w:vMerge w:val="restart"/>
            <w:vAlign w:val="center"/>
          </w:tcPr>
          <w:p w14:paraId="507FD1A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鲤科</w:t>
            </w:r>
          </w:p>
        </w:tc>
        <w:tc>
          <w:tcPr>
            <w:tcW w:w="1033" w:type="dxa"/>
            <w:vMerge w:val="restart"/>
            <w:vAlign w:val="center"/>
          </w:tcPr>
          <w:p w14:paraId="2960C29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裂腹鱼属</w:t>
            </w:r>
          </w:p>
        </w:tc>
        <w:tc>
          <w:tcPr>
            <w:tcW w:w="1405" w:type="dxa"/>
            <w:vAlign w:val="center"/>
          </w:tcPr>
          <w:p w14:paraId="04E6D15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3.短须裂腹鱼</w:t>
            </w:r>
          </w:p>
        </w:tc>
        <w:tc>
          <w:tcPr>
            <w:tcW w:w="1767" w:type="dxa"/>
            <w:vAlign w:val="center"/>
          </w:tcPr>
          <w:p w14:paraId="4A64863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Schizothorax wangchiachii</w:t>
            </w:r>
          </w:p>
        </w:tc>
        <w:tc>
          <w:tcPr>
            <w:tcW w:w="978" w:type="dxa"/>
            <w:vAlign w:val="center"/>
          </w:tcPr>
          <w:p w14:paraId="58277D20">
            <w:pPr>
              <w:pStyle w:val="22"/>
              <w:bidi w:val="0"/>
              <w:jc w:val="center"/>
              <w:rPr>
                <w:rFonts w:hint="default" w:ascii="Times New Roman" w:hAnsi="Times New Roman" w:cs="Times New Roman"/>
                <w:highlight w:val="none"/>
              </w:rPr>
            </w:pPr>
          </w:p>
        </w:tc>
        <w:tc>
          <w:tcPr>
            <w:tcW w:w="772" w:type="dxa"/>
            <w:vAlign w:val="center"/>
          </w:tcPr>
          <w:p w14:paraId="6DC0CA55">
            <w:pPr>
              <w:pStyle w:val="22"/>
              <w:bidi w:val="0"/>
              <w:jc w:val="center"/>
              <w:rPr>
                <w:rFonts w:hint="default" w:ascii="Times New Roman" w:hAnsi="Times New Roman" w:cs="Times New Roman"/>
                <w:highlight w:val="none"/>
              </w:rPr>
            </w:pPr>
          </w:p>
        </w:tc>
        <w:tc>
          <w:tcPr>
            <w:tcW w:w="1045" w:type="dxa"/>
            <w:vAlign w:val="center"/>
          </w:tcPr>
          <w:p w14:paraId="77A6D96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7EBE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4" w:hRule="atLeast"/>
        </w:trPr>
        <w:tc>
          <w:tcPr>
            <w:tcW w:w="675" w:type="dxa"/>
            <w:vMerge w:val="continue"/>
            <w:vAlign w:val="center"/>
          </w:tcPr>
          <w:p w14:paraId="7809EE87">
            <w:pPr>
              <w:pStyle w:val="22"/>
              <w:bidi w:val="0"/>
              <w:jc w:val="center"/>
              <w:rPr>
                <w:rFonts w:hint="default" w:ascii="Times New Roman" w:hAnsi="Times New Roman" w:cs="Times New Roman"/>
                <w:highlight w:val="none"/>
              </w:rPr>
            </w:pPr>
          </w:p>
        </w:tc>
        <w:tc>
          <w:tcPr>
            <w:tcW w:w="533" w:type="dxa"/>
            <w:vMerge w:val="continue"/>
            <w:vAlign w:val="center"/>
          </w:tcPr>
          <w:p w14:paraId="22292D84">
            <w:pPr>
              <w:pStyle w:val="22"/>
              <w:bidi w:val="0"/>
              <w:jc w:val="center"/>
              <w:rPr>
                <w:rFonts w:hint="default" w:ascii="Times New Roman" w:hAnsi="Times New Roman" w:cs="Times New Roman"/>
                <w:highlight w:val="none"/>
              </w:rPr>
            </w:pPr>
          </w:p>
        </w:tc>
        <w:tc>
          <w:tcPr>
            <w:tcW w:w="1033" w:type="dxa"/>
            <w:vMerge w:val="continue"/>
            <w:vAlign w:val="center"/>
          </w:tcPr>
          <w:p w14:paraId="79D86286">
            <w:pPr>
              <w:pStyle w:val="22"/>
              <w:bidi w:val="0"/>
              <w:jc w:val="center"/>
              <w:rPr>
                <w:rFonts w:hint="default" w:ascii="Times New Roman" w:hAnsi="Times New Roman" w:cs="Times New Roman"/>
                <w:highlight w:val="none"/>
              </w:rPr>
            </w:pPr>
          </w:p>
        </w:tc>
        <w:tc>
          <w:tcPr>
            <w:tcW w:w="1405" w:type="dxa"/>
            <w:vAlign w:val="center"/>
          </w:tcPr>
          <w:p w14:paraId="06255C4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4.长丝裂腹鱼</w:t>
            </w:r>
          </w:p>
        </w:tc>
        <w:tc>
          <w:tcPr>
            <w:tcW w:w="1767" w:type="dxa"/>
            <w:vAlign w:val="center"/>
          </w:tcPr>
          <w:p w14:paraId="5D01193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Schizothorax dolichonema</w:t>
            </w:r>
          </w:p>
        </w:tc>
        <w:tc>
          <w:tcPr>
            <w:tcW w:w="978" w:type="dxa"/>
            <w:vAlign w:val="center"/>
          </w:tcPr>
          <w:p w14:paraId="4EFA2791">
            <w:pPr>
              <w:pStyle w:val="22"/>
              <w:bidi w:val="0"/>
              <w:jc w:val="center"/>
              <w:rPr>
                <w:rFonts w:hint="default" w:ascii="Times New Roman" w:hAnsi="Times New Roman" w:cs="Times New Roman"/>
                <w:highlight w:val="none"/>
              </w:rPr>
            </w:pPr>
          </w:p>
        </w:tc>
        <w:tc>
          <w:tcPr>
            <w:tcW w:w="772" w:type="dxa"/>
            <w:vAlign w:val="center"/>
          </w:tcPr>
          <w:p w14:paraId="62CDFE4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045" w:type="dxa"/>
            <w:vAlign w:val="center"/>
          </w:tcPr>
          <w:p w14:paraId="65D784A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41C25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4" w:hRule="atLeast"/>
        </w:trPr>
        <w:tc>
          <w:tcPr>
            <w:tcW w:w="675" w:type="dxa"/>
            <w:vMerge w:val="continue"/>
            <w:vAlign w:val="center"/>
          </w:tcPr>
          <w:p w14:paraId="442EAAB2">
            <w:pPr>
              <w:pStyle w:val="22"/>
              <w:bidi w:val="0"/>
              <w:jc w:val="center"/>
              <w:rPr>
                <w:rFonts w:hint="default" w:ascii="Times New Roman" w:hAnsi="Times New Roman" w:cs="Times New Roman"/>
                <w:highlight w:val="none"/>
              </w:rPr>
            </w:pPr>
          </w:p>
        </w:tc>
        <w:tc>
          <w:tcPr>
            <w:tcW w:w="533" w:type="dxa"/>
            <w:vMerge w:val="continue"/>
            <w:vAlign w:val="center"/>
          </w:tcPr>
          <w:p w14:paraId="73B9FA15">
            <w:pPr>
              <w:pStyle w:val="22"/>
              <w:bidi w:val="0"/>
              <w:jc w:val="center"/>
              <w:rPr>
                <w:rFonts w:hint="default" w:ascii="Times New Roman" w:hAnsi="Times New Roman" w:cs="Times New Roman"/>
                <w:highlight w:val="none"/>
              </w:rPr>
            </w:pPr>
          </w:p>
        </w:tc>
        <w:tc>
          <w:tcPr>
            <w:tcW w:w="1033" w:type="dxa"/>
            <w:vMerge w:val="continue"/>
            <w:vAlign w:val="center"/>
          </w:tcPr>
          <w:p w14:paraId="73F54BFB">
            <w:pPr>
              <w:pStyle w:val="22"/>
              <w:bidi w:val="0"/>
              <w:jc w:val="center"/>
              <w:rPr>
                <w:rFonts w:hint="default" w:ascii="Times New Roman" w:hAnsi="Times New Roman" w:cs="Times New Roman"/>
                <w:highlight w:val="none"/>
              </w:rPr>
            </w:pPr>
          </w:p>
        </w:tc>
        <w:tc>
          <w:tcPr>
            <w:tcW w:w="1405" w:type="dxa"/>
            <w:vAlign w:val="center"/>
          </w:tcPr>
          <w:p w14:paraId="697BC15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5.四川裂腹鱼</w:t>
            </w:r>
          </w:p>
        </w:tc>
        <w:tc>
          <w:tcPr>
            <w:tcW w:w="1767" w:type="dxa"/>
            <w:vAlign w:val="center"/>
          </w:tcPr>
          <w:p w14:paraId="76447C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Schizothorax kozlovi</w:t>
            </w:r>
          </w:p>
        </w:tc>
        <w:tc>
          <w:tcPr>
            <w:tcW w:w="978" w:type="dxa"/>
            <w:vAlign w:val="center"/>
          </w:tcPr>
          <w:p w14:paraId="6BDF1896">
            <w:pPr>
              <w:pStyle w:val="22"/>
              <w:bidi w:val="0"/>
              <w:jc w:val="center"/>
              <w:rPr>
                <w:rFonts w:hint="default" w:ascii="Times New Roman" w:hAnsi="Times New Roman" w:cs="Times New Roman"/>
                <w:highlight w:val="none"/>
              </w:rPr>
            </w:pPr>
          </w:p>
        </w:tc>
        <w:tc>
          <w:tcPr>
            <w:tcW w:w="772" w:type="dxa"/>
            <w:vAlign w:val="center"/>
          </w:tcPr>
          <w:p w14:paraId="677CA94C">
            <w:pPr>
              <w:pStyle w:val="22"/>
              <w:bidi w:val="0"/>
              <w:jc w:val="center"/>
              <w:rPr>
                <w:rFonts w:hint="default" w:ascii="Times New Roman" w:hAnsi="Times New Roman" w:cs="Times New Roman"/>
                <w:highlight w:val="none"/>
              </w:rPr>
            </w:pPr>
          </w:p>
        </w:tc>
        <w:tc>
          <w:tcPr>
            <w:tcW w:w="1045" w:type="dxa"/>
            <w:vAlign w:val="center"/>
          </w:tcPr>
          <w:p w14:paraId="277F5B4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5CD5B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0" w:hRule="atLeast"/>
        </w:trPr>
        <w:tc>
          <w:tcPr>
            <w:tcW w:w="675" w:type="dxa"/>
            <w:vMerge w:val="continue"/>
            <w:vAlign w:val="center"/>
          </w:tcPr>
          <w:p w14:paraId="03FEB2DD">
            <w:pPr>
              <w:pStyle w:val="22"/>
              <w:bidi w:val="0"/>
              <w:jc w:val="center"/>
              <w:rPr>
                <w:rFonts w:hint="default" w:ascii="Times New Roman" w:hAnsi="Times New Roman" w:cs="Times New Roman"/>
                <w:highlight w:val="none"/>
              </w:rPr>
            </w:pPr>
          </w:p>
        </w:tc>
        <w:tc>
          <w:tcPr>
            <w:tcW w:w="533" w:type="dxa"/>
            <w:vMerge w:val="continue"/>
            <w:vAlign w:val="center"/>
          </w:tcPr>
          <w:p w14:paraId="78DF69C0">
            <w:pPr>
              <w:pStyle w:val="22"/>
              <w:bidi w:val="0"/>
              <w:jc w:val="center"/>
              <w:rPr>
                <w:rFonts w:hint="default" w:ascii="Times New Roman" w:hAnsi="Times New Roman" w:cs="Times New Roman"/>
                <w:highlight w:val="none"/>
              </w:rPr>
            </w:pPr>
          </w:p>
        </w:tc>
        <w:tc>
          <w:tcPr>
            <w:tcW w:w="1033" w:type="dxa"/>
            <w:vAlign w:val="center"/>
          </w:tcPr>
          <w:p w14:paraId="544EFAD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叶须鱼属</w:t>
            </w:r>
          </w:p>
        </w:tc>
        <w:tc>
          <w:tcPr>
            <w:tcW w:w="1405" w:type="dxa"/>
            <w:vAlign w:val="center"/>
          </w:tcPr>
          <w:p w14:paraId="25534D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6.裸腹叶须鱼</w:t>
            </w:r>
          </w:p>
        </w:tc>
        <w:tc>
          <w:tcPr>
            <w:tcW w:w="1767" w:type="dxa"/>
            <w:vAlign w:val="center"/>
          </w:tcPr>
          <w:p w14:paraId="593751A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Ptychobarbus kaznakovi</w:t>
            </w:r>
          </w:p>
        </w:tc>
        <w:tc>
          <w:tcPr>
            <w:tcW w:w="978" w:type="dxa"/>
            <w:vAlign w:val="center"/>
          </w:tcPr>
          <w:p w14:paraId="4CEC1928">
            <w:pPr>
              <w:pStyle w:val="22"/>
              <w:bidi w:val="0"/>
              <w:jc w:val="center"/>
              <w:rPr>
                <w:rFonts w:hint="default" w:ascii="Times New Roman" w:hAnsi="Times New Roman" w:cs="Times New Roman"/>
                <w:highlight w:val="none"/>
              </w:rPr>
            </w:pPr>
          </w:p>
        </w:tc>
        <w:tc>
          <w:tcPr>
            <w:tcW w:w="772" w:type="dxa"/>
            <w:vAlign w:val="center"/>
          </w:tcPr>
          <w:p w14:paraId="1970B413">
            <w:pPr>
              <w:pStyle w:val="22"/>
              <w:bidi w:val="0"/>
              <w:jc w:val="center"/>
              <w:rPr>
                <w:rFonts w:hint="default" w:ascii="Times New Roman" w:hAnsi="Times New Roman" w:cs="Times New Roman"/>
                <w:highlight w:val="none"/>
              </w:rPr>
            </w:pPr>
          </w:p>
        </w:tc>
        <w:tc>
          <w:tcPr>
            <w:tcW w:w="1045" w:type="dxa"/>
            <w:vAlign w:val="center"/>
          </w:tcPr>
          <w:p w14:paraId="670BF035">
            <w:pPr>
              <w:pStyle w:val="22"/>
              <w:bidi w:val="0"/>
              <w:jc w:val="center"/>
              <w:rPr>
                <w:rFonts w:hint="default" w:ascii="Times New Roman" w:hAnsi="Times New Roman" w:cs="Times New Roman"/>
                <w:highlight w:val="none"/>
              </w:rPr>
            </w:pPr>
          </w:p>
        </w:tc>
      </w:tr>
      <w:tr w14:paraId="78378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4" w:hRule="atLeast"/>
        </w:trPr>
        <w:tc>
          <w:tcPr>
            <w:tcW w:w="675" w:type="dxa"/>
            <w:vMerge w:val="continue"/>
            <w:vAlign w:val="center"/>
          </w:tcPr>
          <w:p w14:paraId="51A08BF9">
            <w:pPr>
              <w:pStyle w:val="22"/>
              <w:bidi w:val="0"/>
              <w:jc w:val="center"/>
              <w:rPr>
                <w:rFonts w:hint="default" w:ascii="Times New Roman" w:hAnsi="Times New Roman" w:cs="Times New Roman"/>
                <w:highlight w:val="none"/>
              </w:rPr>
            </w:pPr>
          </w:p>
        </w:tc>
        <w:tc>
          <w:tcPr>
            <w:tcW w:w="533" w:type="dxa"/>
            <w:vMerge w:val="continue"/>
            <w:vAlign w:val="center"/>
          </w:tcPr>
          <w:p w14:paraId="527721A0">
            <w:pPr>
              <w:pStyle w:val="22"/>
              <w:bidi w:val="0"/>
              <w:jc w:val="center"/>
              <w:rPr>
                <w:rFonts w:hint="default" w:ascii="Times New Roman" w:hAnsi="Times New Roman" w:cs="Times New Roman"/>
                <w:highlight w:val="none"/>
              </w:rPr>
            </w:pPr>
          </w:p>
        </w:tc>
        <w:tc>
          <w:tcPr>
            <w:tcW w:w="1033" w:type="dxa"/>
            <w:vAlign w:val="center"/>
          </w:tcPr>
          <w:p w14:paraId="717532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裸裂尻鱼属</w:t>
            </w:r>
          </w:p>
        </w:tc>
        <w:tc>
          <w:tcPr>
            <w:tcW w:w="1405" w:type="dxa"/>
            <w:vAlign w:val="center"/>
          </w:tcPr>
          <w:p w14:paraId="200C07E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7.软刺裸裂尻鱼</w:t>
            </w:r>
          </w:p>
        </w:tc>
        <w:tc>
          <w:tcPr>
            <w:tcW w:w="1767" w:type="dxa"/>
            <w:vAlign w:val="center"/>
          </w:tcPr>
          <w:p w14:paraId="47FBE6A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Schizopygopsis malacanthus</w:t>
            </w:r>
          </w:p>
        </w:tc>
        <w:tc>
          <w:tcPr>
            <w:tcW w:w="978" w:type="dxa"/>
            <w:vAlign w:val="center"/>
          </w:tcPr>
          <w:p w14:paraId="085AFF3D">
            <w:pPr>
              <w:pStyle w:val="22"/>
              <w:bidi w:val="0"/>
              <w:jc w:val="center"/>
              <w:rPr>
                <w:rFonts w:hint="default" w:ascii="Times New Roman" w:hAnsi="Times New Roman" w:cs="Times New Roman"/>
                <w:highlight w:val="none"/>
              </w:rPr>
            </w:pPr>
          </w:p>
        </w:tc>
        <w:tc>
          <w:tcPr>
            <w:tcW w:w="772" w:type="dxa"/>
            <w:vAlign w:val="center"/>
          </w:tcPr>
          <w:p w14:paraId="79BA5295">
            <w:pPr>
              <w:pStyle w:val="22"/>
              <w:bidi w:val="0"/>
              <w:jc w:val="center"/>
              <w:rPr>
                <w:rFonts w:hint="default" w:ascii="Times New Roman" w:hAnsi="Times New Roman" w:cs="Times New Roman"/>
                <w:highlight w:val="none"/>
              </w:rPr>
            </w:pPr>
          </w:p>
        </w:tc>
        <w:tc>
          <w:tcPr>
            <w:tcW w:w="1045" w:type="dxa"/>
            <w:vAlign w:val="center"/>
          </w:tcPr>
          <w:p w14:paraId="185009B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13944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4" w:hRule="atLeast"/>
        </w:trPr>
        <w:tc>
          <w:tcPr>
            <w:tcW w:w="675" w:type="dxa"/>
            <w:vMerge w:val="restart"/>
            <w:vAlign w:val="center"/>
          </w:tcPr>
          <w:p w14:paraId="3E902B1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鲇形目</w:t>
            </w:r>
          </w:p>
        </w:tc>
        <w:tc>
          <w:tcPr>
            <w:tcW w:w="533" w:type="dxa"/>
            <w:vMerge w:val="restart"/>
            <w:vAlign w:val="center"/>
          </w:tcPr>
          <w:p w14:paraId="63425DC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鮡科</w:t>
            </w:r>
          </w:p>
        </w:tc>
        <w:tc>
          <w:tcPr>
            <w:tcW w:w="1033" w:type="dxa"/>
            <w:vMerge w:val="restart"/>
            <w:vAlign w:val="center"/>
          </w:tcPr>
          <w:p w14:paraId="17EB2BD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石爬鮡属</w:t>
            </w:r>
          </w:p>
        </w:tc>
        <w:tc>
          <w:tcPr>
            <w:tcW w:w="1405" w:type="dxa"/>
            <w:vAlign w:val="center"/>
          </w:tcPr>
          <w:p w14:paraId="75CF13E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8.青石爬鮡</w:t>
            </w:r>
          </w:p>
        </w:tc>
        <w:tc>
          <w:tcPr>
            <w:tcW w:w="1767" w:type="dxa"/>
            <w:vAlign w:val="center"/>
          </w:tcPr>
          <w:p w14:paraId="69B1A84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Euchiloglanis davidi</w:t>
            </w:r>
          </w:p>
        </w:tc>
        <w:tc>
          <w:tcPr>
            <w:tcW w:w="978" w:type="dxa"/>
            <w:vAlign w:val="center"/>
          </w:tcPr>
          <w:p w14:paraId="0EE0E45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772" w:type="dxa"/>
            <w:vAlign w:val="center"/>
          </w:tcPr>
          <w:p w14:paraId="704C2969">
            <w:pPr>
              <w:pStyle w:val="22"/>
              <w:bidi w:val="0"/>
              <w:jc w:val="center"/>
              <w:rPr>
                <w:rFonts w:hint="default" w:ascii="Times New Roman" w:hAnsi="Times New Roman" w:cs="Times New Roman"/>
                <w:highlight w:val="none"/>
              </w:rPr>
            </w:pPr>
          </w:p>
        </w:tc>
        <w:tc>
          <w:tcPr>
            <w:tcW w:w="1045" w:type="dxa"/>
            <w:vAlign w:val="center"/>
          </w:tcPr>
          <w:p w14:paraId="78FD176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66CDD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4" w:hRule="atLeast"/>
        </w:trPr>
        <w:tc>
          <w:tcPr>
            <w:tcW w:w="675" w:type="dxa"/>
            <w:vMerge w:val="continue"/>
            <w:vAlign w:val="center"/>
          </w:tcPr>
          <w:p w14:paraId="296E9048">
            <w:pPr>
              <w:pStyle w:val="22"/>
              <w:bidi w:val="0"/>
              <w:jc w:val="center"/>
              <w:rPr>
                <w:rFonts w:hint="default" w:ascii="Times New Roman" w:hAnsi="Times New Roman" w:cs="Times New Roman"/>
                <w:highlight w:val="none"/>
              </w:rPr>
            </w:pPr>
          </w:p>
        </w:tc>
        <w:tc>
          <w:tcPr>
            <w:tcW w:w="533" w:type="dxa"/>
            <w:vMerge w:val="continue"/>
            <w:vAlign w:val="center"/>
          </w:tcPr>
          <w:p w14:paraId="638DAEC6">
            <w:pPr>
              <w:pStyle w:val="22"/>
              <w:bidi w:val="0"/>
              <w:jc w:val="center"/>
              <w:rPr>
                <w:rFonts w:hint="default" w:ascii="Times New Roman" w:hAnsi="Times New Roman" w:cs="Times New Roman"/>
                <w:highlight w:val="none"/>
              </w:rPr>
            </w:pPr>
          </w:p>
        </w:tc>
        <w:tc>
          <w:tcPr>
            <w:tcW w:w="1033" w:type="dxa"/>
            <w:vMerge w:val="continue"/>
            <w:vAlign w:val="center"/>
          </w:tcPr>
          <w:p w14:paraId="3FB5FE47">
            <w:pPr>
              <w:pStyle w:val="22"/>
              <w:bidi w:val="0"/>
              <w:jc w:val="center"/>
              <w:rPr>
                <w:rFonts w:hint="default" w:ascii="Times New Roman" w:hAnsi="Times New Roman" w:cs="Times New Roman"/>
                <w:highlight w:val="none"/>
              </w:rPr>
            </w:pPr>
          </w:p>
        </w:tc>
        <w:tc>
          <w:tcPr>
            <w:tcW w:w="1405" w:type="dxa"/>
            <w:vAlign w:val="center"/>
          </w:tcPr>
          <w:p w14:paraId="245C21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9.黄石爬鮡</w:t>
            </w:r>
          </w:p>
        </w:tc>
        <w:tc>
          <w:tcPr>
            <w:tcW w:w="1767" w:type="dxa"/>
            <w:vAlign w:val="center"/>
          </w:tcPr>
          <w:p w14:paraId="7B634EC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Euchiloglanis kishinouyei</w:t>
            </w:r>
          </w:p>
        </w:tc>
        <w:tc>
          <w:tcPr>
            <w:tcW w:w="978" w:type="dxa"/>
            <w:vAlign w:val="center"/>
          </w:tcPr>
          <w:p w14:paraId="48034399">
            <w:pPr>
              <w:pStyle w:val="22"/>
              <w:bidi w:val="0"/>
              <w:jc w:val="center"/>
              <w:rPr>
                <w:rFonts w:hint="default" w:ascii="Times New Roman" w:hAnsi="Times New Roman" w:cs="Times New Roman"/>
                <w:highlight w:val="none"/>
              </w:rPr>
            </w:pPr>
          </w:p>
        </w:tc>
        <w:tc>
          <w:tcPr>
            <w:tcW w:w="772" w:type="dxa"/>
            <w:vAlign w:val="center"/>
          </w:tcPr>
          <w:p w14:paraId="2DC96B71">
            <w:pPr>
              <w:pStyle w:val="22"/>
              <w:bidi w:val="0"/>
              <w:jc w:val="center"/>
              <w:rPr>
                <w:rFonts w:hint="default" w:ascii="Times New Roman" w:hAnsi="Times New Roman" w:cs="Times New Roman"/>
                <w:highlight w:val="none"/>
              </w:rPr>
            </w:pPr>
          </w:p>
        </w:tc>
        <w:tc>
          <w:tcPr>
            <w:tcW w:w="1045" w:type="dxa"/>
            <w:vAlign w:val="center"/>
          </w:tcPr>
          <w:p w14:paraId="0BAFBE4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bl>
    <w:p w14:paraId="2F123C58">
      <w:pPr>
        <w:bidi w:val="0"/>
        <w:rPr>
          <w:rFonts w:hint="default" w:ascii="Times New Roman" w:hAnsi="Times New Roman" w:cs="Times New Roman"/>
          <w:b/>
          <w:bCs/>
          <w:highlight w:val="none"/>
          <w:lang w:val="en-US" w:eastAsia="zh-CN"/>
        </w:rPr>
      </w:pPr>
      <w:r>
        <w:rPr>
          <w:rFonts w:hint="default" w:ascii="Times New Roman" w:hAnsi="Times New Roman" w:cs="Times New Roman"/>
          <w:highlight w:val="none"/>
          <w:lang w:val="en-US" w:eastAsia="zh-CN"/>
        </w:rPr>
        <w:t>本次调查在整个调查河段采集到鱼类5种，隶属于1目2科5属5种。从鱼类种类比例上看，全属于鲤形目种类，鳅科鱼类2种，占总种类的40%，鲤科</w:t>
      </w:r>
      <w:r>
        <w:rPr>
          <w:rFonts w:hint="eastAsia" w:cs="Times New Roman"/>
          <w:highlight w:val="none"/>
          <w:lang w:val="en-US" w:eastAsia="zh-CN"/>
        </w:rPr>
        <w:t>鱼</w:t>
      </w:r>
      <w:r>
        <w:rPr>
          <w:rFonts w:hint="default" w:ascii="Times New Roman" w:hAnsi="Times New Roman" w:cs="Times New Roman"/>
          <w:highlight w:val="none"/>
          <w:lang w:val="en-US" w:eastAsia="zh-CN"/>
        </w:rPr>
        <w:t>类3种，占总种类的60%。</w:t>
      </w:r>
      <w:r>
        <w:rPr>
          <w:rFonts w:hint="default" w:ascii="Times New Roman" w:hAnsi="Times New Roman" w:cs="Times New Roman"/>
          <w:b/>
          <w:bCs/>
          <w:highlight w:val="none"/>
          <w:lang w:val="en-US" w:eastAsia="zh-CN"/>
        </w:rPr>
        <w:t>所有的渔获物均在冷龙沟与硕曲河汇合口附近的硕曲河干流河段采集</w:t>
      </w:r>
      <w:r>
        <w:rPr>
          <w:rFonts w:hint="default" w:ascii="Times New Roman" w:hAnsi="Times New Roman" w:cs="Times New Roman"/>
          <w:b w:val="0"/>
          <w:bCs w:val="0"/>
          <w:highlight w:val="none"/>
          <w:lang w:val="en-US" w:eastAsia="zh-CN"/>
        </w:rPr>
        <w:t>，</w:t>
      </w:r>
      <w:r>
        <w:rPr>
          <w:rFonts w:hint="default" w:ascii="Times New Roman" w:hAnsi="Times New Roman" w:cs="Times New Roman"/>
          <w:b/>
          <w:bCs/>
          <w:highlight w:val="none"/>
          <w:lang w:val="en-US" w:eastAsia="zh-CN"/>
        </w:rPr>
        <w:t>冷龙沟干流及支流未采集到鱼类。</w:t>
      </w:r>
    </w:p>
    <w:p w14:paraId="15B93518">
      <w:pPr>
        <w:pStyle w:val="11"/>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评价区鱼类物种组成表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960"/>
        <w:gridCol w:w="1905"/>
        <w:gridCol w:w="1995"/>
        <w:gridCol w:w="2723"/>
      </w:tblGrid>
      <w:tr w14:paraId="5BA6F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tcPr>
          <w:p w14:paraId="2979A2A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目</w:t>
            </w:r>
          </w:p>
        </w:tc>
        <w:tc>
          <w:tcPr>
            <w:tcW w:w="960" w:type="dxa"/>
            <w:vAlign w:val="center"/>
          </w:tcPr>
          <w:p w14:paraId="141C9151">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科</w:t>
            </w:r>
          </w:p>
        </w:tc>
        <w:tc>
          <w:tcPr>
            <w:tcW w:w="1905" w:type="dxa"/>
            <w:vAlign w:val="center"/>
          </w:tcPr>
          <w:p w14:paraId="72BD9083">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属</w:t>
            </w:r>
          </w:p>
        </w:tc>
        <w:tc>
          <w:tcPr>
            <w:tcW w:w="1995" w:type="dxa"/>
            <w:vAlign w:val="center"/>
          </w:tcPr>
          <w:p w14:paraId="10E7022F">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种</w:t>
            </w:r>
          </w:p>
        </w:tc>
        <w:tc>
          <w:tcPr>
            <w:tcW w:w="2723" w:type="dxa"/>
            <w:vAlign w:val="center"/>
          </w:tcPr>
          <w:p w14:paraId="1B6EF26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拉丁名</w:t>
            </w:r>
          </w:p>
        </w:tc>
      </w:tr>
      <w:tr w14:paraId="07DE4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Merge w:val="restart"/>
            <w:vAlign w:val="center"/>
          </w:tcPr>
          <w:p w14:paraId="10A8E58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鲤形</w:t>
            </w:r>
            <w:r>
              <w:rPr>
                <w:rFonts w:hint="eastAsia" w:cs="Times New Roman"/>
                <w:highlight w:val="none"/>
                <w:lang w:val="en-US" w:eastAsia="zh-CN"/>
              </w:rPr>
              <w:t>目</w:t>
            </w:r>
          </w:p>
        </w:tc>
        <w:tc>
          <w:tcPr>
            <w:tcW w:w="960" w:type="dxa"/>
            <w:vMerge w:val="restart"/>
            <w:vAlign w:val="center"/>
          </w:tcPr>
          <w:p w14:paraId="5604150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鳅科</w:t>
            </w:r>
          </w:p>
        </w:tc>
        <w:tc>
          <w:tcPr>
            <w:tcW w:w="1905" w:type="dxa"/>
            <w:vAlign w:val="center"/>
          </w:tcPr>
          <w:p w14:paraId="5BEDC1BF">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山</w:t>
            </w:r>
            <w:r>
              <w:rPr>
                <w:rFonts w:hint="default" w:ascii="Times New Roman" w:hAnsi="Times New Roman" w:cs="Times New Roman"/>
                <w:highlight w:val="none"/>
                <w:lang w:val="en-US" w:eastAsia="zh-CN"/>
              </w:rPr>
              <w:t>鳅属</w:t>
            </w:r>
          </w:p>
        </w:tc>
        <w:tc>
          <w:tcPr>
            <w:tcW w:w="1995" w:type="dxa"/>
            <w:vAlign w:val="center"/>
          </w:tcPr>
          <w:p w14:paraId="46873239">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1.戴</w:t>
            </w:r>
            <w:r>
              <w:rPr>
                <w:rFonts w:hint="eastAsia" w:cs="Times New Roman"/>
                <w:highlight w:val="none"/>
                <w:lang w:val="en-US" w:eastAsia="zh-CN"/>
              </w:rPr>
              <w:t>氏山</w:t>
            </w:r>
            <w:r>
              <w:rPr>
                <w:rFonts w:hint="default" w:ascii="Times New Roman" w:hAnsi="Times New Roman" w:cs="Times New Roman"/>
                <w:highlight w:val="none"/>
                <w:lang w:val="en-US" w:eastAsia="zh-CN"/>
              </w:rPr>
              <w:t>鳅</w:t>
            </w:r>
          </w:p>
        </w:tc>
        <w:tc>
          <w:tcPr>
            <w:tcW w:w="2723" w:type="dxa"/>
            <w:vAlign w:val="center"/>
          </w:tcPr>
          <w:p w14:paraId="401D17EA">
            <w:pPr>
              <w:pStyle w:val="22"/>
              <w:bidi w:val="0"/>
              <w:jc w:val="center"/>
              <w:rPr>
                <w:rFonts w:hint="default" w:ascii="Times New Roman" w:hAnsi="Times New Roman" w:cs="Times New Roman"/>
                <w:i/>
                <w:iCs w:val="0"/>
                <w:highlight w:val="none"/>
                <w:lang w:val="en-US" w:eastAsia="zh-CN"/>
              </w:rPr>
            </w:pPr>
            <w:r>
              <w:rPr>
                <w:rFonts w:hint="default" w:ascii="Times New Roman" w:hAnsi="Times New Roman" w:cs="Times New Roman"/>
                <w:i/>
                <w:iCs w:val="0"/>
                <w:highlight w:val="none"/>
                <w:lang w:val="en-US" w:eastAsia="zh-CN"/>
              </w:rPr>
              <w:t>Oreias dabryi</w:t>
            </w:r>
          </w:p>
        </w:tc>
      </w:tr>
      <w:tr w14:paraId="45157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Merge w:val="continue"/>
            <w:vAlign w:val="center"/>
          </w:tcPr>
          <w:p w14:paraId="363E2E0A">
            <w:pPr>
              <w:pStyle w:val="22"/>
              <w:bidi w:val="0"/>
              <w:jc w:val="center"/>
              <w:rPr>
                <w:rFonts w:hint="default" w:ascii="Times New Roman" w:hAnsi="Times New Roman" w:cs="Times New Roman"/>
                <w:highlight w:val="none"/>
                <w:lang w:val="en-US" w:eastAsia="zh-CN"/>
              </w:rPr>
            </w:pPr>
          </w:p>
        </w:tc>
        <w:tc>
          <w:tcPr>
            <w:tcW w:w="960" w:type="dxa"/>
            <w:vMerge w:val="continue"/>
            <w:vAlign w:val="center"/>
          </w:tcPr>
          <w:p w14:paraId="3C2DFC01">
            <w:pPr>
              <w:pStyle w:val="22"/>
              <w:bidi w:val="0"/>
              <w:jc w:val="center"/>
              <w:rPr>
                <w:rFonts w:hint="default" w:ascii="Times New Roman" w:hAnsi="Times New Roman" w:cs="Times New Roman"/>
                <w:highlight w:val="none"/>
                <w:lang w:val="en-US" w:eastAsia="zh-CN"/>
              </w:rPr>
            </w:pPr>
          </w:p>
        </w:tc>
        <w:tc>
          <w:tcPr>
            <w:tcW w:w="1905" w:type="dxa"/>
            <w:vAlign w:val="center"/>
          </w:tcPr>
          <w:p w14:paraId="683D9FC6">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高</w:t>
            </w:r>
            <w:r>
              <w:rPr>
                <w:rFonts w:hint="default" w:ascii="Times New Roman" w:hAnsi="Times New Roman" w:cs="Times New Roman"/>
                <w:highlight w:val="none"/>
                <w:lang w:val="en-US" w:eastAsia="zh-CN"/>
              </w:rPr>
              <w:t>原鳅属</w:t>
            </w:r>
          </w:p>
        </w:tc>
        <w:tc>
          <w:tcPr>
            <w:tcW w:w="1995" w:type="dxa"/>
            <w:vAlign w:val="center"/>
          </w:tcPr>
          <w:p w14:paraId="75AE5D7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2.斯</w:t>
            </w:r>
            <w:r>
              <w:rPr>
                <w:rFonts w:hint="eastAsia" w:cs="Times New Roman"/>
                <w:highlight w:val="none"/>
                <w:lang w:val="en-US" w:eastAsia="zh-CN"/>
              </w:rPr>
              <w:t>氏</w:t>
            </w:r>
            <w:r>
              <w:rPr>
                <w:rFonts w:hint="default" w:ascii="Times New Roman" w:hAnsi="Times New Roman" w:cs="Times New Roman"/>
                <w:highlight w:val="none"/>
                <w:lang w:val="en-US" w:eastAsia="zh-CN"/>
              </w:rPr>
              <w:t>高原鳅</w:t>
            </w:r>
          </w:p>
        </w:tc>
        <w:tc>
          <w:tcPr>
            <w:tcW w:w="2723" w:type="dxa"/>
            <w:vAlign w:val="center"/>
          </w:tcPr>
          <w:p w14:paraId="3714A89B">
            <w:pPr>
              <w:pStyle w:val="22"/>
              <w:bidi w:val="0"/>
              <w:jc w:val="center"/>
              <w:rPr>
                <w:rFonts w:hint="default" w:ascii="Times New Roman" w:hAnsi="Times New Roman" w:cs="Times New Roman"/>
                <w:i/>
                <w:iCs w:val="0"/>
                <w:highlight w:val="none"/>
                <w:lang w:val="en-US" w:eastAsia="zh-CN"/>
              </w:rPr>
            </w:pPr>
            <w:r>
              <w:rPr>
                <w:rFonts w:hint="default" w:ascii="Times New Roman" w:hAnsi="Times New Roman" w:cs="Times New Roman"/>
                <w:i/>
                <w:iCs w:val="0"/>
                <w:highlight w:val="none"/>
                <w:lang w:val="en-US" w:eastAsia="zh-CN"/>
              </w:rPr>
              <w:t>Triplophy sastoliczkae</w:t>
            </w:r>
          </w:p>
        </w:tc>
      </w:tr>
      <w:tr w14:paraId="2EB6B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Merge w:val="continue"/>
            <w:vAlign w:val="center"/>
          </w:tcPr>
          <w:p w14:paraId="2AAD922E">
            <w:pPr>
              <w:pStyle w:val="22"/>
              <w:bidi w:val="0"/>
              <w:jc w:val="center"/>
              <w:rPr>
                <w:rFonts w:hint="default" w:ascii="Times New Roman" w:hAnsi="Times New Roman" w:cs="Times New Roman"/>
                <w:highlight w:val="none"/>
                <w:lang w:val="en-US" w:eastAsia="zh-CN"/>
              </w:rPr>
            </w:pPr>
          </w:p>
        </w:tc>
        <w:tc>
          <w:tcPr>
            <w:tcW w:w="960" w:type="dxa"/>
            <w:vMerge w:val="restart"/>
            <w:vAlign w:val="center"/>
          </w:tcPr>
          <w:p w14:paraId="042832B2">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鲤科</w:t>
            </w:r>
          </w:p>
        </w:tc>
        <w:tc>
          <w:tcPr>
            <w:tcW w:w="1905" w:type="dxa"/>
            <w:vAlign w:val="center"/>
          </w:tcPr>
          <w:p w14:paraId="1543F7C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裂腹</w:t>
            </w:r>
            <w:r>
              <w:rPr>
                <w:rFonts w:hint="eastAsia" w:cs="Times New Roman"/>
                <w:highlight w:val="none"/>
                <w:lang w:val="en-US" w:eastAsia="zh-CN"/>
              </w:rPr>
              <w:t>鱼</w:t>
            </w:r>
            <w:r>
              <w:rPr>
                <w:rFonts w:hint="default" w:ascii="Times New Roman" w:hAnsi="Times New Roman" w:cs="Times New Roman"/>
                <w:highlight w:val="none"/>
                <w:lang w:val="en-US" w:eastAsia="zh-CN"/>
              </w:rPr>
              <w:t>属</w:t>
            </w:r>
          </w:p>
        </w:tc>
        <w:tc>
          <w:tcPr>
            <w:tcW w:w="1995" w:type="dxa"/>
            <w:vAlign w:val="center"/>
          </w:tcPr>
          <w:p w14:paraId="03B8572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r>
              <w:rPr>
                <w:rFonts w:hint="eastAsia" w:cs="Times New Roman"/>
                <w:highlight w:val="none"/>
                <w:lang w:val="en-US" w:eastAsia="zh-CN"/>
              </w:rPr>
              <w:t>长</w:t>
            </w:r>
            <w:r>
              <w:rPr>
                <w:rFonts w:hint="default" w:ascii="Times New Roman" w:hAnsi="Times New Roman" w:cs="Times New Roman"/>
                <w:highlight w:val="none"/>
                <w:lang w:val="en-US" w:eastAsia="zh-CN"/>
              </w:rPr>
              <w:t>丝裂腹</w:t>
            </w:r>
            <w:r>
              <w:rPr>
                <w:rFonts w:hint="eastAsia" w:cs="Times New Roman"/>
                <w:highlight w:val="none"/>
                <w:lang w:val="en-US" w:eastAsia="zh-CN"/>
              </w:rPr>
              <w:t>鱼</w:t>
            </w:r>
          </w:p>
        </w:tc>
        <w:tc>
          <w:tcPr>
            <w:tcW w:w="2723" w:type="dxa"/>
            <w:vAlign w:val="center"/>
          </w:tcPr>
          <w:p w14:paraId="4AB560B8">
            <w:pPr>
              <w:pStyle w:val="22"/>
              <w:bidi w:val="0"/>
              <w:jc w:val="center"/>
              <w:rPr>
                <w:rFonts w:hint="default" w:ascii="Times New Roman" w:hAnsi="Times New Roman" w:cs="Times New Roman"/>
                <w:i/>
                <w:iCs w:val="0"/>
                <w:highlight w:val="none"/>
                <w:lang w:val="en-US" w:eastAsia="zh-CN"/>
              </w:rPr>
            </w:pPr>
            <w:r>
              <w:rPr>
                <w:rFonts w:hint="default" w:ascii="Times New Roman" w:hAnsi="Times New Roman" w:cs="Times New Roman"/>
                <w:i/>
                <w:iCs w:val="0"/>
                <w:highlight w:val="none"/>
                <w:lang w:val="en-US" w:eastAsia="zh-CN"/>
              </w:rPr>
              <w:t>Schizothorax dolichonema</w:t>
            </w:r>
          </w:p>
        </w:tc>
      </w:tr>
      <w:tr w14:paraId="52AC7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Merge w:val="continue"/>
            <w:vAlign w:val="center"/>
          </w:tcPr>
          <w:p w14:paraId="223215C4">
            <w:pPr>
              <w:pStyle w:val="22"/>
              <w:bidi w:val="0"/>
              <w:jc w:val="center"/>
              <w:rPr>
                <w:rFonts w:hint="default" w:ascii="Times New Roman" w:hAnsi="Times New Roman" w:cs="Times New Roman"/>
                <w:highlight w:val="none"/>
                <w:lang w:val="en-US" w:eastAsia="zh-CN"/>
              </w:rPr>
            </w:pPr>
          </w:p>
        </w:tc>
        <w:tc>
          <w:tcPr>
            <w:tcW w:w="960" w:type="dxa"/>
            <w:vMerge w:val="continue"/>
            <w:vAlign w:val="center"/>
          </w:tcPr>
          <w:p w14:paraId="2E82B517">
            <w:pPr>
              <w:pStyle w:val="22"/>
              <w:bidi w:val="0"/>
              <w:jc w:val="center"/>
              <w:rPr>
                <w:rFonts w:hint="default" w:ascii="Times New Roman" w:hAnsi="Times New Roman" w:cs="Times New Roman"/>
                <w:highlight w:val="none"/>
                <w:lang w:val="en-US" w:eastAsia="zh-CN"/>
              </w:rPr>
            </w:pPr>
          </w:p>
        </w:tc>
        <w:tc>
          <w:tcPr>
            <w:tcW w:w="1905" w:type="dxa"/>
            <w:vAlign w:val="center"/>
          </w:tcPr>
          <w:p w14:paraId="7850ECA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叶须</w:t>
            </w:r>
            <w:r>
              <w:rPr>
                <w:rFonts w:hint="eastAsia" w:cs="Times New Roman"/>
                <w:highlight w:val="none"/>
                <w:lang w:val="en-US" w:eastAsia="zh-CN"/>
              </w:rPr>
              <w:t>鱼</w:t>
            </w:r>
            <w:r>
              <w:rPr>
                <w:rFonts w:hint="default" w:ascii="Times New Roman" w:hAnsi="Times New Roman" w:cs="Times New Roman"/>
                <w:highlight w:val="none"/>
                <w:lang w:val="en-US" w:eastAsia="zh-CN"/>
              </w:rPr>
              <w:t>属</w:t>
            </w:r>
          </w:p>
        </w:tc>
        <w:tc>
          <w:tcPr>
            <w:tcW w:w="1995" w:type="dxa"/>
            <w:vAlign w:val="center"/>
          </w:tcPr>
          <w:p w14:paraId="6C7265F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4.裸腹叶须</w:t>
            </w:r>
            <w:r>
              <w:rPr>
                <w:rFonts w:hint="eastAsia" w:cs="Times New Roman"/>
                <w:highlight w:val="none"/>
                <w:lang w:val="en-US" w:eastAsia="zh-CN"/>
              </w:rPr>
              <w:t>鱼</w:t>
            </w:r>
          </w:p>
        </w:tc>
        <w:tc>
          <w:tcPr>
            <w:tcW w:w="2723" w:type="dxa"/>
            <w:vAlign w:val="center"/>
          </w:tcPr>
          <w:p w14:paraId="73C6C766">
            <w:pPr>
              <w:pStyle w:val="22"/>
              <w:bidi w:val="0"/>
              <w:jc w:val="center"/>
              <w:rPr>
                <w:rFonts w:hint="default" w:ascii="Times New Roman" w:hAnsi="Times New Roman" w:cs="Times New Roman"/>
                <w:i/>
                <w:iCs w:val="0"/>
                <w:highlight w:val="none"/>
                <w:lang w:val="en-US" w:eastAsia="zh-CN"/>
              </w:rPr>
            </w:pPr>
            <w:r>
              <w:rPr>
                <w:rFonts w:hint="default" w:ascii="Times New Roman" w:hAnsi="Times New Roman" w:cs="Times New Roman"/>
                <w:i/>
                <w:iCs w:val="0"/>
                <w:highlight w:val="none"/>
                <w:lang w:val="en-US" w:eastAsia="zh-CN"/>
              </w:rPr>
              <w:t>Ptychobarbus kaznakovi</w:t>
            </w:r>
          </w:p>
        </w:tc>
      </w:tr>
      <w:tr w14:paraId="2D912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Merge w:val="continue"/>
            <w:vAlign w:val="center"/>
          </w:tcPr>
          <w:p w14:paraId="238815C5">
            <w:pPr>
              <w:pStyle w:val="22"/>
              <w:bidi w:val="0"/>
              <w:jc w:val="center"/>
              <w:rPr>
                <w:rFonts w:hint="default" w:ascii="Times New Roman" w:hAnsi="Times New Roman" w:cs="Times New Roman"/>
                <w:highlight w:val="none"/>
                <w:lang w:val="en-US" w:eastAsia="zh-CN"/>
              </w:rPr>
            </w:pPr>
          </w:p>
        </w:tc>
        <w:tc>
          <w:tcPr>
            <w:tcW w:w="960" w:type="dxa"/>
            <w:vMerge w:val="continue"/>
            <w:vAlign w:val="center"/>
          </w:tcPr>
          <w:p w14:paraId="32970D5C">
            <w:pPr>
              <w:pStyle w:val="22"/>
              <w:bidi w:val="0"/>
              <w:jc w:val="center"/>
              <w:rPr>
                <w:rFonts w:hint="default" w:ascii="Times New Roman" w:hAnsi="Times New Roman" w:cs="Times New Roman"/>
                <w:highlight w:val="none"/>
                <w:lang w:val="en-US" w:eastAsia="zh-CN"/>
              </w:rPr>
            </w:pPr>
          </w:p>
        </w:tc>
        <w:tc>
          <w:tcPr>
            <w:tcW w:w="1905" w:type="dxa"/>
            <w:vAlign w:val="center"/>
          </w:tcPr>
          <w:p w14:paraId="2BBAD25B">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裸裂尻</w:t>
            </w:r>
            <w:r>
              <w:rPr>
                <w:rFonts w:hint="eastAsia" w:cs="Times New Roman"/>
                <w:highlight w:val="none"/>
                <w:lang w:val="en-US" w:eastAsia="zh-CN"/>
              </w:rPr>
              <w:t>鱼</w:t>
            </w:r>
            <w:r>
              <w:rPr>
                <w:rFonts w:hint="default" w:ascii="Times New Roman" w:hAnsi="Times New Roman" w:cs="Times New Roman"/>
                <w:highlight w:val="none"/>
                <w:lang w:val="en-US" w:eastAsia="zh-CN"/>
              </w:rPr>
              <w:t>属</w:t>
            </w:r>
          </w:p>
        </w:tc>
        <w:tc>
          <w:tcPr>
            <w:tcW w:w="1995" w:type="dxa"/>
            <w:vAlign w:val="center"/>
          </w:tcPr>
          <w:p w14:paraId="4BA5BCC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5.软刺裸裂尻</w:t>
            </w:r>
            <w:r>
              <w:rPr>
                <w:rFonts w:hint="eastAsia" w:cs="Times New Roman"/>
                <w:highlight w:val="none"/>
                <w:lang w:val="en-US" w:eastAsia="zh-CN"/>
              </w:rPr>
              <w:t>鱼</w:t>
            </w:r>
          </w:p>
        </w:tc>
        <w:tc>
          <w:tcPr>
            <w:tcW w:w="2723" w:type="dxa"/>
            <w:vAlign w:val="center"/>
          </w:tcPr>
          <w:p w14:paraId="393E94F2">
            <w:pPr>
              <w:pStyle w:val="22"/>
              <w:bidi w:val="0"/>
              <w:jc w:val="center"/>
              <w:rPr>
                <w:rFonts w:hint="default" w:ascii="Times New Roman" w:hAnsi="Times New Roman" w:cs="Times New Roman"/>
                <w:i/>
                <w:iCs w:val="0"/>
                <w:highlight w:val="none"/>
                <w:lang w:val="en-US" w:eastAsia="zh-CN"/>
              </w:rPr>
            </w:pPr>
            <w:r>
              <w:rPr>
                <w:rFonts w:hint="default" w:ascii="Times New Roman" w:hAnsi="Times New Roman" w:cs="Times New Roman"/>
                <w:i/>
                <w:iCs w:val="0"/>
                <w:highlight w:val="none"/>
                <w:lang w:val="en-US" w:eastAsia="zh-CN"/>
              </w:rPr>
              <w:t>Schizopygopsis malacanthus</w:t>
            </w:r>
          </w:p>
        </w:tc>
      </w:tr>
    </w:tbl>
    <w:p w14:paraId="07C8FB9F">
      <w:pPr>
        <w:bidi w:val="0"/>
        <w:rPr>
          <w:rFonts w:hint="default"/>
          <w:highlight w:val="none"/>
          <w:lang w:val="en-US" w:eastAsia="zh-CN"/>
        </w:rPr>
      </w:pPr>
      <w:r>
        <w:rPr>
          <w:rFonts w:hint="default"/>
          <w:highlight w:val="none"/>
          <w:lang w:val="en-US" w:eastAsia="zh-CN"/>
        </w:rPr>
        <w:t>（2）鱼类的生态类型</w:t>
      </w:r>
    </w:p>
    <w:p w14:paraId="1D4300A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按鱼类的生活习性及其主要生活环境，调查范围内分布的5种鱼类可以分为底栖性鱼类，中、下层鱼类和中、上层鱼类3种栖息习性，具体可以分成下列生态类群。</w:t>
      </w:r>
    </w:p>
    <w:p w14:paraId="25DED14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1）流水洞缝隙生态类群</w:t>
      </w:r>
    </w:p>
    <w:p w14:paraId="05C9E96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该类群鱼类主要或完全生活在流水水体底层及各种岩洞缝隙中，包括斯氏高原鳅、山鳅等。</w:t>
      </w:r>
    </w:p>
    <w:p w14:paraId="4F4C1FF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2）流水中、下层生态类群</w:t>
      </w:r>
    </w:p>
    <w:p w14:paraId="528CC39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主要或完全栖息在江河流水的中层和下层，如齐口裂腹鱼、软刺裸裂尻鱼等裂腹鱼类等。身体较长、侧扁，适应于流水、急流水中穿梭游泳，活动掠食；头部呈锥形，适应于破水前进，躯干部较长，是产生强大运动的动力源，各鳍发达，尾鳍深叉形，都是适应水体中、下层快速游泳，在急流</w:t>
      </w:r>
      <w:r>
        <w:rPr>
          <w:rFonts w:hint="eastAsia" w:cs="Times New Roman"/>
          <w:highlight w:val="none"/>
          <w:lang w:val="en-US" w:eastAsia="zh-CN"/>
        </w:rPr>
        <w:t>水</w:t>
      </w:r>
      <w:r>
        <w:rPr>
          <w:rFonts w:hint="default" w:ascii="Times New Roman" w:hAnsi="Times New Roman" w:cs="Times New Roman"/>
          <w:highlight w:val="none"/>
          <w:lang w:val="en-US" w:eastAsia="zh-CN"/>
        </w:rPr>
        <w:t>体中、下层穿梭翻滚捕食低等动物和流水急流水带来的有机食物。</w:t>
      </w:r>
    </w:p>
    <w:p w14:paraId="331881F5">
      <w:pPr>
        <w:bidi w:val="0"/>
        <w:rPr>
          <w:rFonts w:hint="default"/>
          <w:highlight w:val="none"/>
          <w:lang w:val="en-US" w:eastAsia="zh-CN"/>
        </w:rPr>
      </w:pPr>
      <w:r>
        <w:rPr>
          <w:rFonts w:hint="default"/>
          <w:highlight w:val="none"/>
          <w:lang w:val="en-US" w:eastAsia="zh-CN"/>
        </w:rPr>
        <w:t>（3）鱼类繁殖习性</w:t>
      </w:r>
    </w:p>
    <w:p w14:paraId="7277335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根据鱼类的产卵场环境条件、产卵习性及卵粒特点，可以将工程影响区域内的鱼类的繁殖习性分成以下主要类型。</w:t>
      </w:r>
    </w:p>
    <w:p w14:paraId="526F45B1">
      <w:pPr>
        <w:numPr>
          <w:ilvl w:val="0"/>
          <w:numId w:val="43"/>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产粘性卵</w:t>
      </w:r>
    </w:p>
    <w:p w14:paraId="08BDF7D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水域绝大多数鱼类为产粘性卵类群。本类群鱼类多在春夏间季节产卵，也有部分种类晚至秋季，且对产卵水域流态底质有不同的适应性，多数种类都需要一定的流水刺激。产出的卵或粘附于石砾、水草发育，或落于石缝间在激流冲击下发育。根据粘性程度不同又可以分为弱和强粘性卵两类，产弱粘性卵的种类包括鲇等；产强粘性卵的种类通常生活于激流浅滩或流速较大的河槽，产出的卵牢固地粘附在石砾表面，激流中孵化，如贝氏高原鳅和短尾高原鳅。</w:t>
      </w:r>
    </w:p>
    <w:p w14:paraId="602EFE9E">
      <w:pPr>
        <w:numPr>
          <w:ilvl w:val="0"/>
          <w:numId w:val="43"/>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产沉性卵</w:t>
      </w:r>
    </w:p>
    <w:p w14:paraId="300706D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此类群主要为裂腹鱼类，这些鱼类在产卵期间具有挖坑习性，雌鱼产具有粘性的沉性卵，兼微粘性，产卵场为卵石泥沙混合底质。具有短距离洄游的习性。卵吸水膨胀后失去粘性，受精卵沉在河流底的石缝里孵化，或被冲到深水潭中，在水流缓慢的地方孵化。</w:t>
      </w:r>
    </w:p>
    <w:p w14:paraId="7F0226D8">
      <w:pPr>
        <w:bidi w:val="0"/>
        <w:rPr>
          <w:rFonts w:hint="default"/>
          <w:highlight w:val="none"/>
          <w:lang w:val="en-US" w:eastAsia="zh-CN"/>
        </w:rPr>
      </w:pPr>
      <w:r>
        <w:rPr>
          <w:rFonts w:hint="default"/>
          <w:highlight w:val="none"/>
          <w:lang w:val="en-US" w:eastAsia="zh-CN"/>
        </w:rPr>
        <w:t>（4）鱼类食性</w:t>
      </w:r>
    </w:p>
    <w:p w14:paraId="7E4D906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摄食是鱼类的重要的生命活动之一，水域环境条件的改变将引起鱼类饵料生物种类的改变和丰度的波动，进而影响着鱼类的生长发育和繁殖等生命过程。调查水域的裂腹鱼亚科的鱼类的食性大部分属于杂食性，主要以底栖动物、水生植物枝叶、藻类等为食，其中下颌具锐利角质的鱼类如软刺裸裂尻鱼和长丝裂腹鱼等还会利用下颌发达的角质边缘在砂砾表面或泥底取着生藻类和水底植物碎屑；而调查水域的裸腹叶须鱼和高原鳅为杂食性，以底栖动物、着生藻类、植物碎片等为食。</w:t>
      </w:r>
    </w:p>
    <w:p w14:paraId="06F2F93A">
      <w:pPr>
        <w:numPr>
          <w:ilvl w:val="0"/>
          <w:numId w:val="29"/>
        </w:numPr>
        <w:bidi w:val="0"/>
        <w:rPr>
          <w:rFonts w:hint="default"/>
          <w:highlight w:val="none"/>
          <w:lang w:val="en-US" w:eastAsia="zh-CN"/>
        </w:rPr>
      </w:pPr>
      <w:r>
        <w:rPr>
          <w:rFonts w:hint="default"/>
          <w:highlight w:val="none"/>
          <w:lang w:val="en-US" w:eastAsia="zh-CN"/>
        </w:rPr>
        <w:t>资源价值</w:t>
      </w:r>
    </w:p>
    <w:p w14:paraId="1678EDA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按经济价值、珍稀程度、种群数量多少、濒危现状等将该水域9种鱼类分为以下类型：</w:t>
      </w:r>
    </w:p>
    <w:p w14:paraId="34B0B844">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1）国家重点保护鱼类</w:t>
      </w:r>
    </w:p>
    <w:p w14:paraId="373516A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无国家保护鱼类。</w:t>
      </w:r>
    </w:p>
    <w:p w14:paraId="193C7FC9">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2）四川省重点保护鱼类</w:t>
      </w:r>
    </w:p>
    <w:p w14:paraId="2C00E247">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属于四川省重点保护鱼类有长丝裂腹鱼。</w:t>
      </w:r>
    </w:p>
    <w:p w14:paraId="3219C52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长丝裂腹鱼为鲤科、裂腹鱼属鱼类。体延长，稍侧扁，吻略圆钝。口下位，近似一横裂；下唇完整，呈长条形或新月形，表面有乳突；唇后沟连续；下颌前缘具有锐利的角质。须2对，颇发达，约等长，其长度大于眼径，前须末端到达眼球中部或后缘的下方，后须末端到达眼球后缘的下方或延至前鳃盖骨。胸部自鳃峡以后有明显的鳞片。背鳍刺强，其近基部的2/3-4/5部分每侧有12-21枚显著的锯齿（在大个体较弱，下半部有细齿）；背鳍起点至吻端稍大于至尾鳍基部的距离。腹鳍基部起点一般与背鳍第1分枝鳍条相对。下咽骨较狭长，呈弧形，长度为宽度的3.0-3.9倍。下咽齿细圆，顶端尖而稍弯曲，咀嚼面凹入呈匙状，内侧1行的第1个齿很细小，约与外侧行的2个齿相等大小。鳔2室，后室长度为前室的1.5-2.0倍。肠管长，在较大个体为体长的3.0-5.0倍。腹腔膜黑色。体背部青灰色，腹侧银白色。胸鳍和腹鳍浅灰色，尾鳍红色。在清澈河流中采到的个体，背部色彩较深，体侧具黑褐色小斑点。为冷水性鱼类，通常在清澈而水流较缓的水域活动，在繁殖季节集群并作短距离的生殖洄游。摄食植物性食料，以共锐利的下颌角质边缘在岩石上刮取食物 ，主要是着生藻类（硅藻、蓝藻、绿藻），有时也食水生昆虫。达到性成熟的最小个体，雌鱼体长26.0厘米，雄鱼11.4厘米，均系4龄鱼。主要分布在金沙江和雅砻江流域。</w:t>
      </w:r>
    </w:p>
    <w:p w14:paraId="033E530A">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3）长江上游特有鱼类</w:t>
      </w:r>
    </w:p>
    <w:p w14:paraId="4FFFE5C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调查河段可能分布的长江上游特有鱼类</w:t>
      </w:r>
      <w:r>
        <w:rPr>
          <w:rFonts w:hint="eastAsia" w:cs="Times New Roman"/>
          <w:highlight w:val="none"/>
          <w:lang w:val="en-US" w:eastAsia="zh-CN"/>
        </w:rPr>
        <w:t>3</w:t>
      </w:r>
      <w:r>
        <w:rPr>
          <w:rFonts w:hint="default" w:ascii="Times New Roman" w:hAnsi="Times New Roman" w:cs="Times New Roman"/>
          <w:highlight w:val="none"/>
          <w:lang w:val="en-US" w:eastAsia="zh-CN"/>
        </w:rPr>
        <w:t>种，分别为山鳅、长丝裂腹鱼和软刺裸裂尻鱼。</w:t>
      </w:r>
    </w:p>
    <w:p w14:paraId="3E584F95">
      <w:pPr>
        <w:numPr>
          <w:ilvl w:val="0"/>
          <w:numId w:val="29"/>
        </w:numPr>
        <w:bidi w:val="0"/>
        <w:rPr>
          <w:rFonts w:hint="default"/>
          <w:highlight w:val="none"/>
          <w:lang w:val="en-US" w:eastAsia="zh-CN"/>
        </w:rPr>
      </w:pPr>
      <w:r>
        <w:rPr>
          <w:rFonts w:hint="default"/>
          <w:highlight w:val="none"/>
          <w:lang w:val="en-US" w:eastAsia="zh-CN"/>
        </w:rPr>
        <w:t>资源现状</w:t>
      </w:r>
    </w:p>
    <w:p w14:paraId="65D9097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2023年12月和2024年3月开展了两次调查，在冷龙沟与硕曲河汇合口附近的硕曲河干流河段共采集到鱼类71尾，总重4710.26g。其中鲤科鱼类共3种，占渔获物种类的60.00%，渔获物共41尾4025.26g，占渔获物总尾数的57.75%，占渔获物总重量的85.46%。鳅科鱼类2种，占渔获物种类的40.00%，渔获物共31尾685.0g，占渔获物总尾数的42.25%，占渔获物总重量的14.54%。由表中还可以看出，按捕获尾数统计，以软刺裸裂尻鱼最多，其次是斯氏高原鳅、长丝裂腹鱼和山鳅等。</w:t>
      </w:r>
    </w:p>
    <w:p w14:paraId="05C8FAA1">
      <w:pPr>
        <w:bidi w:val="0"/>
        <w:rPr>
          <w:rFonts w:hint="default" w:ascii="Times New Roman" w:hAnsi="Times New Roman" w:cs="Times New Roman"/>
          <w:highlight w:val="none"/>
          <w:lang w:val="en-US" w:eastAsia="zh-CN"/>
        </w:rPr>
      </w:pPr>
    </w:p>
    <w:p w14:paraId="43977545">
      <w:pPr>
        <w:bidi w:val="0"/>
        <w:rPr>
          <w:rFonts w:hint="default" w:ascii="Times New Roman" w:hAnsi="Times New Roman" w:cs="Times New Roman"/>
          <w:highlight w:val="none"/>
          <w:lang w:val="en-US" w:eastAsia="zh-CN"/>
        </w:rPr>
      </w:pPr>
    </w:p>
    <w:p w14:paraId="3038B859">
      <w:pPr>
        <w:pStyle w:val="11"/>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55</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流域工程影响范围内渔获物组成表</w:t>
      </w:r>
    </w:p>
    <w:tbl>
      <w:tblPr>
        <w:tblStyle w:val="24"/>
        <w:tblW w:w="8458" w:type="dxa"/>
        <w:tblInd w:w="11"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19"/>
        <w:gridCol w:w="1020"/>
        <w:gridCol w:w="1107"/>
        <w:gridCol w:w="1060"/>
        <w:gridCol w:w="1019"/>
        <w:gridCol w:w="1442"/>
        <w:gridCol w:w="1291"/>
      </w:tblGrid>
      <w:tr w14:paraId="5BD7265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519" w:type="dxa"/>
            <w:tcBorders>
              <w:top w:val="single" w:color="auto" w:sz="4" w:space="0"/>
              <w:left w:val="single" w:color="auto" w:sz="4" w:space="0"/>
              <w:bottom w:val="single" w:color="auto" w:sz="4" w:space="0"/>
              <w:right w:val="single" w:color="auto" w:sz="4" w:space="0"/>
            </w:tcBorders>
            <w:vAlign w:val="center"/>
          </w:tcPr>
          <w:p w14:paraId="125E158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种类</w:t>
            </w:r>
          </w:p>
        </w:tc>
        <w:tc>
          <w:tcPr>
            <w:tcW w:w="1020" w:type="dxa"/>
            <w:tcBorders>
              <w:top w:val="single" w:color="auto" w:sz="4" w:space="0"/>
              <w:left w:val="single" w:color="auto" w:sz="4" w:space="0"/>
              <w:bottom w:val="single" w:color="auto" w:sz="4" w:space="0"/>
              <w:right w:val="single" w:color="auto" w:sz="4" w:space="0"/>
            </w:tcBorders>
            <w:vAlign w:val="center"/>
          </w:tcPr>
          <w:p w14:paraId="3BBBB958">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rPr>
              <w:t>数量</w:t>
            </w:r>
            <w:r>
              <w:rPr>
                <w:rFonts w:hint="eastAsia" w:cs="Times New Roman"/>
                <w:highlight w:val="none"/>
                <w:lang w:val="en-US" w:eastAsia="zh-CN"/>
              </w:rPr>
              <w:t xml:space="preserve"> 尾</w:t>
            </w:r>
          </w:p>
        </w:tc>
        <w:tc>
          <w:tcPr>
            <w:tcW w:w="1107" w:type="dxa"/>
            <w:tcBorders>
              <w:top w:val="single" w:color="auto" w:sz="4" w:space="0"/>
              <w:left w:val="single" w:color="auto" w:sz="4" w:space="0"/>
              <w:bottom w:val="single" w:color="auto" w:sz="4" w:space="0"/>
              <w:right w:val="single" w:color="auto" w:sz="4" w:space="0"/>
            </w:tcBorders>
            <w:vAlign w:val="center"/>
          </w:tcPr>
          <w:p w14:paraId="20909E0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数量比%</w:t>
            </w:r>
          </w:p>
        </w:tc>
        <w:tc>
          <w:tcPr>
            <w:tcW w:w="1060" w:type="dxa"/>
            <w:tcBorders>
              <w:top w:val="single" w:color="auto" w:sz="4" w:space="0"/>
              <w:left w:val="single" w:color="auto" w:sz="4" w:space="0"/>
              <w:bottom w:val="single" w:color="auto" w:sz="4" w:space="0"/>
              <w:right w:val="single" w:color="auto" w:sz="4" w:space="0"/>
            </w:tcBorders>
            <w:vAlign w:val="center"/>
          </w:tcPr>
          <w:p w14:paraId="715CF92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重量 g</w:t>
            </w:r>
          </w:p>
        </w:tc>
        <w:tc>
          <w:tcPr>
            <w:tcW w:w="1019" w:type="dxa"/>
            <w:tcBorders>
              <w:top w:val="single" w:color="auto" w:sz="4" w:space="0"/>
              <w:left w:val="single" w:color="auto" w:sz="4" w:space="0"/>
              <w:bottom w:val="single" w:color="auto" w:sz="4" w:space="0"/>
              <w:right w:val="single" w:color="auto" w:sz="4" w:space="0"/>
            </w:tcBorders>
            <w:vAlign w:val="center"/>
          </w:tcPr>
          <w:p w14:paraId="5243CDA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重量比%</w:t>
            </w:r>
          </w:p>
        </w:tc>
        <w:tc>
          <w:tcPr>
            <w:tcW w:w="2733" w:type="dxa"/>
            <w:gridSpan w:val="2"/>
            <w:tcBorders>
              <w:top w:val="single" w:color="auto" w:sz="4" w:space="0"/>
              <w:left w:val="single" w:color="auto" w:sz="4" w:space="0"/>
              <w:bottom w:val="single" w:color="auto" w:sz="4" w:space="0"/>
              <w:right w:val="single" w:color="auto" w:sz="4" w:space="0"/>
            </w:tcBorders>
            <w:vAlign w:val="center"/>
          </w:tcPr>
          <w:p w14:paraId="4D80F20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体长范围 cm</w:t>
            </w:r>
          </w:p>
        </w:tc>
      </w:tr>
      <w:tr w14:paraId="22E993E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519" w:type="dxa"/>
            <w:tcBorders>
              <w:top w:val="single" w:color="auto" w:sz="4" w:space="0"/>
              <w:left w:val="single" w:color="auto" w:sz="4" w:space="0"/>
              <w:bottom w:val="single" w:color="auto" w:sz="4" w:space="0"/>
              <w:right w:val="single" w:color="auto" w:sz="4" w:space="0"/>
            </w:tcBorders>
            <w:vAlign w:val="center"/>
          </w:tcPr>
          <w:p w14:paraId="0FDFEC8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山鳅</w:t>
            </w:r>
          </w:p>
        </w:tc>
        <w:tc>
          <w:tcPr>
            <w:tcW w:w="1020" w:type="dxa"/>
            <w:tcBorders>
              <w:top w:val="single" w:color="auto" w:sz="4" w:space="0"/>
              <w:left w:val="single" w:color="auto" w:sz="4" w:space="0"/>
              <w:bottom w:val="single" w:color="auto" w:sz="4" w:space="0"/>
              <w:right w:val="single" w:color="auto" w:sz="4" w:space="0"/>
            </w:tcBorders>
            <w:vAlign w:val="center"/>
          </w:tcPr>
          <w:p w14:paraId="1855667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1107" w:type="dxa"/>
            <w:tcBorders>
              <w:top w:val="single" w:color="auto" w:sz="4" w:space="0"/>
              <w:left w:val="single" w:color="auto" w:sz="4" w:space="0"/>
              <w:bottom w:val="single" w:color="auto" w:sz="4" w:space="0"/>
              <w:right w:val="single" w:color="auto" w:sz="4" w:space="0"/>
            </w:tcBorders>
            <w:vAlign w:val="center"/>
          </w:tcPr>
          <w:p w14:paraId="6AA0B8D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7.04</w:t>
            </w:r>
          </w:p>
        </w:tc>
        <w:tc>
          <w:tcPr>
            <w:tcW w:w="1060" w:type="dxa"/>
            <w:tcBorders>
              <w:top w:val="single" w:color="auto" w:sz="4" w:space="0"/>
              <w:left w:val="single" w:color="auto" w:sz="4" w:space="0"/>
              <w:bottom w:val="single" w:color="auto" w:sz="4" w:space="0"/>
              <w:right w:val="single" w:color="auto" w:sz="4" w:space="0"/>
            </w:tcBorders>
            <w:vAlign w:val="center"/>
          </w:tcPr>
          <w:p w14:paraId="08908BD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77.5</w:t>
            </w:r>
          </w:p>
        </w:tc>
        <w:tc>
          <w:tcPr>
            <w:tcW w:w="1019" w:type="dxa"/>
            <w:tcBorders>
              <w:top w:val="single" w:color="auto" w:sz="4" w:space="0"/>
              <w:left w:val="single" w:color="auto" w:sz="4" w:space="0"/>
              <w:bottom w:val="single" w:color="auto" w:sz="4" w:space="0"/>
              <w:right w:val="single" w:color="auto" w:sz="4" w:space="0"/>
            </w:tcBorders>
            <w:vAlign w:val="center"/>
          </w:tcPr>
          <w:p w14:paraId="53C257A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1.65</w:t>
            </w:r>
          </w:p>
        </w:tc>
        <w:tc>
          <w:tcPr>
            <w:tcW w:w="1442" w:type="dxa"/>
            <w:tcBorders>
              <w:top w:val="single" w:color="auto" w:sz="4" w:space="0"/>
              <w:left w:val="single" w:color="auto" w:sz="4" w:space="0"/>
              <w:bottom w:val="single" w:color="auto" w:sz="4" w:space="0"/>
              <w:right w:val="single" w:color="auto" w:sz="4" w:space="0"/>
            </w:tcBorders>
            <w:vAlign w:val="center"/>
          </w:tcPr>
          <w:p w14:paraId="53D66B6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8.6</w:t>
            </w:r>
          </w:p>
        </w:tc>
        <w:tc>
          <w:tcPr>
            <w:tcW w:w="1291" w:type="dxa"/>
            <w:tcBorders>
              <w:top w:val="single" w:color="auto" w:sz="4" w:space="0"/>
              <w:left w:val="single" w:color="auto" w:sz="4" w:space="0"/>
              <w:bottom w:val="single" w:color="auto" w:sz="4" w:space="0"/>
              <w:right w:val="single" w:color="auto" w:sz="4" w:space="0"/>
            </w:tcBorders>
            <w:vAlign w:val="center"/>
          </w:tcPr>
          <w:p w14:paraId="03203CA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14.6</w:t>
            </w:r>
          </w:p>
        </w:tc>
      </w:tr>
      <w:tr w14:paraId="01DFC0E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519" w:type="dxa"/>
            <w:tcBorders>
              <w:top w:val="single" w:color="auto" w:sz="4" w:space="0"/>
              <w:left w:val="single" w:color="auto" w:sz="4" w:space="0"/>
              <w:bottom w:val="single" w:color="auto" w:sz="4" w:space="0"/>
              <w:right w:val="single" w:color="auto" w:sz="4" w:space="0"/>
            </w:tcBorders>
            <w:vAlign w:val="center"/>
          </w:tcPr>
          <w:p w14:paraId="7A84E4E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斯氏高原鳅</w:t>
            </w:r>
          </w:p>
        </w:tc>
        <w:tc>
          <w:tcPr>
            <w:tcW w:w="1020" w:type="dxa"/>
            <w:tcBorders>
              <w:top w:val="single" w:color="auto" w:sz="4" w:space="0"/>
              <w:left w:val="single" w:color="auto" w:sz="4" w:space="0"/>
              <w:bottom w:val="single" w:color="auto" w:sz="4" w:space="0"/>
              <w:right w:val="single" w:color="auto" w:sz="4" w:space="0"/>
            </w:tcBorders>
            <w:vAlign w:val="center"/>
          </w:tcPr>
          <w:p w14:paraId="79E16F4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25</w:t>
            </w:r>
          </w:p>
        </w:tc>
        <w:tc>
          <w:tcPr>
            <w:tcW w:w="1107" w:type="dxa"/>
            <w:tcBorders>
              <w:top w:val="single" w:color="auto" w:sz="4" w:space="0"/>
              <w:left w:val="single" w:color="auto" w:sz="4" w:space="0"/>
              <w:bottom w:val="single" w:color="auto" w:sz="4" w:space="0"/>
              <w:right w:val="single" w:color="auto" w:sz="4" w:space="0"/>
            </w:tcBorders>
            <w:vAlign w:val="center"/>
          </w:tcPr>
          <w:p w14:paraId="62295E3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35.21</w:t>
            </w:r>
          </w:p>
        </w:tc>
        <w:tc>
          <w:tcPr>
            <w:tcW w:w="1060" w:type="dxa"/>
            <w:tcBorders>
              <w:top w:val="single" w:color="auto" w:sz="4" w:space="0"/>
              <w:left w:val="single" w:color="auto" w:sz="4" w:space="0"/>
              <w:bottom w:val="single" w:color="auto" w:sz="4" w:space="0"/>
              <w:right w:val="single" w:color="auto" w:sz="4" w:space="0"/>
            </w:tcBorders>
            <w:vAlign w:val="center"/>
          </w:tcPr>
          <w:p w14:paraId="0E85892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607.5</w:t>
            </w:r>
          </w:p>
        </w:tc>
        <w:tc>
          <w:tcPr>
            <w:tcW w:w="1019" w:type="dxa"/>
            <w:tcBorders>
              <w:top w:val="single" w:color="auto" w:sz="4" w:space="0"/>
              <w:left w:val="single" w:color="auto" w:sz="4" w:space="0"/>
              <w:bottom w:val="single" w:color="auto" w:sz="4" w:space="0"/>
              <w:right w:val="single" w:color="auto" w:sz="4" w:space="0"/>
            </w:tcBorders>
            <w:vAlign w:val="center"/>
          </w:tcPr>
          <w:p w14:paraId="6611987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12.90</w:t>
            </w:r>
          </w:p>
        </w:tc>
        <w:tc>
          <w:tcPr>
            <w:tcW w:w="1442" w:type="dxa"/>
            <w:tcBorders>
              <w:top w:val="single" w:color="auto" w:sz="4" w:space="0"/>
              <w:left w:val="single" w:color="auto" w:sz="4" w:space="0"/>
              <w:bottom w:val="single" w:color="auto" w:sz="4" w:space="0"/>
              <w:right w:val="single" w:color="auto" w:sz="4" w:space="0"/>
            </w:tcBorders>
            <w:vAlign w:val="center"/>
          </w:tcPr>
          <w:p w14:paraId="6F2C486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9.4</w:t>
            </w:r>
          </w:p>
        </w:tc>
        <w:tc>
          <w:tcPr>
            <w:tcW w:w="1291" w:type="dxa"/>
            <w:tcBorders>
              <w:top w:val="single" w:color="auto" w:sz="4" w:space="0"/>
              <w:left w:val="single" w:color="auto" w:sz="4" w:space="0"/>
              <w:bottom w:val="single" w:color="auto" w:sz="4" w:space="0"/>
              <w:right w:val="single" w:color="auto" w:sz="4" w:space="0"/>
            </w:tcBorders>
            <w:vAlign w:val="center"/>
          </w:tcPr>
          <w:p w14:paraId="35C2A5D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15.6</w:t>
            </w:r>
          </w:p>
        </w:tc>
      </w:tr>
      <w:tr w14:paraId="196F8A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519" w:type="dxa"/>
            <w:tcBorders>
              <w:top w:val="single" w:color="auto" w:sz="4" w:space="0"/>
              <w:left w:val="single" w:color="auto" w:sz="4" w:space="0"/>
              <w:bottom w:val="single" w:color="auto" w:sz="4" w:space="0"/>
              <w:right w:val="single" w:color="auto" w:sz="4" w:space="0"/>
            </w:tcBorders>
            <w:vAlign w:val="center"/>
          </w:tcPr>
          <w:p w14:paraId="71D536A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长丝裂腹鱼</w:t>
            </w:r>
          </w:p>
        </w:tc>
        <w:tc>
          <w:tcPr>
            <w:tcW w:w="1020" w:type="dxa"/>
            <w:tcBorders>
              <w:top w:val="single" w:color="auto" w:sz="4" w:space="0"/>
              <w:left w:val="single" w:color="auto" w:sz="4" w:space="0"/>
              <w:bottom w:val="single" w:color="auto" w:sz="4" w:space="0"/>
              <w:right w:val="single" w:color="auto" w:sz="4" w:space="0"/>
            </w:tcBorders>
            <w:vAlign w:val="center"/>
          </w:tcPr>
          <w:p w14:paraId="7760A7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1107" w:type="dxa"/>
            <w:tcBorders>
              <w:top w:val="single" w:color="auto" w:sz="4" w:space="0"/>
              <w:left w:val="single" w:color="auto" w:sz="4" w:space="0"/>
              <w:bottom w:val="single" w:color="auto" w:sz="4" w:space="0"/>
              <w:right w:val="single" w:color="auto" w:sz="4" w:space="0"/>
            </w:tcBorders>
            <w:vAlign w:val="center"/>
          </w:tcPr>
          <w:p w14:paraId="66E54C3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9.86</w:t>
            </w:r>
          </w:p>
        </w:tc>
        <w:tc>
          <w:tcPr>
            <w:tcW w:w="1060" w:type="dxa"/>
            <w:tcBorders>
              <w:top w:val="single" w:color="auto" w:sz="4" w:space="0"/>
              <w:left w:val="single" w:color="auto" w:sz="4" w:space="0"/>
              <w:bottom w:val="single" w:color="auto" w:sz="4" w:space="0"/>
              <w:right w:val="single" w:color="auto" w:sz="4" w:space="0"/>
            </w:tcBorders>
            <w:vAlign w:val="center"/>
          </w:tcPr>
          <w:p w14:paraId="730030F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1724.66</w:t>
            </w:r>
          </w:p>
        </w:tc>
        <w:tc>
          <w:tcPr>
            <w:tcW w:w="1019" w:type="dxa"/>
            <w:tcBorders>
              <w:top w:val="single" w:color="auto" w:sz="4" w:space="0"/>
              <w:left w:val="single" w:color="auto" w:sz="4" w:space="0"/>
              <w:bottom w:val="single" w:color="auto" w:sz="4" w:space="0"/>
              <w:right w:val="single" w:color="auto" w:sz="4" w:space="0"/>
            </w:tcBorders>
            <w:vAlign w:val="center"/>
          </w:tcPr>
          <w:p w14:paraId="20DA1EC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36.61</w:t>
            </w:r>
          </w:p>
        </w:tc>
        <w:tc>
          <w:tcPr>
            <w:tcW w:w="1442" w:type="dxa"/>
            <w:tcBorders>
              <w:top w:val="single" w:color="auto" w:sz="4" w:space="0"/>
              <w:left w:val="single" w:color="auto" w:sz="4" w:space="0"/>
              <w:bottom w:val="single" w:color="auto" w:sz="4" w:space="0"/>
              <w:right w:val="single" w:color="auto" w:sz="4" w:space="0"/>
            </w:tcBorders>
            <w:vAlign w:val="center"/>
          </w:tcPr>
          <w:p w14:paraId="70483B8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9.7</w:t>
            </w:r>
          </w:p>
        </w:tc>
        <w:tc>
          <w:tcPr>
            <w:tcW w:w="1291" w:type="dxa"/>
            <w:tcBorders>
              <w:top w:val="single" w:color="auto" w:sz="4" w:space="0"/>
              <w:left w:val="single" w:color="auto" w:sz="4" w:space="0"/>
              <w:bottom w:val="single" w:color="auto" w:sz="4" w:space="0"/>
              <w:right w:val="single" w:color="auto" w:sz="4" w:space="0"/>
            </w:tcBorders>
            <w:vAlign w:val="center"/>
          </w:tcPr>
          <w:p w14:paraId="350FF35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27.5</w:t>
            </w:r>
          </w:p>
        </w:tc>
      </w:tr>
      <w:tr w14:paraId="2D8A57A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519" w:type="dxa"/>
            <w:tcBorders>
              <w:top w:val="single" w:color="auto" w:sz="4" w:space="0"/>
              <w:left w:val="single" w:color="auto" w:sz="4" w:space="0"/>
              <w:bottom w:val="single" w:color="auto" w:sz="4" w:space="0"/>
              <w:right w:val="single" w:color="auto" w:sz="4" w:space="0"/>
            </w:tcBorders>
            <w:vAlign w:val="center"/>
          </w:tcPr>
          <w:p w14:paraId="07EA6E7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裸腹叶须鱼</w:t>
            </w:r>
          </w:p>
        </w:tc>
        <w:tc>
          <w:tcPr>
            <w:tcW w:w="1020" w:type="dxa"/>
            <w:tcBorders>
              <w:top w:val="single" w:color="auto" w:sz="4" w:space="0"/>
              <w:left w:val="single" w:color="auto" w:sz="4" w:space="0"/>
              <w:bottom w:val="single" w:color="auto" w:sz="4" w:space="0"/>
              <w:right w:val="single" w:color="auto" w:sz="4" w:space="0"/>
            </w:tcBorders>
            <w:vAlign w:val="center"/>
          </w:tcPr>
          <w:p w14:paraId="0AC6258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107" w:type="dxa"/>
            <w:tcBorders>
              <w:top w:val="single" w:color="auto" w:sz="4" w:space="0"/>
              <w:left w:val="single" w:color="auto" w:sz="4" w:space="0"/>
              <w:bottom w:val="single" w:color="auto" w:sz="4" w:space="0"/>
              <w:right w:val="single" w:color="auto" w:sz="4" w:space="0"/>
            </w:tcBorders>
            <w:vAlign w:val="center"/>
          </w:tcPr>
          <w:p w14:paraId="49E0D17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4.23</w:t>
            </w:r>
          </w:p>
        </w:tc>
        <w:tc>
          <w:tcPr>
            <w:tcW w:w="1060" w:type="dxa"/>
            <w:tcBorders>
              <w:top w:val="single" w:color="auto" w:sz="4" w:space="0"/>
              <w:left w:val="single" w:color="auto" w:sz="4" w:space="0"/>
              <w:bottom w:val="single" w:color="auto" w:sz="4" w:space="0"/>
              <w:right w:val="single" w:color="auto" w:sz="4" w:space="0"/>
            </w:tcBorders>
            <w:vAlign w:val="center"/>
          </w:tcPr>
          <w:p w14:paraId="4B1B727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332.1</w:t>
            </w:r>
          </w:p>
        </w:tc>
        <w:tc>
          <w:tcPr>
            <w:tcW w:w="1019" w:type="dxa"/>
            <w:tcBorders>
              <w:top w:val="single" w:color="auto" w:sz="4" w:space="0"/>
              <w:left w:val="single" w:color="auto" w:sz="4" w:space="0"/>
              <w:bottom w:val="single" w:color="auto" w:sz="4" w:space="0"/>
              <w:right w:val="single" w:color="auto" w:sz="4" w:space="0"/>
            </w:tcBorders>
            <w:vAlign w:val="center"/>
          </w:tcPr>
          <w:p w14:paraId="6FA29E7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7.05</w:t>
            </w:r>
          </w:p>
        </w:tc>
        <w:tc>
          <w:tcPr>
            <w:tcW w:w="1442" w:type="dxa"/>
            <w:tcBorders>
              <w:top w:val="single" w:color="auto" w:sz="4" w:space="0"/>
              <w:left w:val="single" w:color="auto" w:sz="4" w:space="0"/>
              <w:bottom w:val="single" w:color="auto" w:sz="4" w:space="0"/>
              <w:right w:val="single" w:color="auto" w:sz="4" w:space="0"/>
            </w:tcBorders>
            <w:vAlign w:val="center"/>
          </w:tcPr>
          <w:p w14:paraId="0216DB3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14.2</w:t>
            </w:r>
          </w:p>
        </w:tc>
        <w:tc>
          <w:tcPr>
            <w:tcW w:w="1291" w:type="dxa"/>
            <w:tcBorders>
              <w:top w:val="single" w:color="auto" w:sz="4" w:space="0"/>
              <w:left w:val="single" w:color="auto" w:sz="4" w:space="0"/>
              <w:bottom w:val="single" w:color="auto" w:sz="4" w:space="0"/>
              <w:right w:val="single" w:color="auto" w:sz="4" w:space="0"/>
            </w:tcBorders>
            <w:vAlign w:val="center"/>
          </w:tcPr>
          <w:p w14:paraId="477D711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30.6</w:t>
            </w:r>
          </w:p>
        </w:tc>
      </w:tr>
      <w:tr w14:paraId="3B00B88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519" w:type="dxa"/>
            <w:tcBorders>
              <w:top w:val="single" w:color="auto" w:sz="4" w:space="0"/>
              <w:left w:val="single" w:color="auto" w:sz="4" w:space="0"/>
              <w:bottom w:val="single" w:color="auto" w:sz="4" w:space="0"/>
              <w:right w:val="single" w:color="auto" w:sz="4" w:space="0"/>
            </w:tcBorders>
            <w:vAlign w:val="center"/>
          </w:tcPr>
          <w:p w14:paraId="211BEB3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软刺裸裂尻鱼</w:t>
            </w:r>
          </w:p>
        </w:tc>
        <w:tc>
          <w:tcPr>
            <w:tcW w:w="1020" w:type="dxa"/>
            <w:tcBorders>
              <w:top w:val="single" w:color="auto" w:sz="4" w:space="0"/>
              <w:left w:val="single" w:color="auto" w:sz="4" w:space="0"/>
              <w:bottom w:val="single" w:color="auto" w:sz="4" w:space="0"/>
              <w:right w:val="single" w:color="auto" w:sz="4" w:space="0"/>
            </w:tcBorders>
            <w:vAlign w:val="center"/>
          </w:tcPr>
          <w:p w14:paraId="081DCF6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31</w:t>
            </w:r>
          </w:p>
        </w:tc>
        <w:tc>
          <w:tcPr>
            <w:tcW w:w="1107" w:type="dxa"/>
            <w:tcBorders>
              <w:top w:val="single" w:color="auto" w:sz="4" w:space="0"/>
              <w:left w:val="single" w:color="auto" w:sz="4" w:space="0"/>
              <w:bottom w:val="single" w:color="auto" w:sz="4" w:space="0"/>
              <w:right w:val="single" w:color="auto" w:sz="4" w:space="0"/>
            </w:tcBorders>
            <w:vAlign w:val="center"/>
          </w:tcPr>
          <w:p w14:paraId="6FDDD7A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43.66</w:t>
            </w:r>
          </w:p>
        </w:tc>
        <w:tc>
          <w:tcPr>
            <w:tcW w:w="1060" w:type="dxa"/>
            <w:tcBorders>
              <w:top w:val="single" w:color="auto" w:sz="4" w:space="0"/>
              <w:left w:val="single" w:color="auto" w:sz="4" w:space="0"/>
              <w:bottom w:val="single" w:color="auto" w:sz="4" w:space="0"/>
              <w:right w:val="single" w:color="auto" w:sz="4" w:space="0"/>
            </w:tcBorders>
            <w:vAlign w:val="center"/>
          </w:tcPr>
          <w:p w14:paraId="61E508C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1968.5</w:t>
            </w:r>
          </w:p>
        </w:tc>
        <w:tc>
          <w:tcPr>
            <w:tcW w:w="1019" w:type="dxa"/>
            <w:tcBorders>
              <w:top w:val="single" w:color="auto" w:sz="4" w:space="0"/>
              <w:left w:val="single" w:color="auto" w:sz="4" w:space="0"/>
              <w:bottom w:val="single" w:color="auto" w:sz="4" w:space="0"/>
              <w:right w:val="single" w:color="auto" w:sz="4" w:space="0"/>
            </w:tcBorders>
            <w:vAlign w:val="center"/>
          </w:tcPr>
          <w:p w14:paraId="7AFDA9C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41.79</w:t>
            </w:r>
          </w:p>
        </w:tc>
        <w:tc>
          <w:tcPr>
            <w:tcW w:w="1442" w:type="dxa"/>
            <w:tcBorders>
              <w:top w:val="single" w:color="auto" w:sz="4" w:space="0"/>
              <w:left w:val="single" w:color="auto" w:sz="4" w:space="0"/>
              <w:bottom w:val="single" w:color="auto" w:sz="4" w:space="0"/>
              <w:right w:val="single" w:color="auto" w:sz="4" w:space="0"/>
            </w:tcBorders>
            <w:vAlign w:val="center"/>
          </w:tcPr>
          <w:p w14:paraId="7358810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8.7</w:t>
            </w:r>
          </w:p>
        </w:tc>
        <w:tc>
          <w:tcPr>
            <w:tcW w:w="1291" w:type="dxa"/>
            <w:tcBorders>
              <w:top w:val="single" w:color="auto" w:sz="4" w:space="0"/>
              <w:left w:val="single" w:color="auto" w:sz="4" w:space="0"/>
              <w:bottom w:val="single" w:color="auto" w:sz="4" w:space="0"/>
              <w:right w:val="single" w:color="auto" w:sz="4" w:space="0"/>
            </w:tcBorders>
            <w:vAlign w:val="center"/>
          </w:tcPr>
          <w:p w14:paraId="183BD69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23.5</w:t>
            </w:r>
          </w:p>
        </w:tc>
      </w:tr>
      <w:tr w14:paraId="49BA20C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1519" w:type="dxa"/>
            <w:tcBorders>
              <w:top w:val="single" w:color="auto" w:sz="4" w:space="0"/>
              <w:left w:val="single" w:color="auto" w:sz="4" w:space="0"/>
              <w:bottom w:val="single" w:color="auto" w:sz="4" w:space="0"/>
              <w:right w:val="single" w:color="auto" w:sz="4" w:space="0"/>
            </w:tcBorders>
            <w:vAlign w:val="center"/>
          </w:tcPr>
          <w:p w14:paraId="3A6A205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总计</w:t>
            </w:r>
          </w:p>
        </w:tc>
        <w:tc>
          <w:tcPr>
            <w:tcW w:w="1020" w:type="dxa"/>
            <w:tcBorders>
              <w:top w:val="single" w:color="auto" w:sz="4" w:space="0"/>
              <w:left w:val="single" w:color="auto" w:sz="4" w:space="0"/>
              <w:bottom w:val="single" w:color="auto" w:sz="4" w:space="0"/>
              <w:right w:val="single" w:color="auto" w:sz="4" w:space="0"/>
            </w:tcBorders>
            <w:vAlign w:val="center"/>
          </w:tcPr>
          <w:p w14:paraId="758649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71</w:t>
            </w:r>
          </w:p>
        </w:tc>
        <w:tc>
          <w:tcPr>
            <w:tcW w:w="1107" w:type="dxa"/>
            <w:tcBorders>
              <w:top w:val="single" w:color="auto" w:sz="4" w:space="0"/>
              <w:left w:val="single" w:color="auto" w:sz="4" w:space="0"/>
              <w:bottom w:val="single" w:color="auto" w:sz="4" w:space="0"/>
              <w:right w:val="single" w:color="auto" w:sz="4" w:space="0"/>
            </w:tcBorders>
            <w:vAlign w:val="center"/>
          </w:tcPr>
          <w:p w14:paraId="19EC0AC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100.00</w:t>
            </w:r>
          </w:p>
        </w:tc>
        <w:tc>
          <w:tcPr>
            <w:tcW w:w="1060" w:type="dxa"/>
            <w:tcBorders>
              <w:top w:val="single" w:color="auto" w:sz="4" w:space="0"/>
              <w:left w:val="single" w:color="auto" w:sz="4" w:space="0"/>
              <w:bottom w:val="single" w:color="auto" w:sz="4" w:space="0"/>
              <w:right w:val="single" w:color="auto" w:sz="4" w:space="0"/>
            </w:tcBorders>
            <w:vAlign w:val="center"/>
          </w:tcPr>
          <w:p w14:paraId="33015BD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4710.26</w:t>
            </w:r>
          </w:p>
        </w:tc>
        <w:tc>
          <w:tcPr>
            <w:tcW w:w="1019" w:type="dxa"/>
            <w:tcBorders>
              <w:top w:val="single" w:color="auto" w:sz="4" w:space="0"/>
              <w:left w:val="single" w:color="auto" w:sz="4" w:space="0"/>
              <w:bottom w:val="single" w:color="auto" w:sz="4" w:space="0"/>
              <w:right w:val="single" w:color="auto" w:sz="4" w:space="0"/>
            </w:tcBorders>
            <w:vAlign w:val="center"/>
          </w:tcPr>
          <w:p w14:paraId="429EE1A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100</w:t>
            </w:r>
          </w:p>
        </w:tc>
        <w:tc>
          <w:tcPr>
            <w:tcW w:w="1442" w:type="dxa"/>
            <w:tcBorders>
              <w:top w:val="single" w:color="auto" w:sz="4" w:space="0"/>
              <w:left w:val="single" w:color="auto" w:sz="4" w:space="0"/>
              <w:bottom w:val="single" w:color="auto" w:sz="4" w:space="0"/>
              <w:right w:val="single" w:color="auto" w:sz="4" w:space="0"/>
            </w:tcBorders>
            <w:vAlign w:val="center"/>
          </w:tcPr>
          <w:p w14:paraId="3122F304">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c>
          <w:tcPr>
            <w:tcW w:w="1291" w:type="dxa"/>
            <w:tcBorders>
              <w:top w:val="single" w:color="auto" w:sz="4" w:space="0"/>
              <w:left w:val="single" w:color="auto" w:sz="4" w:space="0"/>
              <w:bottom w:val="single" w:color="auto" w:sz="4" w:space="0"/>
              <w:right w:val="single" w:color="auto" w:sz="4" w:space="0"/>
            </w:tcBorders>
            <w:vAlign w:val="center"/>
          </w:tcPr>
          <w:p w14:paraId="7F5DD160">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w:t>
            </w:r>
          </w:p>
        </w:tc>
      </w:tr>
    </w:tbl>
    <w:tbl>
      <w:tblPr>
        <w:tblStyle w:val="20"/>
        <w:tblW w:w="86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0"/>
        <w:gridCol w:w="4310"/>
      </w:tblGrid>
      <w:tr w14:paraId="5E5C2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0" w:type="dxa"/>
            <w:tcBorders>
              <w:top w:val="nil"/>
              <w:left w:val="nil"/>
              <w:bottom w:val="nil"/>
              <w:right w:val="nil"/>
            </w:tcBorders>
          </w:tcPr>
          <w:p w14:paraId="240A57D2">
            <w:pPr>
              <w:pStyle w:val="22"/>
              <w:bidi w:val="0"/>
              <w:rPr>
                <w:rFonts w:hint="default" w:ascii="Times New Roman" w:hAnsi="Times New Roman" w:cs="Times New Roman"/>
                <w:highlight w:val="none"/>
              </w:rPr>
            </w:pPr>
            <w:r>
              <w:rPr>
                <w:rFonts w:hint="default" w:ascii="Times New Roman" w:hAnsi="Times New Roman" w:cs="Times New Roman"/>
                <w:position w:val="-45"/>
                <w:highlight w:val="none"/>
              </w:rPr>
              <w:drawing>
                <wp:inline distT="0" distB="0" distL="0" distR="0">
                  <wp:extent cx="2590800" cy="1433195"/>
                  <wp:effectExtent l="0" t="0" r="0" b="14605"/>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36"/>
                          <a:stretch>
                            <a:fillRect/>
                          </a:stretch>
                        </pic:blipFill>
                        <pic:spPr>
                          <a:xfrm>
                            <a:off x="0" y="0"/>
                            <a:ext cx="2590800" cy="1433195"/>
                          </a:xfrm>
                          <a:prstGeom prst="rect">
                            <a:avLst/>
                          </a:prstGeom>
                        </pic:spPr>
                      </pic:pic>
                    </a:graphicData>
                  </a:graphic>
                </wp:inline>
              </w:drawing>
            </w:r>
          </w:p>
        </w:tc>
        <w:tc>
          <w:tcPr>
            <w:tcW w:w="4310" w:type="dxa"/>
            <w:tcBorders>
              <w:top w:val="nil"/>
              <w:left w:val="nil"/>
              <w:bottom w:val="nil"/>
              <w:right w:val="nil"/>
            </w:tcBorders>
          </w:tcPr>
          <w:p w14:paraId="4E41948D">
            <w:pPr>
              <w:pStyle w:val="22"/>
              <w:bidi w:val="0"/>
              <w:rPr>
                <w:rFonts w:hint="default" w:ascii="Times New Roman" w:hAnsi="Times New Roman" w:cs="Times New Roman"/>
                <w:highlight w:val="none"/>
              </w:rPr>
            </w:pPr>
            <w:r>
              <w:rPr>
                <w:rFonts w:hint="default" w:ascii="Times New Roman" w:hAnsi="Times New Roman" w:cs="Times New Roman"/>
                <w:position w:val="-42"/>
                <w:highlight w:val="none"/>
              </w:rPr>
              <w:drawing>
                <wp:inline distT="0" distB="0" distL="0" distR="0">
                  <wp:extent cx="2592070" cy="1432560"/>
                  <wp:effectExtent l="0" t="0" r="17780" b="1524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37"/>
                          <a:stretch>
                            <a:fillRect/>
                          </a:stretch>
                        </pic:blipFill>
                        <pic:spPr>
                          <a:xfrm>
                            <a:off x="0" y="0"/>
                            <a:ext cx="2592070" cy="1432560"/>
                          </a:xfrm>
                          <a:prstGeom prst="rect">
                            <a:avLst/>
                          </a:prstGeom>
                        </pic:spPr>
                      </pic:pic>
                    </a:graphicData>
                  </a:graphic>
                </wp:inline>
              </w:drawing>
            </w:r>
          </w:p>
        </w:tc>
      </w:tr>
      <w:tr w14:paraId="382A3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0" w:type="dxa"/>
            <w:tcBorders>
              <w:top w:val="nil"/>
              <w:left w:val="nil"/>
              <w:bottom w:val="nil"/>
              <w:right w:val="nil"/>
            </w:tcBorders>
          </w:tcPr>
          <w:p w14:paraId="2045251C">
            <w:pPr>
              <w:pStyle w:val="22"/>
              <w:bidi w:val="0"/>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山鳅</w:t>
            </w:r>
          </w:p>
        </w:tc>
        <w:tc>
          <w:tcPr>
            <w:tcW w:w="4310" w:type="dxa"/>
            <w:tcBorders>
              <w:top w:val="nil"/>
              <w:left w:val="nil"/>
              <w:bottom w:val="nil"/>
              <w:right w:val="nil"/>
            </w:tcBorders>
          </w:tcPr>
          <w:p w14:paraId="0BF47F42">
            <w:pPr>
              <w:pStyle w:val="22"/>
              <w:bidi w:val="0"/>
              <w:rPr>
                <w:rFonts w:hint="default" w:ascii="Times New Roman" w:hAnsi="Times New Roman" w:cs="Times New Roman"/>
                <w:highlight w:val="none"/>
              </w:rPr>
            </w:pPr>
            <w:r>
              <w:rPr>
                <w:rFonts w:hint="default" w:ascii="Times New Roman" w:hAnsi="Times New Roman" w:cs="Times New Roman"/>
                <w:highlight w:val="none"/>
              </w:rPr>
              <w:t>斯氏高原鳅</w:t>
            </w:r>
          </w:p>
        </w:tc>
      </w:tr>
      <w:tr w14:paraId="76290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0" w:type="dxa"/>
            <w:tcBorders>
              <w:top w:val="nil"/>
              <w:left w:val="nil"/>
              <w:bottom w:val="nil"/>
              <w:right w:val="nil"/>
            </w:tcBorders>
          </w:tcPr>
          <w:p w14:paraId="68ED69F7">
            <w:pPr>
              <w:pStyle w:val="22"/>
              <w:bidi w:val="0"/>
              <w:rPr>
                <w:rFonts w:hint="default" w:ascii="Times New Roman" w:hAnsi="Times New Roman" w:cs="Times New Roman"/>
                <w:highlight w:val="none"/>
              </w:rPr>
            </w:pPr>
            <w:r>
              <w:rPr>
                <w:rFonts w:hint="default" w:ascii="Times New Roman" w:hAnsi="Times New Roman" w:cs="Times New Roman"/>
                <w:position w:val="-46"/>
                <w:highlight w:val="none"/>
              </w:rPr>
              <w:drawing>
                <wp:inline distT="0" distB="0" distL="0" distR="0">
                  <wp:extent cx="2722245" cy="1485900"/>
                  <wp:effectExtent l="0" t="0" r="1905"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38"/>
                          <a:stretch>
                            <a:fillRect/>
                          </a:stretch>
                        </pic:blipFill>
                        <pic:spPr>
                          <a:xfrm>
                            <a:off x="0" y="0"/>
                            <a:ext cx="2722245" cy="1485900"/>
                          </a:xfrm>
                          <a:prstGeom prst="rect">
                            <a:avLst/>
                          </a:prstGeom>
                        </pic:spPr>
                      </pic:pic>
                    </a:graphicData>
                  </a:graphic>
                </wp:inline>
              </w:drawing>
            </w:r>
          </w:p>
        </w:tc>
        <w:tc>
          <w:tcPr>
            <w:tcW w:w="4310" w:type="dxa"/>
            <w:tcBorders>
              <w:top w:val="nil"/>
              <w:left w:val="nil"/>
              <w:bottom w:val="nil"/>
              <w:right w:val="nil"/>
            </w:tcBorders>
          </w:tcPr>
          <w:p w14:paraId="68D2BCC1">
            <w:pPr>
              <w:pStyle w:val="22"/>
              <w:bidi w:val="0"/>
              <w:rPr>
                <w:rFonts w:hint="default" w:ascii="Times New Roman" w:hAnsi="Times New Roman" w:cs="Times New Roman"/>
                <w:highlight w:val="none"/>
              </w:rPr>
            </w:pPr>
            <w:r>
              <w:rPr>
                <w:rFonts w:hint="default" w:ascii="Times New Roman" w:hAnsi="Times New Roman" w:cs="Times New Roman"/>
                <w:position w:val="-48"/>
                <w:highlight w:val="none"/>
              </w:rPr>
              <w:drawing>
                <wp:inline distT="0" distB="0" distL="0" distR="0">
                  <wp:extent cx="2508250" cy="1546860"/>
                  <wp:effectExtent l="0" t="0" r="6350" b="1524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39"/>
                          <a:stretch>
                            <a:fillRect/>
                          </a:stretch>
                        </pic:blipFill>
                        <pic:spPr>
                          <a:xfrm>
                            <a:off x="0" y="0"/>
                            <a:ext cx="2508884" cy="1547494"/>
                          </a:xfrm>
                          <a:prstGeom prst="rect">
                            <a:avLst/>
                          </a:prstGeom>
                        </pic:spPr>
                      </pic:pic>
                    </a:graphicData>
                  </a:graphic>
                </wp:inline>
              </w:drawing>
            </w:r>
          </w:p>
        </w:tc>
      </w:tr>
      <w:tr w14:paraId="104E3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0" w:type="dxa"/>
            <w:tcBorders>
              <w:top w:val="nil"/>
              <w:left w:val="nil"/>
              <w:bottom w:val="nil"/>
              <w:right w:val="nil"/>
            </w:tcBorders>
          </w:tcPr>
          <w:p w14:paraId="1B21A9B4">
            <w:pPr>
              <w:pStyle w:val="22"/>
              <w:bidi w:val="0"/>
              <w:rPr>
                <w:rFonts w:hint="default" w:ascii="Times New Roman" w:hAnsi="Times New Roman" w:cs="Times New Roman"/>
                <w:highlight w:val="none"/>
              </w:rPr>
            </w:pPr>
            <w:r>
              <w:rPr>
                <w:rFonts w:hint="default" w:ascii="Times New Roman" w:hAnsi="Times New Roman" w:cs="Times New Roman"/>
                <w:highlight w:val="none"/>
              </w:rPr>
              <w:t>长丝裂腹鱼</w:t>
            </w:r>
          </w:p>
        </w:tc>
        <w:tc>
          <w:tcPr>
            <w:tcW w:w="4310" w:type="dxa"/>
            <w:tcBorders>
              <w:top w:val="nil"/>
              <w:left w:val="nil"/>
              <w:bottom w:val="nil"/>
              <w:right w:val="nil"/>
            </w:tcBorders>
          </w:tcPr>
          <w:p w14:paraId="0C9C6D0A">
            <w:pPr>
              <w:pStyle w:val="22"/>
              <w:bidi w:val="0"/>
              <w:rPr>
                <w:rFonts w:hint="default" w:ascii="Times New Roman" w:hAnsi="Times New Roman" w:cs="Times New Roman"/>
                <w:highlight w:val="none"/>
              </w:rPr>
            </w:pPr>
            <w:r>
              <w:rPr>
                <w:rFonts w:hint="default" w:ascii="Times New Roman" w:hAnsi="Times New Roman" w:cs="Times New Roman"/>
                <w:highlight w:val="none"/>
              </w:rPr>
              <w:t>裸腹叶须鱼</w:t>
            </w:r>
          </w:p>
        </w:tc>
      </w:tr>
      <w:tr w14:paraId="4FD16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0" w:type="dxa"/>
            <w:tcBorders>
              <w:top w:val="nil"/>
              <w:left w:val="nil"/>
              <w:bottom w:val="nil"/>
              <w:right w:val="nil"/>
            </w:tcBorders>
          </w:tcPr>
          <w:p w14:paraId="5AE50F9D">
            <w:pPr>
              <w:pStyle w:val="22"/>
              <w:bidi w:val="0"/>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2514600" cy="1552575"/>
                  <wp:effectExtent l="0" t="0" r="0" b="95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40"/>
                          <a:stretch>
                            <a:fillRect/>
                          </a:stretch>
                        </pic:blipFill>
                        <pic:spPr>
                          <a:xfrm>
                            <a:off x="0" y="0"/>
                            <a:ext cx="2514600" cy="1552575"/>
                          </a:xfrm>
                          <a:prstGeom prst="rect">
                            <a:avLst/>
                          </a:prstGeom>
                          <a:noFill/>
                          <a:ln>
                            <a:noFill/>
                          </a:ln>
                        </pic:spPr>
                      </pic:pic>
                    </a:graphicData>
                  </a:graphic>
                </wp:inline>
              </w:drawing>
            </w:r>
          </w:p>
        </w:tc>
        <w:tc>
          <w:tcPr>
            <w:tcW w:w="4310" w:type="dxa"/>
            <w:tcBorders>
              <w:top w:val="nil"/>
              <w:left w:val="nil"/>
              <w:bottom w:val="nil"/>
              <w:right w:val="nil"/>
            </w:tcBorders>
          </w:tcPr>
          <w:p w14:paraId="793D39EB">
            <w:pPr>
              <w:pStyle w:val="22"/>
              <w:bidi w:val="0"/>
              <w:rPr>
                <w:rFonts w:hint="default" w:ascii="Times New Roman" w:hAnsi="Times New Roman" w:cs="Times New Roman"/>
                <w:highlight w:val="none"/>
              </w:rPr>
            </w:pPr>
          </w:p>
        </w:tc>
      </w:tr>
      <w:tr w14:paraId="3F53C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0" w:type="dxa"/>
            <w:tcBorders>
              <w:top w:val="nil"/>
              <w:left w:val="nil"/>
              <w:bottom w:val="nil"/>
              <w:right w:val="nil"/>
            </w:tcBorders>
          </w:tcPr>
          <w:p w14:paraId="3BA5EE49">
            <w:pPr>
              <w:pStyle w:val="22"/>
              <w:bidi w:val="0"/>
              <w:rPr>
                <w:rFonts w:hint="default" w:ascii="Times New Roman" w:hAnsi="Times New Roman" w:cs="Times New Roman"/>
                <w:highlight w:val="none"/>
              </w:rPr>
            </w:pPr>
            <w:r>
              <w:rPr>
                <w:rFonts w:hint="default" w:ascii="Times New Roman" w:hAnsi="Times New Roman" w:cs="Times New Roman"/>
                <w:highlight w:val="none"/>
              </w:rPr>
              <w:t>软刺裸裂尻鱼</w:t>
            </w:r>
          </w:p>
        </w:tc>
        <w:tc>
          <w:tcPr>
            <w:tcW w:w="4310" w:type="dxa"/>
            <w:tcBorders>
              <w:top w:val="nil"/>
              <w:left w:val="nil"/>
              <w:bottom w:val="nil"/>
              <w:right w:val="nil"/>
            </w:tcBorders>
          </w:tcPr>
          <w:p w14:paraId="1597D271">
            <w:pPr>
              <w:pStyle w:val="22"/>
              <w:bidi w:val="0"/>
              <w:rPr>
                <w:rFonts w:hint="default" w:ascii="Times New Roman" w:hAnsi="Times New Roman" w:cs="Times New Roman"/>
                <w:highlight w:val="none"/>
              </w:rPr>
            </w:pPr>
          </w:p>
        </w:tc>
      </w:tr>
    </w:tbl>
    <w:p w14:paraId="0AE04B46">
      <w:pPr>
        <w:pStyle w:val="11"/>
        <w:ind w:left="0" w:leftChars="0" w:firstLine="0" w:firstLineChars="0"/>
        <w:rPr>
          <w:rFonts w:hint="default" w:ascii="Times New Roman" w:hAnsi="Times New Roman" w:eastAsia="黑体" w:cs="Times New Roman"/>
          <w:position w:val="-45"/>
          <w:highlight w:val="none"/>
          <w:lang w:val="en-US" w:eastAsia="zh-CN"/>
        </w:rPr>
      </w:pPr>
      <w:r>
        <w:rPr>
          <w:rFonts w:hint="default" w:ascii="Times New Roman" w:hAnsi="Times New Roman" w:cs="Times New Roman"/>
          <w:highlight w:val="none"/>
        </w:rPr>
        <w:t xml:space="preserve">图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图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17</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鱼类照片</w:t>
      </w:r>
    </w:p>
    <w:p w14:paraId="136E6F42">
      <w:pPr>
        <w:bidi w:val="0"/>
        <w:rPr>
          <w:rFonts w:hint="default"/>
          <w:highlight w:val="none"/>
          <w:lang w:val="en-US" w:eastAsia="zh-CN"/>
        </w:rPr>
      </w:pPr>
      <w:r>
        <w:rPr>
          <w:rFonts w:hint="default"/>
          <w:highlight w:val="none"/>
          <w:lang w:val="en-US" w:eastAsia="zh-CN"/>
        </w:rPr>
        <w:t>（7）“三场”分布</w:t>
      </w:r>
    </w:p>
    <w:p w14:paraId="4EF1751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调查鱼类的产卵场、索饵场和越冬场是了解鱼类生活史对策和更好地保护鱼类生存 繁衍的基础和前提。工程影响水域中的鱼类长期适应了该水域的水文情势和微生境，只要没有较大的环境扰动，分布在工程影响水域上下游产卵繁殖场所、索饵环境和越冬的环境在年际之间变化不大，特别是个体较大型鱼类的“三场”位置相对较为固定，而小型个体鱼类本身对“三场”环境要求不高，其位置可经常发生变化。</w:t>
      </w:r>
    </w:p>
    <w:p w14:paraId="5D155F3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结合现场调查、访问结果、鱼类的生物学特性以及它们对产卵繁殖、索饵和越冬环境条件的要求，对调查区域鱼类三场进行分析。</w:t>
      </w:r>
      <w:r>
        <w:rPr>
          <w:rFonts w:hint="default" w:ascii="Times New Roman" w:hAnsi="Times New Roman" w:cs="Times New Roman"/>
          <w:b/>
          <w:bCs/>
          <w:highlight w:val="none"/>
          <w:lang w:val="en-US" w:eastAsia="zh-CN"/>
        </w:rPr>
        <w:t>调查在冷龙沟干流河段未发现鱼类三场，</w:t>
      </w:r>
      <w:r>
        <w:rPr>
          <w:rFonts w:hint="default" w:ascii="Times New Roman" w:hAnsi="Times New Roman" w:cs="Times New Roman"/>
          <w:highlight w:val="none"/>
          <w:lang w:val="en-US" w:eastAsia="zh-CN"/>
        </w:rPr>
        <w:t>仅在冷龙沟与硕曲河干流汇合口及硕曲河干流发现有小型的鱼类三场分布。</w:t>
      </w:r>
    </w:p>
    <w:p w14:paraId="7453560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1）产卵场</w:t>
      </w:r>
    </w:p>
    <w:p w14:paraId="7B2B37E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冷龙沟与硕曲河汇合口的硕曲河干流河段处存在1处产卵场。此产卵场主要为属于裂腹鱼的产卵场。在调查时，我们发现了软刺裸裂尻鱼腹部柔软，在轻微挤压其腹部情况下，发现其有卵粒排出，表明其正处于繁殖期间。而由于工程影响河段海拔较高，分布的长丝裂腹鱼等裂腹鱼类的繁殖季节略晚于低海拔地区。一般在水温9℃以上的2月份开始产卵繁殖，产卵高峰期多在3-5月，有些随海拔升高甚至时间延后于7月仍然产卵。长丝裂腹鱼的产卵场是在砾石底、水清澈、水流较急的河滩地段，产微粘性卵，鱼卵藏匿于石缝间；而鳅类在砾石或卵石间的洞、缝中产卵，产卵场一般水质清新、流水、水位较浅。</w:t>
      </w:r>
    </w:p>
    <w:p w14:paraId="09E7EA3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调查区河段，鱼类的产卵场所一般距离越冬场所不远或者比邻。由于河流水流速度较快，河床底质基以较大的不规则砾石或直接较大的卵石为主，适合裂腹鱼产卵繁殖的环境主要集中在硕曲干流上，一般在滩下的沱边缘有小直径的砂粒的地方。由于产卵的基质非常分散，决定了裂腹鱼类的产卵场也比较分散。</w:t>
      </w:r>
    </w:p>
    <w:p w14:paraId="1A41C97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2）越冬场</w:t>
      </w:r>
    </w:p>
    <w:p w14:paraId="1622AF5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调查在冷龙沟干流未发现鱼类的越冬场。不过乡城县城区附近的硕曲河干流存在大坝，大坝的库区河段属于深水位环境，可以作为鱼类的越冬场。每年秋冬季节，随季节性气温下降，水量减少，水位降低，鱼类活动减少。鱼类开始往水温相对较高的硕曲干流深水区进行越冬迁移，寻找温度相对稳定且饵料较为丰富的深水潭。除此之外，河流中的槽、坑</w:t>
      </w:r>
      <w:r>
        <w:rPr>
          <w:rFonts w:hint="eastAsia" w:cs="Times New Roman"/>
          <w:highlight w:val="none"/>
          <w:lang w:val="en-US" w:eastAsia="zh-CN"/>
        </w:rPr>
        <w:t>函</w:t>
      </w:r>
      <w:r>
        <w:rPr>
          <w:rFonts w:hint="default" w:ascii="Times New Roman" w:hAnsi="Times New Roman" w:cs="Times New Roman"/>
          <w:highlight w:val="none"/>
          <w:lang w:val="en-US" w:eastAsia="zh-CN"/>
        </w:rPr>
        <w:t>、回水或微流水或流水、水下岩洞、泉眼、地下河道及巨砾石、砾石间的洞缝隙，都有不同鱼类的越冬场，并常随当年汛期的砾石堆积、河道改变、泥沙的淤积不同而有所改变。越冬场水体宽大而深，底质多为乱石或礁石，凹凸不平。越冬场的两端或一侧大都有0.5m以上深的流水浅滩和河岸。</w:t>
      </w:r>
    </w:p>
    <w:p w14:paraId="27A96B7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3）索饵场</w:t>
      </w:r>
    </w:p>
    <w:p w14:paraId="2C88725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在冷龙沟与硕曲河干流汇合口处发现1处鱼类的索饵场。鱼类的不同种类对索饵场的环境要求差异较大，并且也随时间不断发生变化。进入3月份以后，河流水温度开始回升，鱼类从越冬的深水区域（深潭）到河流浅水的礁石或砾石滩索饵。调查结果显示，由于供水厂的存在，枯水期取水坝下游的冷龙沟干流河段的水流量较小，其支流多属于季节性溪流，枯水期基本无补充水量，这使得硕曲河干流的鱼类难以上溯至冷龙沟索饵。裂腹鱼类多以着生藻类、有机碎屑和底栖无脊椎动物等为主要食物的种类，主要在硕曲河干流进行索饵，而鳅科鱼类适应力较强，个体小，对水量的需求较低，可以在冷龙沟生存，其索饵场也比较分散。</w:t>
      </w:r>
    </w:p>
    <w:p w14:paraId="4118D8F6">
      <w:pPr>
        <w:bidi w:val="0"/>
        <w:rPr>
          <w:rFonts w:hint="default"/>
          <w:highlight w:val="none"/>
          <w:lang w:val="en-US" w:eastAsia="zh-CN"/>
        </w:rPr>
      </w:pPr>
      <w:r>
        <w:rPr>
          <w:rFonts w:hint="default"/>
          <w:highlight w:val="none"/>
          <w:lang w:val="en-US" w:eastAsia="zh-CN"/>
        </w:rPr>
        <w:t>（8）鱼类生物多样性指数</w:t>
      </w:r>
    </w:p>
    <w:p w14:paraId="461EA49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采用丰富度指数（</w:t>
      </w:r>
      <w:r>
        <w:rPr>
          <w:rFonts w:hint="default" w:ascii="Times New Roman" w:hAnsi="Times New Roman" w:cs="Times New Roman"/>
          <w:i/>
          <w:iCs/>
          <w:highlight w:val="none"/>
          <w:lang w:val="en-US" w:eastAsia="zh-CN"/>
        </w:rPr>
        <w:t>Margalef,D</w:t>
      </w:r>
      <w:r>
        <w:rPr>
          <w:rFonts w:hint="default" w:ascii="Times New Roman" w:hAnsi="Times New Roman" w:cs="Times New Roman"/>
          <w:highlight w:val="none"/>
          <w:lang w:val="en-US" w:eastAsia="zh-CN"/>
        </w:rPr>
        <w:t>）、</w:t>
      </w:r>
      <w:r>
        <w:rPr>
          <w:rFonts w:hint="default" w:ascii="Times New Roman" w:hAnsi="Times New Roman" w:cs="Times New Roman"/>
          <w:i/>
          <w:iCs/>
          <w:highlight w:val="none"/>
          <w:lang w:val="en-US" w:eastAsia="zh-CN"/>
        </w:rPr>
        <w:t>Shannon-Wiener</w:t>
      </w:r>
      <w:r>
        <w:rPr>
          <w:rFonts w:hint="default" w:ascii="Times New Roman" w:hAnsi="Times New Roman" w:cs="Times New Roman"/>
          <w:highlight w:val="none"/>
          <w:lang w:val="en-US" w:eastAsia="zh-CN"/>
        </w:rPr>
        <w:t>多样性指数（</w:t>
      </w:r>
      <w:r>
        <w:rPr>
          <w:rFonts w:hint="default" w:ascii="Times New Roman" w:hAnsi="Times New Roman" w:cs="Times New Roman"/>
          <w:i/>
          <w:iCs/>
          <w:highlight w:val="none"/>
          <w:lang w:val="en-US" w:eastAsia="zh-CN"/>
        </w:rPr>
        <w:t>Shannon-Wiener,H</w:t>
      </w:r>
      <w:r>
        <w:rPr>
          <w:rFonts w:hint="default" w:ascii="Times New Roman" w:hAnsi="Times New Roman" w:cs="Times New Roman"/>
          <w:highlight w:val="none"/>
          <w:lang w:val="en-US" w:eastAsia="zh-CN"/>
        </w:rPr>
        <w:t>）和均匀度性指数（</w:t>
      </w:r>
      <w:r>
        <w:rPr>
          <w:rFonts w:hint="default" w:ascii="Times New Roman" w:hAnsi="Times New Roman" w:cs="Times New Roman"/>
          <w:i/>
          <w:iCs/>
          <w:highlight w:val="none"/>
          <w:lang w:val="en-US" w:eastAsia="zh-CN"/>
        </w:rPr>
        <w:t>Pielou,J</w:t>
      </w:r>
      <w:r>
        <w:rPr>
          <w:rFonts w:hint="default" w:ascii="Times New Roman" w:hAnsi="Times New Roman" w:cs="Times New Roman"/>
          <w:highlight w:val="none"/>
          <w:lang w:val="en-US" w:eastAsia="zh-CN"/>
        </w:rPr>
        <w:t>）对采集点鱼类多样性进行评价进行评价。计算公式如下：</w:t>
      </w:r>
    </w:p>
    <w:p w14:paraId="7220E3D3">
      <w:pPr>
        <w:bidi w:val="0"/>
        <w:rPr>
          <w:rFonts w:hint="default" w:ascii="Times New Roman" w:hAnsi="Times New Roman" w:cs="Times New Roman"/>
          <w:highlight w:val="none"/>
          <w:lang w:val="en-US" w:eastAsia="zh-CN"/>
        </w:rPr>
      </w:pPr>
      <w:r>
        <w:rPr>
          <w:rFonts w:hint="default" w:ascii="Times New Roman" w:hAnsi="Times New Roman" w:cs="Times New Roman"/>
          <w:i/>
          <w:iCs/>
          <w:highlight w:val="none"/>
          <w:lang w:val="en-US" w:eastAsia="zh-CN"/>
        </w:rPr>
        <w:t>D=（S-1）/log</w:t>
      </w:r>
      <w:r>
        <w:rPr>
          <w:rFonts w:hint="default" w:ascii="Times New Roman" w:hAnsi="Times New Roman" w:cs="Times New Roman"/>
          <w:i/>
          <w:iCs/>
          <w:highlight w:val="none"/>
          <w:vertAlign w:val="subscript"/>
          <w:lang w:val="en-US" w:eastAsia="zh-CN"/>
        </w:rPr>
        <w:t>2</w:t>
      </w:r>
      <w:r>
        <w:rPr>
          <w:rFonts w:hint="default" w:ascii="Times New Roman" w:hAnsi="Times New Roman" w:cs="Times New Roman"/>
          <w:i/>
          <w:iCs/>
          <w:highlight w:val="none"/>
          <w:lang w:val="en-US" w:eastAsia="zh-CN"/>
        </w:rPr>
        <w:t>T；H=-Σpilog</w:t>
      </w:r>
      <w:r>
        <w:rPr>
          <w:rFonts w:hint="default" w:ascii="Times New Roman" w:hAnsi="Times New Roman" w:cs="Times New Roman"/>
          <w:i/>
          <w:iCs/>
          <w:highlight w:val="none"/>
          <w:vertAlign w:val="subscript"/>
          <w:lang w:val="en-US" w:eastAsia="zh-CN"/>
        </w:rPr>
        <w:t>2</w:t>
      </w:r>
      <w:r>
        <w:rPr>
          <w:rFonts w:hint="default" w:ascii="Times New Roman" w:hAnsi="Times New Roman" w:cs="Times New Roman"/>
          <w:i/>
          <w:iCs/>
          <w:highlight w:val="none"/>
          <w:lang w:val="en-US" w:eastAsia="zh-CN"/>
        </w:rPr>
        <w:t>pi；J=H/log</w:t>
      </w:r>
      <w:r>
        <w:rPr>
          <w:rFonts w:hint="default" w:ascii="Times New Roman" w:hAnsi="Times New Roman" w:cs="Times New Roman"/>
          <w:i/>
          <w:iCs/>
          <w:highlight w:val="none"/>
          <w:vertAlign w:val="subscript"/>
          <w:lang w:val="en-US" w:eastAsia="zh-CN"/>
        </w:rPr>
        <w:t>2</w:t>
      </w:r>
      <w:r>
        <w:rPr>
          <w:rFonts w:hint="default" w:ascii="Times New Roman" w:hAnsi="Times New Roman" w:cs="Times New Roman"/>
          <w:i/>
          <w:iCs/>
          <w:highlight w:val="none"/>
          <w:lang w:val="en-US" w:eastAsia="zh-CN"/>
        </w:rPr>
        <w:t>S</w:t>
      </w:r>
    </w:p>
    <w:p w14:paraId="1206E16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式中，S为采样河段中鱼类种类数，T为采样河段鱼类总尾数，Pi=ni/T为某采样河段中第i种鱼类尾数占该采样河段总尾数的比例。</w:t>
      </w:r>
    </w:p>
    <w:p w14:paraId="6D9E048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经计算：</w:t>
      </w:r>
    </w:p>
    <w:p w14:paraId="335CCD8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丰富度指数（</w:t>
      </w:r>
      <w:r>
        <w:rPr>
          <w:rFonts w:hint="default" w:ascii="Times New Roman" w:hAnsi="Times New Roman" w:cs="Times New Roman"/>
          <w:i/>
          <w:iCs/>
          <w:highlight w:val="none"/>
          <w:lang w:val="en-US" w:eastAsia="zh-CN"/>
        </w:rPr>
        <w:t>Margalef,D</w:t>
      </w:r>
      <w:r>
        <w:rPr>
          <w:rFonts w:hint="default" w:ascii="Times New Roman" w:hAnsi="Times New Roman" w:cs="Times New Roman"/>
          <w:highlight w:val="none"/>
          <w:lang w:val="en-US" w:eastAsia="zh-CN"/>
        </w:rPr>
        <w:t>）为0.65；</w:t>
      </w:r>
    </w:p>
    <w:p w14:paraId="09C30DE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Shannon-Wiener多样性指数（</w:t>
      </w:r>
      <w:r>
        <w:rPr>
          <w:rFonts w:hint="default" w:ascii="Times New Roman" w:hAnsi="Times New Roman" w:cs="Times New Roman"/>
          <w:i/>
          <w:iCs/>
          <w:highlight w:val="none"/>
          <w:lang w:val="en-US" w:eastAsia="zh-CN"/>
        </w:rPr>
        <w:t>Shannon-Wiener,H</w:t>
      </w:r>
      <w:r>
        <w:rPr>
          <w:rFonts w:hint="default" w:ascii="Times New Roman" w:hAnsi="Times New Roman" w:cs="Times New Roman"/>
          <w:highlight w:val="none"/>
          <w:lang w:val="en-US" w:eastAsia="zh-CN"/>
        </w:rPr>
        <w:t>）为1.84；均匀度性指数（</w:t>
      </w:r>
      <w:r>
        <w:rPr>
          <w:rFonts w:hint="default" w:ascii="Times New Roman" w:hAnsi="Times New Roman" w:cs="Times New Roman"/>
          <w:i/>
          <w:iCs/>
          <w:highlight w:val="none"/>
          <w:lang w:val="en-US" w:eastAsia="zh-CN"/>
        </w:rPr>
        <w:t>Pielou,J</w:t>
      </w:r>
      <w:r>
        <w:rPr>
          <w:rFonts w:hint="default" w:ascii="Times New Roman" w:hAnsi="Times New Roman" w:cs="Times New Roman"/>
          <w:highlight w:val="none"/>
          <w:lang w:val="en-US" w:eastAsia="zh-CN"/>
        </w:rPr>
        <w:t>）为0.79。</w:t>
      </w:r>
    </w:p>
    <w:p w14:paraId="0AF4F03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评价区鱼类有5</w:t>
      </w:r>
      <w:r>
        <w:rPr>
          <w:rFonts w:hint="eastAsia" w:cs="Times New Roman"/>
          <w:highlight w:val="none"/>
          <w:lang w:val="en-US" w:eastAsia="zh-CN"/>
        </w:rPr>
        <w:t>种</w:t>
      </w:r>
      <w:r>
        <w:rPr>
          <w:rFonts w:hint="default" w:ascii="Times New Roman" w:hAnsi="Times New Roman" w:cs="Times New Roman"/>
          <w:highlight w:val="none"/>
          <w:lang w:val="en-US" w:eastAsia="zh-CN"/>
        </w:rPr>
        <w:t>，通过计算，丰富度指数为0.65，</w:t>
      </w:r>
      <w:r>
        <w:rPr>
          <w:rFonts w:hint="default" w:ascii="Times New Roman" w:hAnsi="Times New Roman" w:cs="Times New Roman"/>
          <w:i/>
          <w:iCs/>
          <w:highlight w:val="none"/>
          <w:lang w:val="en-US" w:eastAsia="zh-CN"/>
        </w:rPr>
        <w:t>Pielou</w:t>
      </w:r>
      <w:r>
        <w:rPr>
          <w:rFonts w:hint="default" w:ascii="Times New Roman" w:hAnsi="Times New Roman" w:cs="Times New Roman"/>
          <w:highlight w:val="none"/>
          <w:lang w:val="en-US" w:eastAsia="zh-CN"/>
        </w:rPr>
        <w:t>均匀度指数为0.79，</w:t>
      </w:r>
      <w:r>
        <w:rPr>
          <w:rFonts w:hint="default" w:ascii="Times New Roman" w:hAnsi="Times New Roman" w:cs="Times New Roman"/>
          <w:i/>
          <w:iCs/>
          <w:highlight w:val="none"/>
          <w:lang w:val="en-US" w:eastAsia="zh-CN"/>
        </w:rPr>
        <w:t>Simpson</w:t>
      </w:r>
      <w:r>
        <w:rPr>
          <w:rFonts w:hint="default" w:ascii="Times New Roman" w:hAnsi="Times New Roman" w:cs="Times New Roman"/>
          <w:highlight w:val="none"/>
          <w:lang w:val="en-US" w:eastAsia="zh-CN"/>
        </w:rPr>
        <w:t>多样性指数为1.84，表明评价区鱼类物种丰富度一般，物种多样性水平较一般，个体分布比较均匀。这可能与调查区域属于高原地区，鱼类主要为裂腹鱼类和鳅科鱼类，种类较少有关。</w:t>
      </w:r>
    </w:p>
    <w:p w14:paraId="23F55300">
      <w:pPr>
        <w:pStyle w:val="4"/>
        <w:bidi w:val="0"/>
        <w:rPr>
          <w:rFonts w:hint="default"/>
          <w:highlight w:val="none"/>
          <w:lang w:val="en-US" w:eastAsia="zh-CN"/>
        </w:rPr>
      </w:pPr>
      <w:r>
        <w:rPr>
          <w:rFonts w:hint="default"/>
          <w:highlight w:val="none"/>
          <w:lang w:val="en-US" w:eastAsia="zh-CN"/>
        </w:rPr>
        <w:t>流域环境影响回顾性评价及趋势分析</w:t>
      </w:r>
    </w:p>
    <w:p w14:paraId="17A30870">
      <w:pPr>
        <w:pStyle w:val="5"/>
        <w:bidi w:val="0"/>
        <w:rPr>
          <w:rFonts w:hint="default"/>
          <w:highlight w:val="none"/>
          <w:lang w:val="en-US" w:eastAsia="zh-CN"/>
        </w:rPr>
      </w:pPr>
      <w:r>
        <w:rPr>
          <w:rFonts w:hint="default"/>
          <w:highlight w:val="none"/>
          <w:lang w:val="en-US" w:eastAsia="zh-CN"/>
        </w:rPr>
        <w:t>流域开发现状</w:t>
      </w:r>
    </w:p>
    <w:p w14:paraId="377D5B3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根据调查冷龙沟流域范围内仅涉及城乡供水，流域范围内涉及1处饮用水水源地。</w:t>
      </w:r>
    </w:p>
    <w:p w14:paraId="4F5BBA2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乡城县冷龙沟冷龙村集中式饮用水水源保护区调整划分技术报告》及批复文件，冷龙沟流域涉及乡城县冷龙沟冷龙村集中式饮用水水源保护区。根据《乡城县县城集中式生活饮用水水质监测报告》（2023年）。冷龙沟水源地水质达标率为100%。地</w:t>
      </w:r>
      <w:r>
        <w:rPr>
          <w:rFonts w:hint="eastAsia" w:cs="Times New Roman"/>
          <w:highlight w:val="none"/>
          <w:lang w:val="en-US" w:eastAsia="zh-CN"/>
        </w:rPr>
        <w:t>表</w:t>
      </w:r>
      <w:r>
        <w:rPr>
          <w:rFonts w:hint="default" w:ascii="Times New Roman" w:hAnsi="Times New Roman" w:cs="Times New Roman"/>
          <w:highlight w:val="none"/>
          <w:lang w:val="en-US" w:eastAsia="zh-CN"/>
        </w:rPr>
        <w:t>水水质满足《地表水环境质量标准》（GB3838-2002）</w:t>
      </w:r>
      <w:r>
        <w:rPr>
          <w:rFonts w:hint="default" w:ascii="Times New Roman" w:hAnsi="Times New Roman" w:eastAsia="宋体" w:cs="Times New Roman"/>
          <w:highlight w:val="none"/>
          <w:lang w:val="en-US" w:eastAsia="zh-CN"/>
        </w:rPr>
        <w:t>Ⅱ</w:t>
      </w:r>
      <w:r>
        <w:rPr>
          <w:rFonts w:hint="default" w:ascii="Times New Roman" w:hAnsi="Times New Roman" w:cs="Times New Roman"/>
          <w:highlight w:val="none"/>
          <w:lang w:val="en-US" w:eastAsia="zh-CN"/>
        </w:rPr>
        <w:t>类标准。</w:t>
      </w:r>
    </w:p>
    <w:p w14:paraId="1D924819">
      <w:pPr>
        <w:pStyle w:val="11"/>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冷龙沟流域饮用水水源地及水质状况表</w:t>
      </w:r>
    </w:p>
    <w:tbl>
      <w:tblPr>
        <w:tblStyle w:val="24"/>
        <w:tblW w:w="9054" w:type="dxa"/>
        <w:tblInd w:w="-2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0"/>
        <w:gridCol w:w="793"/>
        <w:gridCol w:w="754"/>
        <w:gridCol w:w="1745"/>
        <w:gridCol w:w="730"/>
        <w:gridCol w:w="874"/>
        <w:gridCol w:w="931"/>
        <w:gridCol w:w="1248"/>
        <w:gridCol w:w="724"/>
        <w:gridCol w:w="635"/>
      </w:tblGrid>
      <w:tr w14:paraId="429A0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620" w:type="dxa"/>
            <w:vAlign w:val="center"/>
          </w:tcPr>
          <w:p w14:paraId="179DF49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793" w:type="dxa"/>
            <w:vAlign w:val="center"/>
          </w:tcPr>
          <w:p w14:paraId="6289CC94">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水源地类型</w:t>
            </w:r>
          </w:p>
        </w:tc>
        <w:tc>
          <w:tcPr>
            <w:tcW w:w="754" w:type="dxa"/>
            <w:vAlign w:val="center"/>
          </w:tcPr>
          <w:p w14:paraId="0BD40B5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所在地</w:t>
            </w:r>
          </w:p>
        </w:tc>
        <w:tc>
          <w:tcPr>
            <w:tcW w:w="1745" w:type="dxa"/>
            <w:vAlign w:val="center"/>
          </w:tcPr>
          <w:p w14:paraId="190F06E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水源地名称</w:t>
            </w:r>
          </w:p>
        </w:tc>
        <w:tc>
          <w:tcPr>
            <w:tcW w:w="730" w:type="dxa"/>
            <w:vAlign w:val="center"/>
          </w:tcPr>
          <w:p w14:paraId="141B9431">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河流水系</w:t>
            </w:r>
          </w:p>
        </w:tc>
        <w:tc>
          <w:tcPr>
            <w:tcW w:w="874" w:type="dxa"/>
            <w:vAlign w:val="center"/>
          </w:tcPr>
          <w:p w14:paraId="4739184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水厂名称</w:t>
            </w:r>
          </w:p>
        </w:tc>
        <w:tc>
          <w:tcPr>
            <w:tcW w:w="931" w:type="dxa"/>
            <w:vAlign w:val="center"/>
          </w:tcPr>
          <w:p w14:paraId="0A62B3C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设计供水规模</w:t>
            </w:r>
          </w:p>
        </w:tc>
        <w:tc>
          <w:tcPr>
            <w:tcW w:w="1248" w:type="dxa"/>
            <w:vAlign w:val="center"/>
          </w:tcPr>
          <w:p w14:paraId="5D6EF87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服务场镇</w:t>
            </w:r>
          </w:p>
        </w:tc>
        <w:tc>
          <w:tcPr>
            <w:tcW w:w="724" w:type="dxa"/>
            <w:vAlign w:val="center"/>
          </w:tcPr>
          <w:p w14:paraId="0E728D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服务人口</w:t>
            </w:r>
          </w:p>
        </w:tc>
        <w:tc>
          <w:tcPr>
            <w:tcW w:w="635" w:type="dxa"/>
            <w:vAlign w:val="center"/>
          </w:tcPr>
          <w:p w14:paraId="5F58B0E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是否达标</w:t>
            </w:r>
          </w:p>
        </w:tc>
      </w:tr>
      <w:tr w14:paraId="5B899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7" w:hRule="atLeast"/>
        </w:trPr>
        <w:tc>
          <w:tcPr>
            <w:tcW w:w="620" w:type="dxa"/>
            <w:vAlign w:val="center"/>
          </w:tcPr>
          <w:p w14:paraId="190CF44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793" w:type="dxa"/>
            <w:vAlign w:val="center"/>
          </w:tcPr>
          <w:p w14:paraId="3DE30217">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县级</w:t>
            </w:r>
          </w:p>
        </w:tc>
        <w:tc>
          <w:tcPr>
            <w:tcW w:w="754" w:type="dxa"/>
            <w:vAlign w:val="center"/>
          </w:tcPr>
          <w:p w14:paraId="71380015">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冷龙沟冷龙村</w:t>
            </w:r>
          </w:p>
        </w:tc>
        <w:tc>
          <w:tcPr>
            <w:tcW w:w="1745" w:type="dxa"/>
            <w:vAlign w:val="center"/>
          </w:tcPr>
          <w:p w14:paraId="0DEFFE3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冷龙沟冷龙村集中式饮用水水源地</w:t>
            </w:r>
          </w:p>
        </w:tc>
        <w:tc>
          <w:tcPr>
            <w:tcW w:w="730" w:type="dxa"/>
            <w:vAlign w:val="center"/>
          </w:tcPr>
          <w:p w14:paraId="2DCE0594">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冷龙沟</w:t>
            </w:r>
          </w:p>
        </w:tc>
        <w:tc>
          <w:tcPr>
            <w:tcW w:w="874" w:type="dxa"/>
            <w:vAlign w:val="center"/>
          </w:tcPr>
          <w:p w14:paraId="6D2A513E">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乡城县自来水厂</w:t>
            </w:r>
          </w:p>
        </w:tc>
        <w:tc>
          <w:tcPr>
            <w:tcW w:w="931" w:type="dxa"/>
            <w:vAlign w:val="center"/>
          </w:tcPr>
          <w:p w14:paraId="493844C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255万吨/年</w:t>
            </w:r>
          </w:p>
        </w:tc>
        <w:tc>
          <w:tcPr>
            <w:tcW w:w="1248" w:type="dxa"/>
            <w:vAlign w:val="center"/>
          </w:tcPr>
          <w:p w14:paraId="65005A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香巴拉</w:t>
            </w:r>
            <w:r>
              <w:rPr>
                <w:rFonts w:hint="default" w:ascii="Times New Roman" w:hAnsi="Times New Roman" w:cs="Times New Roman"/>
                <w:highlight w:val="none"/>
              </w:rPr>
              <w:t>镇</w:t>
            </w:r>
          </w:p>
        </w:tc>
        <w:tc>
          <w:tcPr>
            <w:tcW w:w="724" w:type="dxa"/>
            <w:vAlign w:val="center"/>
          </w:tcPr>
          <w:p w14:paraId="3428D72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1000</w:t>
            </w:r>
            <w:r>
              <w:rPr>
                <w:rFonts w:hint="default" w:ascii="Times New Roman" w:hAnsi="Times New Roman" w:cs="Times New Roman"/>
                <w:highlight w:val="none"/>
              </w:rPr>
              <w:t>0</w:t>
            </w:r>
          </w:p>
        </w:tc>
        <w:tc>
          <w:tcPr>
            <w:tcW w:w="635" w:type="dxa"/>
            <w:vAlign w:val="center"/>
          </w:tcPr>
          <w:p w14:paraId="20A8653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是</w:t>
            </w:r>
          </w:p>
        </w:tc>
      </w:tr>
    </w:tbl>
    <w:p w14:paraId="014AA05F">
      <w:pPr>
        <w:ind w:left="0" w:leftChars="0" w:firstLine="0" w:firstLineChars="0"/>
        <w:rPr>
          <w:rFonts w:hint="default" w:ascii="Times New Roman" w:hAnsi="Times New Roman" w:cs="Times New Roman"/>
          <w:highlight w:val="none"/>
          <w:lang w:val="en-US" w:eastAsia="zh-CN"/>
        </w:rPr>
      </w:pPr>
    </w:p>
    <w:p w14:paraId="61F2109F">
      <w:pPr>
        <w:pStyle w:val="5"/>
        <w:bidi w:val="0"/>
        <w:rPr>
          <w:rFonts w:hint="default"/>
          <w:highlight w:val="none"/>
          <w:lang w:val="en-US" w:eastAsia="zh-CN"/>
        </w:rPr>
      </w:pPr>
      <w:r>
        <w:rPr>
          <w:rFonts w:hint="default"/>
          <w:highlight w:val="none"/>
          <w:lang w:val="en-US" w:eastAsia="zh-CN"/>
        </w:rPr>
        <w:t>流域污染源现状</w:t>
      </w:r>
    </w:p>
    <w:p w14:paraId="3878441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根据流域排污口溯源调查及污染源具体汇总如下：</w:t>
      </w:r>
    </w:p>
    <w:p w14:paraId="5BBB8C5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冷龙沟流域农村生活污水产生量为</w:t>
      </w:r>
      <w:r>
        <w:rPr>
          <w:rFonts w:hint="eastAsia" w:cs="Times New Roman"/>
          <w:highlight w:val="none"/>
          <w:lang w:val="en-US" w:eastAsia="zh-CN"/>
        </w:rPr>
        <w:t>5863.725</w:t>
      </w:r>
      <w:r>
        <w:rPr>
          <w:rFonts w:hint="default" w:ascii="Times New Roman" w:hAnsi="Times New Roman" w:cs="Times New Roman"/>
          <w:highlight w:val="none"/>
          <w:lang w:val="en-US" w:eastAsia="zh-CN"/>
        </w:rPr>
        <w:t>吨/年，污染源化学需氧量排放为0.000409吨/年，氨氮为</w:t>
      </w:r>
      <w:r>
        <w:rPr>
          <w:rFonts w:hint="eastAsia"/>
          <w:highlight w:val="none"/>
          <w:lang w:val="en-US" w:eastAsia="zh-CN"/>
        </w:rPr>
        <w:t>0.000026</w:t>
      </w:r>
      <w:r>
        <w:rPr>
          <w:rFonts w:hint="default" w:ascii="Times New Roman" w:hAnsi="Times New Roman" w:cs="Times New Roman"/>
          <w:highlight w:val="none"/>
          <w:lang w:val="en-US" w:eastAsia="zh-CN"/>
        </w:rPr>
        <w:t>吨/年，总磷为</w:t>
      </w:r>
      <w:r>
        <w:rPr>
          <w:rFonts w:hint="eastAsia"/>
          <w:highlight w:val="none"/>
          <w:lang w:val="en-US" w:eastAsia="zh-CN"/>
        </w:rPr>
        <w:t>0.000059</w:t>
      </w:r>
      <w:r>
        <w:rPr>
          <w:rFonts w:hint="default" w:ascii="Times New Roman" w:hAnsi="Times New Roman" w:cs="Times New Roman"/>
          <w:highlight w:val="none"/>
          <w:lang w:val="en-US" w:eastAsia="zh-CN"/>
        </w:rPr>
        <w:t>吨/年。</w:t>
      </w:r>
    </w:p>
    <w:p w14:paraId="34FA642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冷龙沟流域农业种植污染中COD排放</w:t>
      </w:r>
      <w:r>
        <w:rPr>
          <w:rFonts w:hint="default"/>
          <w:highlight w:val="none"/>
          <w:lang w:val="en-US" w:eastAsia="zh-CN"/>
        </w:rPr>
        <w:t>5.652000</w:t>
      </w:r>
      <w:r>
        <w:rPr>
          <w:rFonts w:hint="default" w:ascii="Times New Roman" w:hAnsi="Times New Roman" w:cs="Times New Roman"/>
          <w:highlight w:val="none"/>
          <w:lang w:val="en-US" w:eastAsia="zh-CN"/>
        </w:rPr>
        <w:t>吨/年，氨氮排放量</w:t>
      </w:r>
      <w:r>
        <w:rPr>
          <w:rFonts w:hint="default"/>
          <w:highlight w:val="none"/>
          <w:lang w:val="en-US" w:eastAsia="zh-CN"/>
        </w:rPr>
        <w:t>1.131000</w:t>
      </w:r>
      <w:r>
        <w:rPr>
          <w:rFonts w:hint="default" w:ascii="Times New Roman" w:hAnsi="Times New Roman" w:cs="Times New Roman"/>
          <w:highlight w:val="none"/>
          <w:lang w:val="en-US" w:eastAsia="zh-CN"/>
        </w:rPr>
        <w:t>吨/年，总磷排放量</w:t>
      </w:r>
      <w:r>
        <w:rPr>
          <w:rFonts w:hint="default"/>
          <w:highlight w:val="none"/>
          <w:lang w:val="en-US" w:eastAsia="zh-CN"/>
        </w:rPr>
        <w:t>0.904500</w:t>
      </w:r>
      <w:r>
        <w:rPr>
          <w:rFonts w:hint="default" w:ascii="Times New Roman" w:hAnsi="Times New Roman" w:cs="Times New Roman"/>
          <w:highlight w:val="none"/>
          <w:lang w:val="en-US" w:eastAsia="zh-CN"/>
        </w:rPr>
        <w:t>吨/年。</w:t>
      </w:r>
    </w:p>
    <w:p w14:paraId="3A5CB4D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冷龙沟流域畜禽养殖污染中COD排放</w:t>
      </w:r>
      <w:r>
        <w:rPr>
          <w:rFonts w:hint="default"/>
          <w:highlight w:val="none"/>
          <w:lang w:val="en-US" w:eastAsia="zh-CN"/>
        </w:rPr>
        <w:t>0.268280</w:t>
      </w:r>
      <w:r>
        <w:rPr>
          <w:rFonts w:hint="default" w:ascii="Times New Roman" w:hAnsi="Times New Roman" w:cs="Times New Roman"/>
          <w:highlight w:val="none"/>
          <w:lang w:val="en-US" w:eastAsia="zh-CN"/>
        </w:rPr>
        <w:t>吨/年，氨氮排放量</w:t>
      </w:r>
      <w:r>
        <w:rPr>
          <w:rFonts w:hint="default"/>
          <w:highlight w:val="none"/>
          <w:lang w:val="en-US" w:eastAsia="zh-CN"/>
        </w:rPr>
        <w:t>0.000140</w:t>
      </w:r>
      <w:r>
        <w:rPr>
          <w:rFonts w:hint="default" w:ascii="Times New Roman" w:hAnsi="Times New Roman" w:cs="Times New Roman"/>
          <w:highlight w:val="none"/>
          <w:lang w:val="en-US" w:eastAsia="zh-CN"/>
        </w:rPr>
        <w:t>吨/年，总磷排放量</w:t>
      </w:r>
      <w:r>
        <w:rPr>
          <w:rFonts w:hint="default"/>
          <w:highlight w:val="none"/>
          <w:lang w:val="en-US" w:eastAsia="zh-CN"/>
        </w:rPr>
        <w:t>0.000010</w:t>
      </w:r>
      <w:r>
        <w:rPr>
          <w:rFonts w:hint="default" w:ascii="Times New Roman" w:hAnsi="Times New Roman" w:cs="Times New Roman"/>
          <w:highlight w:val="none"/>
          <w:lang w:val="en-US" w:eastAsia="zh-CN"/>
        </w:rPr>
        <w:t>吨/年。</w:t>
      </w:r>
    </w:p>
    <w:p w14:paraId="0E617E99">
      <w:pPr>
        <w:pStyle w:val="11"/>
        <w:bidi w:val="0"/>
        <w:rPr>
          <w:rFonts w:hint="default" w:ascii="Times New Roman" w:hAnsi="Times New Roman" w:cs="Times New Roman"/>
          <w:highlight w:val="none"/>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57</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产污量计算结果如下表所示：</w:t>
      </w:r>
    </w:p>
    <w:p w14:paraId="162D6494">
      <w:pPr>
        <w:spacing w:line="19" w:lineRule="exact"/>
        <w:rPr>
          <w:rFonts w:hint="default" w:ascii="Times New Roman" w:hAnsi="Times New Roman" w:cs="Times New Roman"/>
          <w:highlight w:val="none"/>
        </w:rPr>
      </w:pPr>
    </w:p>
    <w:tbl>
      <w:tblPr>
        <w:tblStyle w:val="24"/>
        <w:tblW w:w="84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43"/>
        <w:gridCol w:w="1619"/>
        <w:gridCol w:w="1732"/>
        <w:gridCol w:w="1732"/>
        <w:gridCol w:w="1731"/>
      </w:tblGrid>
      <w:tr w14:paraId="1C2F5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2" w:hRule="atLeast"/>
        </w:trPr>
        <w:tc>
          <w:tcPr>
            <w:tcW w:w="1643" w:type="dxa"/>
            <w:vAlign w:val="center"/>
          </w:tcPr>
          <w:p w14:paraId="0406865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项目</w:t>
            </w:r>
          </w:p>
        </w:tc>
        <w:tc>
          <w:tcPr>
            <w:tcW w:w="1619" w:type="dxa"/>
            <w:vAlign w:val="center"/>
          </w:tcPr>
          <w:p w14:paraId="1EAEC5F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COD（吨/年）</w:t>
            </w:r>
          </w:p>
        </w:tc>
        <w:tc>
          <w:tcPr>
            <w:tcW w:w="1732" w:type="dxa"/>
            <w:vAlign w:val="center"/>
          </w:tcPr>
          <w:p w14:paraId="35DA400F">
            <w:pPr>
              <w:pStyle w:val="22"/>
              <w:bidi w:val="0"/>
              <w:jc w:val="center"/>
              <w:rPr>
                <w:rFonts w:hint="default" w:ascii="Times New Roman" w:hAnsi="Times New Roman" w:cs="Times New Roman"/>
                <w:highlight w:val="none"/>
              </w:rPr>
            </w:pPr>
            <w:r>
              <w:rPr>
                <w:rFonts w:hint="eastAsia" w:cs="Times New Roman"/>
                <w:highlight w:val="none"/>
                <w:lang w:val="en-US" w:eastAsia="zh-CN"/>
              </w:rPr>
              <w:t>总氮</w:t>
            </w:r>
            <w:r>
              <w:rPr>
                <w:rFonts w:hint="default" w:ascii="Times New Roman" w:hAnsi="Times New Roman" w:cs="Times New Roman"/>
                <w:highlight w:val="none"/>
              </w:rPr>
              <w:t>（吨/年）</w:t>
            </w:r>
          </w:p>
        </w:tc>
        <w:tc>
          <w:tcPr>
            <w:tcW w:w="1732" w:type="dxa"/>
            <w:vAlign w:val="center"/>
          </w:tcPr>
          <w:p w14:paraId="150AC0A7">
            <w:pPr>
              <w:pStyle w:val="22"/>
              <w:bidi w:val="0"/>
              <w:jc w:val="center"/>
              <w:rPr>
                <w:rFonts w:hint="default" w:ascii="Times New Roman" w:hAnsi="Times New Roman" w:cs="Times New Roman"/>
                <w:highlight w:val="none"/>
              </w:rPr>
            </w:pPr>
            <w:r>
              <w:rPr>
                <w:rFonts w:hint="eastAsia" w:cs="Times New Roman"/>
                <w:highlight w:val="none"/>
                <w:lang w:val="en-US" w:eastAsia="zh-CN"/>
              </w:rPr>
              <w:t>氨氮</w:t>
            </w:r>
            <w:r>
              <w:rPr>
                <w:rFonts w:hint="default" w:ascii="Times New Roman" w:hAnsi="Times New Roman" w:cs="Times New Roman"/>
                <w:highlight w:val="none"/>
              </w:rPr>
              <w:t>（吨/年）</w:t>
            </w:r>
          </w:p>
        </w:tc>
        <w:tc>
          <w:tcPr>
            <w:tcW w:w="1731" w:type="dxa"/>
            <w:vAlign w:val="center"/>
          </w:tcPr>
          <w:p w14:paraId="16050DAB">
            <w:pPr>
              <w:pStyle w:val="22"/>
              <w:bidi w:val="0"/>
              <w:jc w:val="center"/>
              <w:rPr>
                <w:rFonts w:hint="default" w:ascii="Times New Roman" w:hAnsi="Times New Roman" w:cs="Times New Roman"/>
                <w:highlight w:val="none"/>
              </w:rPr>
            </w:pPr>
            <w:r>
              <w:rPr>
                <w:rFonts w:hint="eastAsia" w:cs="Times New Roman"/>
                <w:highlight w:val="none"/>
                <w:lang w:val="en-US" w:eastAsia="zh-CN"/>
              </w:rPr>
              <w:t>总磷</w:t>
            </w:r>
            <w:r>
              <w:rPr>
                <w:rFonts w:hint="default" w:ascii="Times New Roman" w:hAnsi="Times New Roman" w:cs="Times New Roman"/>
                <w:highlight w:val="none"/>
              </w:rPr>
              <w:t>（吨/年）</w:t>
            </w:r>
          </w:p>
        </w:tc>
      </w:tr>
      <w:tr w14:paraId="5D3D4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5" w:hRule="atLeast"/>
        </w:trPr>
        <w:tc>
          <w:tcPr>
            <w:tcW w:w="1643" w:type="dxa"/>
            <w:vAlign w:val="center"/>
          </w:tcPr>
          <w:p w14:paraId="166DB2C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农村生活污染</w:t>
            </w:r>
          </w:p>
        </w:tc>
        <w:tc>
          <w:tcPr>
            <w:tcW w:w="1619" w:type="dxa"/>
            <w:vAlign w:val="center"/>
          </w:tcPr>
          <w:p w14:paraId="2620F097">
            <w:pPr>
              <w:pStyle w:val="22"/>
              <w:bidi w:val="0"/>
              <w:ind w:firstLine="0" w:firstLineChars="0"/>
              <w:jc w:val="center"/>
              <w:rPr>
                <w:rFonts w:hint="default" w:ascii="Times New Roman" w:hAnsi="Times New Roman" w:cs="Times New Roman"/>
                <w:highlight w:val="none"/>
              </w:rPr>
            </w:pPr>
            <w:r>
              <w:rPr>
                <w:rFonts w:hint="eastAsia"/>
                <w:highlight w:val="none"/>
                <w:lang w:val="en-US" w:eastAsia="zh-CN"/>
              </w:rPr>
              <w:t>0.000409</w:t>
            </w:r>
          </w:p>
        </w:tc>
        <w:tc>
          <w:tcPr>
            <w:tcW w:w="1732" w:type="dxa"/>
            <w:vAlign w:val="center"/>
          </w:tcPr>
          <w:p w14:paraId="7B29F57C">
            <w:pPr>
              <w:pStyle w:val="22"/>
              <w:bidi w:val="0"/>
              <w:ind w:firstLine="0" w:firstLineChars="0"/>
              <w:jc w:val="center"/>
              <w:rPr>
                <w:rFonts w:hint="default" w:ascii="Times New Roman" w:hAnsi="Times New Roman" w:cs="Times New Roman"/>
                <w:highlight w:val="none"/>
              </w:rPr>
            </w:pPr>
            <w:r>
              <w:rPr>
                <w:rFonts w:hint="eastAsia"/>
                <w:highlight w:val="none"/>
                <w:lang w:val="en-US" w:eastAsia="zh-CN"/>
              </w:rPr>
              <w:t>0.000026</w:t>
            </w:r>
          </w:p>
        </w:tc>
        <w:tc>
          <w:tcPr>
            <w:tcW w:w="1732" w:type="dxa"/>
            <w:vAlign w:val="center"/>
          </w:tcPr>
          <w:p w14:paraId="65475609">
            <w:pPr>
              <w:pStyle w:val="22"/>
              <w:bidi w:val="0"/>
              <w:ind w:firstLine="0" w:firstLineChars="0"/>
              <w:jc w:val="center"/>
              <w:rPr>
                <w:rFonts w:hint="default" w:ascii="Times New Roman" w:hAnsi="Times New Roman" w:cs="Times New Roman"/>
                <w:highlight w:val="none"/>
              </w:rPr>
            </w:pPr>
            <w:r>
              <w:rPr>
                <w:rFonts w:hint="eastAsia"/>
                <w:highlight w:val="none"/>
                <w:lang w:val="en-US" w:eastAsia="zh-CN"/>
              </w:rPr>
              <w:t>0.000059</w:t>
            </w:r>
          </w:p>
        </w:tc>
        <w:tc>
          <w:tcPr>
            <w:tcW w:w="1731" w:type="dxa"/>
            <w:vAlign w:val="center"/>
          </w:tcPr>
          <w:p w14:paraId="43E7110C">
            <w:pPr>
              <w:pStyle w:val="22"/>
              <w:bidi w:val="0"/>
              <w:ind w:firstLine="0" w:firstLineChars="0"/>
              <w:jc w:val="center"/>
              <w:rPr>
                <w:rFonts w:hint="default" w:ascii="Times New Roman" w:hAnsi="Times New Roman" w:cs="Times New Roman"/>
                <w:highlight w:val="none"/>
              </w:rPr>
            </w:pPr>
            <w:r>
              <w:rPr>
                <w:rFonts w:hint="eastAsia"/>
                <w:highlight w:val="none"/>
                <w:lang w:val="en-US" w:eastAsia="zh-CN"/>
              </w:rPr>
              <w:t>0.000004</w:t>
            </w:r>
          </w:p>
        </w:tc>
      </w:tr>
      <w:tr w14:paraId="6E356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8" w:hRule="atLeast"/>
        </w:trPr>
        <w:tc>
          <w:tcPr>
            <w:tcW w:w="1643" w:type="dxa"/>
            <w:vAlign w:val="center"/>
          </w:tcPr>
          <w:p w14:paraId="46FC250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农业种植污染</w:t>
            </w:r>
          </w:p>
        </w:tc>
        <w:tc>
          <w:tcPr>
            <w:tcW w:w="1619" w:type="dxa"/>
            <w:vAlign w:val="center"/>
          </w:tcPr>
          <w:p w14:paraId="483EDA14">
            <w:pPr>
              <w:pStyle w:val="22"/>
              <w:bidi w:val="0"/>
              <w:jc w:val="center"/>
              <w:rPr>
                <w:rFonts w:hint="default"/>
                <w:highlight w:val="none"/>
              </w:rPr>
            </w:pPr>
            <w:r>
              <w:rPr>
                <w:rFonts w:hint="default"/>
                <w:highlight w:val="none"/>
                <w:lang w:val="en-US" w:eastAsia="zh-CN"/>
              </w:rPr>
              <w:t>5.652000</w:t>
            </w:r>
          </w:p>
        </w:tc>
        <w:tc>
          <w:tcPr>
            <w:tcW w:w="1732" w:type="dxa"/>
            <w:vAlign w:val="center"/>
          </w:tcPr>
          <w:p w14:paraId="7CA531F6">
            <w:pPr>
              <w:pStyle w:val="22"/>
              <w:bidi w:val="0"/>
              <w:jc w:val="center"/>
              <w:rPr>
                <w:rFonts w:hint="default"/>
                <w:highlight w:val="none"/>
              </w:rPr>
            </w:pPr>
            <w:r>
              <w:rPr>
                <w:rFonts w:hint="default"/>
                <w:highlight w:val="none"/>
                <w:lang w:val="en-US" w:eastAsia="zh-CN"/>
              </w:rPr>
              <w:t>/</w:t>
            </w:r>
          </w:p>
        </w:tc>
        <w:tc>
          <w:tcPr>
            <w:tcW w:w="1732" w:type="dxa"/>
            <w:vAlign w:val="center"/>
          </w:tcPr>
          <w:p w14:paraId="5291A9C8">
            <w:pPr>
              <w:pStyle w:val="22"/>
              <w:bidi w:val="0"/>
              <w:jc w:val="center"/>
              <w:rPr>
                <w:rFonts w:hint="default"/>
                <w:highlight w:val="none"/>
              </w:rPr>
            </w:pPr>
            <w:r>
              <w:rPr>
                <w:rFonts w:hint="default"/>
                <w:highlight w:val="none"/>
                <w:lang w:val="en-US" w:eastAsia="zh-CN"/>
              </w:rPr>
              <w:t>1.131000</w:t>
            </w:r>
          </w:p>
        </w:tc>
        <w:tc>
          <w:tcPr>
            <w:tcW w:w="1731" w:type="dxa"/>
            <w:vAlign w:val="center"/>
          </w:tcPr>
          <w:p w14:paraId="34E7B6FE">
            <w:pPr>
              <w:pStyle w:val="22"/>
              <w:bidi w:val="0"/>
              <w:jc w:val="center"/>
              <w:rPr>
                <w:rFonts w:hint="default"/>
                <w:highlight w:val="none"/>
              </w:rPr>
            </w:pPr>
            <w:r>
              <w:rPr>
                <w:rFonts w:hint="default"/>
                <w:highlight w:val="none"/>
                <w:lang w:val="en-US" w:eastAsia="zh-CN"/>
              </w:rPr>
              <w:t>0.904500</w:t>
            </w:r>
          </w:p>
        </w:tc>
      </w:tr>
      <w:tr w14:paraId="24047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trPr>
        <w:tc>
          <w:tcPr>
            <w:tcW w:w="1643" w:type="dxa"/>
            <w:vAlign w:val="center"/>
          </w:tcPr>
          <w:p w14:paraId="12B81BD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畜禽养殖污染</w:t>
            </w:r>
          </w:p>
        </w:tc>
        <w:tc>
          <w:tcPr>
            <w:tcW w:w="1619" w:type="dxa"/>
            <w:vAlign w:val="center"/>
          </w:tcPr>
          <w:p w14:paraId="7887FBD6">
            <w:pPr>
              <w:pStyle w:val="22"/>
              <w:bidi w:val="0"/>
              <w:jc w:val="center"/>
              <w:rPr>
                <w:rFonts w:hint="default"/>
                <w:highlight w:val="none"/>
              </w:rPr>
            </w:pPr>
            <w:r>
              <w:rPr>
                <w:rFonts w:hint="default"/>
                <w:highlight w:val="none"/>
                <w:lang w:val="en-US" w:eastAsia="zh-CN"/>
              </w:rPr>
              <w:t>0.268280</w:t>
            </w:r>
          </w:p>
        </w:tc>
        <w:tc>
          <w:tcPr>
            <w:tcW w:w="1732" w:type="dxa"/>
            <w:vAlign w:val="center"/>
          </w:tcPr>
          <w:p w14:paraId="12CE2929">
            <w:pPr>
              <w:pStyle w:val="22"/>
              <w:bidi w:val="0"/>
              <w:jc w:val="center"/>
              <w:rPr>
                <w:rFonts w:hint="default"/>
                <w:highlight w:val="none"/>
              </w:rPr>
            </w:pPr>
            <w:r>
              <w:rPr>
                <w:rFonts w:hint="default"/>
                <w:highlight w:val="none"/>
                <w:lang w:val="en-US" w:eastAsia="zh-CN"/>
              </w:rPr>
              <w:t>0.007150</w:t>
            </w:r>
          </w:p>
        </w:tc>
        <w:tc>
          <w:tcPr>
            <w:tcW w:w="1732" w:type="dxa"/>
            <w:vAlign w:val="center"/>
          </w:tcPr>
          <w:p w14:paraId="66DE2E67">
            <w:pPr>
              <w:pStyle w:val="22"/>
              <w:bidi w:val="0"/>
              <w:jc w:val="center"/>
              <w:rPr>
                <w:rFonts w:hint="default"/>
                <w:highlight w:val="none"/>
              </w:rPr>
            </w:pPr>
            <w:r>
              <w:rPr>
                <w:rFonts w:hint="default"/>
                <w:highlight w:val="none"/>
                <w:lang w:val="en-US" w:eastAsia="zh-CN"/>
              </w:rPr>
              <w:t>0.000140</w:t>
            </w:r>
          </w:p>
        </w:tc>
        <w:tc>
          <w:tcPr>
            <w:tcW w:w="1731" w:type="dxa"/>
            <w:vAlign w:val="center"/>
          </w:tcPr>
          <w:p w14:paraId="372D86FF">
            <w:pPr>
              <w:pStyle w:val="22"/>
              <w:bidi w:val="0"/>
              <w:jc w:val="center"/>
              <w:rPr>
                <w:rFonts w:hint="default"/>
                <w:highlight w:val="none"/>
              </w:rPr>
            </w:pPr>
            <w:r>
              <w:rPr>
                <w:rFonts w:hint="default"/>
                <w:highlight w:val="none"/>
                <w:lang w:val="en-US" w:eastAsia="zh-CN"/>
              </w:rPr>
              <w:t>0.000010</w:t>
            </w:r>
          </w:p>
        </w:tc>
      </w:tr>
      <w:tr w14:paraId="3F008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1" w:hRule="atLeast"/>
        </w:trPr>
        <w:tc>
          <w:tcPr>
            <w:tcW w:w="1643" w:type="dxa"/>
            <w:vAlign w:val="center"/>
          </w:tcPr>
          <w:p w14:paraId="1484A32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合计</w:t>
            </w:r>
          </w:p>
        </w:tc>
        <w:tc>
          <w:tcPr>
            <w:tcW w:w="1619" w:type="dxa"/>
            <w:vAlign w:val="center"/>
          </w:tcPr>
          <w:p w14:paraId="7F714EC5">
            <w:pPr>
              <w:pStyle w:val="22"/>
              <w:bidi w:val="0"/>
              <w:jc w:val="center"/>
              <w:rPr>
                <w:rFonts w:hint="default"/>
                <w:highlight w:val="none"/>
              </w:rPr>
            </w:pPr>
            <w:r>
              <w:rPr>
                <w:rFonts w:hint="default"/>
                <w:highlight w:val="none"/>
                <w:lang w:val="en-US" w:eastAsia="zh-CN"/>
              </w:rPr>
              <w:t>5.920689</w:t>
            </w:r>
          </w:p>
        </w:tc>
        <w:tc>
          <w:tcPr>
            <w:tcW w:w="1732" w:type="dxa"/>
            <w:vAlign w:val="center"/>
          </w:tcPr>
          <w:p w14:paraId="6D506893">
            <w:pPr>
              <w:pStyle w:val="22"/>
              <w:bidi w:val="0"/>
              <w:jc w:val="center"/>
              <w:rPr>
                <w:rFonts w:hint="default"/>
                <w:highlight w:val="none"/>
              </w:rPr>
            </w:pPr>
            <w:r>
              <w:rPr>
                <w:rFonts w:hint="default"/>
                <w:highlight w:val="none"/>
                <w:lang w:val="en-US" w:eastAsia="zh-CN"/>
              </w:rPr>
              <w:t>0.007176</w:t>
            </w:r>
          </w:p>
        </w:tc>
        <w:tc>
          <w:tcPr>
            <w:tcW w:w="1732" w:type="dxa"/>
            <w:vAlign w:val="center"/>
          </w:tcPr>
          <w:p w14:paraId="4F99C8DA">
            <w:pPr>
              <w:pStyle w:val="22"/>
              <w:bidi w:val="0"/>
              <w:jc w:val="center"/>
              <w:rPr>
                <w:rFonts w:hint="default"/>
                <w:highlight w:val="none"/>
              </w:rPr>
            </w:pPr>
            <w:r>
              <w:rPr>
                <w:rFonts w:hint="default"/>
                <w:highlight w:val="none"/>
                <w:lang w:val="en-US" w:eastAsia="zh-CN"/>
              </w:rPr>
              <w:t>1.131199</w:t>
            </w:r>
          </w:p>
        </w:tc>
        <w:tc>
          <w:tcPr>
            <w:tcW w:w="1731" w:type="dxa"/>
            <w:vAlign w:val="center"/>
          </w:tcPr>
          <w:p w14:paraId="227513B4">
            <w:pPr>
              <w:pStyle w:val="22"/>
              <w:bidi w:val="0"/>
              <w:jc w:val="center"/>
              <w:rPr>
                <w:rFonts w:hint="default"/>
                <w:highlight w:val="none"/>
              </w:rPr>
            </w:pPr>
            <w:r>
              <w:rPr>
                <w:rFonts w:hint="default"/>
                <w:highlight w:val="none"/>
                <w:lang w:val="en-US" w:eastAsia="zh-CN"/>
              </w:rPr>
              <w:t>0.904511</w:t>
            </w:r>
          </w:p>
        </w:tc>
      </w:tr>
    </w:tbl>
    <w:p w14:paraId="0565C9A2">
      <w:pPr>
        <w:rPr>
          <w:rFonts w:hint="default" w:ascii="Times New Roman" w:hAnsi="Times New Roman" w:cs="Times New Roman"/>
          <w:highlight w:val="none"/>
          <w:lang w:val="en-US" w:eastAsia="zh-CN"/>
        </w:rPr>
      </w:pPr>
    </w:p>
    <w:p w14:paraId="5FDEF9C8">
      <w:pPr>
        <w:pStyle w:val="5"/>
        <w:bidi w:val="0"/>
        <w:rPr>
          <w:rFonts w:hint="default"/>
          <w:highlight w:val="none"/>
          <w:lang w:val="en-US" w:eastAsia="zh-CN"/>
        </w:rPr>
      </w:pPr>
      <w:r>
        <w:rPr>
          <w:rFonts w:hint="default"/>
          <w:highlight w:val="none"/>
          <w:lang w:val="en-US" w:eastAsia="zh-CN"/>
        </w:rPr>
        <w:t>水文水资源影响回顾性评价</w:t>
      </w:r>
    </w:p>
    <w:p w14:paraId="4252E12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冷龙沟流域水资源总量</w:t>
      </w:r>
      <w:r>
        <w:rPr>
          <w:rFonts w:hint="eastAsia" w:cs="Times New Roman"/>
          <w:highlight w:val="none"/>
          <w:lang w:val="en-US" w:eastAsia="zh-CN"/>
        </w:rPr>
        <w:t>1280万</w:t>
      </w: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。截止2023年底，仅涉及城乡供水工程1处，供应人口1万人，设计供水规模255万吨/年，实际供水62.05万吨/年。不涉及工农业取水。经计算，冷龙沟现状水资源开发利用率为</w:t>
      </w:r>
      <w:r>
        <w:rPr>
          <w:rFonts w:hint="eastAsia" w:cs="Times New Roman"/>
          <w:highlight w:val="none"/>
          <w:lang w:val="en-US" w:eastAsia="zh-CN"/>
        </w:rPr>
        <w:t>4.85</w:t>
      </w:r>
      <w:r>
        <w:rPr>
          <w:rFonts w:hint="default" w:ascii="Times New Roman" w:hAnsi="Times New Roman" w:cs="Times New Roman"/>
          <w:highlight w:val="none"/>
          <w:lang w:val="en-US" w:eastAsia="zh-CN"/>
        </w:rPr>
        <w:t>%。</w:t>
      </w:r>
    </w:p>
    <w:p w14:paraId="69A7EC9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目前来看：</w:t>
      </w:r>
    </w:p>
    <w:p w14:paraId="14EB97F3">
      <w:pPr>
        <w:numPr>
          <w:ilvl w:val="0"/>
          <w:numId w:val="44"/>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城市供水保障问题突出。冷龙沟是乡城县县城香巴拉镇饮用水源地，且为单一供水水源。流域水量年际变化较大，取水保障程度不高，季节性缺水严重。供水安全风险较高，不仅危及到经济社会的可持续发展，更使得人民群众的身体健康与生命安全受到威胁，甚至导致社会不稳定。随着经济社会发展对水资源需求提高，供需矛盾越发突出，急需综合规划工程项目缓解供需矛盾。</w:t>
      </w:r>
    </w:p>
    <w:p w14:paraId="49243034">
      <w:pPr>
        <w:numPr>
          <w:ilvl w:val="0"/>
          <w:numId w:val="44"/>
        </w:num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体系尚不健全。冷龙沟流域水量小，未发生洪灾等事故。但河段下游因非法挖山采石及周边项目施工等，下游河段善淤多变，水流散乱，主流摆动不定，对河道滩地及堤防冲刷威胁较大，当地居民生产、生产生活及财产安全受到了一定程度的威胁。由于流域海拔较高、地广人稀少，但下游仍分布有村庄及耕地，而乡城县对下游几乎无防洪投入，而冷龙沟流域内尚无大型水库等控制性水利枢纽工程，控制流域面积较小，两岸村庄和农田缺乏有效保障。流域整体防洪标准较低，防洪形势十分严峻。</w:t>
      </w:r>
    </w:p>
    <w:p w14:paraId="75CB7214">
      <w:pPr>
        <w:pStyle w:val="5"/>
        <w:bidi w:val="0"/>
        <w:rPr>
          <w:rFonts w:hint="default"/>
          <w:highlight w:val="none"/>
          <w:lang w:val="en-US" w:eastAsia="zh-CN"/>
        </w:rPr>
      </w:pPr>
      <w:r>
        <w:rPr>
          <w:rFonts w:hint="default"/>
          <w:highlight w:val="none"/>
          <w:lang w:val="en-US" w:eastAsia="zh-CN"/>
        </w:rPr>
        <w:t>水环境影响回顾性评价</w:t>
      </w:r>
    </w:p>
    <w:p w14:paraId="7729F253">
      <w:pPr>
        <w:spacing w:before="184" w:line="346" w:lineRule="auto"/>
        <w:ind w:left="32" w:right="80" w:firstLine="470"/>
        <w:rPr>
          <w:rFonts w:ascii="宋体" w:hAnsi="宋体" w:eastAsia="宋体" w:cs="宋体"/>
          <w:sz w:val="24"/>
          <w:szCs w:val="24"/>
          <w:highlight w:val="none"/>
        </w:rPr>
      </w:pPr>
      <w:r>
        <w:rPr>
          <w:rFonts w:ascii="宋体" w:hAnsi="宋体" w:eastAsia="宋体" w:cs="宋体"/>
          <w:spacing w:val="-3"/>
          <w:sz w:val="24"/>
          <w:szCs w:val="24"/>
          <w:highlight w:val="none"/>
        </w:rPr>
        <w:t>结合污染源计算，对所收集到的</w:t>
      </w:r>
      <w:r>
        <w:rPr>
          <w:rFonts w:hint="eastAsia" w:ascii="宋体" w:hAnsi="宋体" w:eastAsia="宋体" w:cs="宋体"/>
          <w:spacing w:val="-3"/>
          <w:sz w:val="24"/>
          <w:szCs w:val="24"/>
          <w:highlight w:val="none"/>
          <w:lang w:val="en-US" w:eastAsia="zh-CN"/>
        </w:rPr>
        <w:t>冷龙沟</w:t>
      </w:r>
      <w:r>
        <w:rPr>
          <w:rFonts w:ascii="宋体" w:hAnsi="宋体" w:eastAsia="宋体" w:cs="宋体"/>
          <w:spacing w:val="-3"/>
          <w:sz w:val="24"/>
          <w:szCs w:val="24"/>
          <w:highlight w:val="none"/>
        </w:rPr>
        <w:t>流域内的常规监控</w:t>
      </w:r>
      <w:r>
        <w:rPr>
          <w:rFonts w:ascii="宋体" w:hAnsi="宋体" w:eastAsia="宋体" w:cs="宋体"/>
          <w:spacing w:val="-1"/>
          <w:sz w:val="24"/>
          <w:szCs w:val="24"/>
          <w:highlight w:val="none"/>
        </w:rPr>
        <w:t>断面、乡镇水源地的水质监测数据和本次补充监测的水质结果汇总分析如下：</w:t>
      </w:r>
    </w:p>
    <w:p w14:paraId="59A0BD26">
      <w:pPr>
        <w:spacing w:before="36" w:line="217" w:lineRule="auto"/>
        <w:rPr>
          <w:rFonts w:hint="default" w:ascii="宋体" w:hAnsi="宋体" w:eastAsia="宋体" w:cs="宋体"/>
          <w:sz w:val="24"/>
          <w:szCs w:val="24"/>
          <w:highlight w:val="none"/>
          <w:lang w:val="en-US" w:eastAsia="zh-CN"/>
        </w:rPr>
      </w:pPr>
      <w:r>
        <w:rPr>
          <w:rFonts w:ascii="宋体" w:hAnsi="宋体" w:eastAsia="宋体" w:cs="宋体"/>
          <w:spacing w:val="-2"/>
          <w:sz w:val="24"/>
          <w:szCs w:val="24"/>
          <w:highlight w:val="none"/>
        </w:rPr>
        <w:t>①</w:t>
      </w:r>
      <w:r>
        <w:rPr>
          <w:rFonts w:hint="eastAsia" w:ascii="宋体" w:hAnsi="宋体" w:eastAsia="宋体" w:cs="宋体"/>
          <w:spacing w:val="-2"/>
          <w:sz w:val="24"/>
          <w:szCs w:val="24"/>
          <w:highlight w:val="none"/>
          <w:lang w:val="en-US" w:eastAsia="zh-CN"/>
        </w:rPr>
        <w:t>水源地监测</w:t>
      </w:r>
    </w:p>
    <w:p w14:paraId="5F46826E">
      <w:pPr>
        <w:bidi w:val="0"/>
        <w:rPr>
          <w:rFonts w:hint="eastAsia" w:ascii="宋体" w:hAnsi="宋体" w:eastAsia="宋体" w:cs="宋体"/>
          <w:spacing w:val="2"/>
          <w:sz w:val="24"/>
          <w:szCs w:val="24"/>
          <w:highlight w:val="none"/>
        </w:rPr>
      </w:pPr>
      <w:r>
        <w:rPr>
          <w:rFonts w:ascii="宋体" w:hAnsi="宋体" w:eastAsia="宋体" w:cs="宋体"/>
          <w:spacing w:val="2"/>
          <w:sz w:val="24"/>
          <w:szCs w:val="24"/>
          <w:highlight w:val="none"/>
        </w:rPr>
        <w:t>近三年</w:t>
      </w:r>
      <w:r>
        <w:rPr>
          <w:rFonts w:hint="eastAsia" w:ascii="宋体" w:hAnsi="宋体" w:eastAsia="宋体" w:cs="宋体"/>
          <w:spacing w:val="2"/>
          <w:sz w:val="24"/>
          <w:szCs w:val="24"/>
          <w:highlight w:val="none"/>
        </w:rPr>
        <w:t>冷龙沟流域除（总氮不参评外）</w:t>
      </w:r>
      <w:r>
        <w:rPr>
          <w:rFonts w:hint="eastAsia" w:ascii="宋体" w:hAnsi="宋体" w:eastAsia="宋体" w:cs="宋体"/>
          <w:spacing w:val="2"/>
          <w:sz w:val="24"/>
          <w:szCs w:val="24"/>
          <w:highlight w:val="none"/>
          <w:lang w:eastAsia="zh-CN"/>
        </w:rPr>
        <w:t>，</w:t>
      </w:r>
      <w:r>
        <w:rPr>
          <w:rFonts w:hint="eastAsia" w:ascii="宋体" w:hAnsi="宋体" w:eastAsia="宋体" w:cs="宋体"/>
          <w:spacing w:val="2"/>
          <w:sz w:val="24"/>
          <w:szCs w:val="24"/>
          <w:highlight w:val="none"/>
        </w:rPr>
        <w:t>一直稳定较稳定达到《地表水环境质量标准》中Ⅱ类标准限值。</w:t>
      </w:r>
    </w:p>
    <w:p w14:paraId="07B73116">
      <w:pPr>
        <w:bidi w:val="0"/>
        <w:rPr>
          <w:rFonts w:hint="default" w:ascii="宋体" w:hAnsi="宋体" w:eastAsia="宋体" w:cs="宋体"/>
          <w:spacing w:val="2"/>
          <w:sz w:val="24"/>
          <w:szCs w:val="24"/>
          <w:highlight w:val="none"/>
          <w:lang w:val="en-US" w:eastAsia="zh-CN"/>
        </w:rPr>
      </w:pPr>
      <w:r>
        <w:rPr>
          <w:rFonts w:hint="default" w:ascii="宋体" w:hAnsi="宋体" w:eastAsia="宋体" w:cs="宋体"/>
          <w:spacing w:val="2"/>
          <w:sz w:val="24"/>
          <w:szCs w:val="24"/>
          <w:highlight w:val="none"/>
          <w:lang w:val="en-US" w:eastAsia="zh-CN"/>
        </w:rPr>
        <w:t>②补充监测</w:t>
      </w:r>
    </w:p>
    <w:p w14:paraId="6EDFB854">
      <w:pPr>
        <w:bidi w:val="0"/>
        <w:rPr>
          <w:rFonts w:hint="default" w:ascii="Times New Roman" w:hAnsi="Times New Roman" w:eastAsia="宋体" w:cs="Times New Roman"/>
          <w:spacing w:val="2"/>
          <w:sz w:val="24"/>
          <w:szCs w:val="24"/>
          <w:highlight w:val="none"/>
          <w:lang w:val="en-US" w:eastAsia="zh-CN"/>
        </w:rPr>
      </w:pPr>
      <w:r>
        <w:rPr>
          <w:rFonts w:hint="default" w:ascii="Times New Roman" w:hAnsi="Times New Roman" w:eastAsia="宋体" w:cs="Times New Roman"/>
          <w:spacing w:val="2"/>
          <w:sz w:val="24"/>
          <w:szCs w:val="24"/>
          <w:highlight w:val="none"/>
          <w:lang w:val="en-US" w:eastAsia="zh-CN"/>
        </w:rPr>
        <w:t>本次冷龙沟流域，1#-2#各断面水质监测指标基本符合GB3838-2002中</w:t>
      </w:r>
      <w:r>
        <w:rPr>
          <w:rFonts w:hint="default" w:ascii="Times New Roman" w:hAnsi="Times New Roman" w:cs="Times New Roman"/>
          <w:color w:val="000000" w:themeColor="text1"/>
          <w:sz w:val="24"/>
          <w:highlight w:val="none"/>
          <w14:textFill>
            <w14:solidFill>
              <w14:schemeClr w14:val="tx1"/>
            </w14:solidFill>
          </w14:textFill>
        </w:rPr>
        <w:t>II</w:t>
      </w:r>
      <w:r>
        <w:rPr>
          <w:rFonts w:hint="default" w:ascii="Times New Roman" w:hAnsi="Times New Roman" w:eastAsia="宋体" w:cs="Times New Roman"/>
          <w:spacing w:val="2"/>
          <w:sz w:val="24"/>
          <w:szCs w:val="24"/>
          <w:highlight w:val="none"/>
          <w:lang w:val="en-US" w:eastAsia="zh-CN"/>
        </w:rPr>
        <w:t>类水质要求。</w:t>
      </w:r>
    </w:p>
    <w:p w14:paraId="7E7BB6AD">
      <w:pPr>
        <w:bidi w:val="0"/>
        <w:rPr>
          <w:rFonts w:hint="default" w:ascii="Times New Roman" w:hAnsi="Times New Roman" w:eastAsia="宋体" w:cs="Times New Roman"/>
          <w:spacing w:val="2"/>
          <w:sz w:val="24"/>
          <w:szCs w:val="24"/>
          <w:highlight w:val="none"/>
          <w:lang w:val="en-US" w:eastAsia="zh-CN"/>
        </w:rPr>
      </w:pPr>
      <w:r>
        <w:rPr>
          <w:rFonts w:hint="default" w:ascii="Times New Roman" w:hAnsi="Times New Roman" w:eastAsia="宋体" w:cs="Times New Roman"/>
          <w:spacing w:val="2"/>
          <w:sz w:val="24"/>
          <w:szCs w:val="24"/>
          <w:highlight w:val="none"/>
          <w:lang w:val="en-US" w:eastAsia="zh-CN"/>
        </w:rPr>
        <w:t>综上所述，</w:t>
      </w:r>
      <w:r>
        <w:rPr>
          <w:rFonts w:hint="eastAsia" w:ascii="Times New Roman" w:hAnsi="Times New Roman" w:eastAsia="宋体" w:cs="Times New Roman"/>
          <w:spacing w:val="2"/>
          <w:sz w:val="24"/>
          <w:szCs w:val="24"/>
          <w:highlight w:val="none"/>
          <w:lang w:val="en-US" w:eastAsia="zh-CN"/>
        </w:rPr>
        <w:t>冷龙沟流域</w:t>
      </w:r>
      <w:r>
        <w:rPr>
          <w:rFonts w:hint="default" w:ascii="Times New Roman" w:hAnsi="Times New Roman" w:eastAsia="宋体" w:cs="Times New Roman"/>
          <w:spacing w:val="2"/>
          <w:sz w:val="24"/>
          <w:szCs w:val="24"/>
          <w:highlight w:val="none"/>
          <w:lang w:val="en-US" w:eastAsia="zh-CN"/>
        </w:rPr>
        <w:t>水质现状总体良好</w:t>
      </w:r>
      <w:r>
        <w:rPr>
          <w:rFonts w:hint="eastAsia" w:ascii="Times New Roman" w:hAnsi="Times New Roman" w:eastAsia="宋体" w:cs="Times New Roman"/>
          <w:spacing w:val="2"/>
          <w:sz w:val="24"/>
          <w:szCs w:val="24"/>
          <w:highlight w:val="none"/>
          <w:lang w:val="en-US" w:eastAsia="zh-CN"/>
        </w:rPr>
        <w:t>。</w:t>
      </w:r>
    </w:p>
    <w:p w14:paraId="62C0185E">
      <w:pPr>
        <w:pStyle w:val="5"/>
        <w:bidi w:val="0"/>
        <w:rPr>
          <w:rFonts w:hint="default"/>
          <w:highlight w:val="none"/>
          <w:lang w:val="en-US" w:eastAsia="zh-CN"/>
        </w:rPr>
      </w:pPr>
      <w:r>
        <w:rPr>
          <w:rFonts w:hint="default"/>
          <w:highlight w:val="none"/>
          <w:lang w:val="en-US" w:eastAsia="zh-CN"/>
        </w:rPr>
        <w:t>生态环境影响回顾性评价</w:t>
      </w:r>
    </w:p>
    <w:p w14:paraId="58A2931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2023年年底，冷龙沟流域河岸基本为自然河岸，无防洪河道整治及防洪措施施行。仅有一处城市取水水源地用于取水。据调查，供水厂取水导致下游河段水量减小。根据调查，目前河道未产生脱水河段，对水生生物影响较小。整体上对影响区植物物种、植物区系和资源植物的影响有限，没有导致物种的消失和植物区系的变化。</w:t>
      </w:r>
    </w:p>
    <w:p w14:paraId="7965462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但冷龙沟流域水土保持工作起步晚。因地形地貌、降水等原因水土流失存在，再加上大部分耕地山高坡陡，位于山腰，且绝大多数农民还是采用顺坡耕作方式加剧了水土流失。地方目前水土流失防治水平不高，水土保持工作与资金投入有待进一步加强。</w:t>
      </w:r>
    </w:p>
    <w:p w14:paraId="1DC090A1">
      <w:pPr>
        <w:rPr>
          <w:rFonts w:hint="default" w:ascii="Times New Roman" w:hAnsi="Times New Roman" w:cs="Times New Roman"/>
          <w:highlight w:val="none"/>
          <w:lang w:val="en-US" w:eastAsia="zh-CN"/>
        </w:rPr>
      </w:pPr>
      <w:r>
        <w:rPr>
          <w:rFonts w:hint="eastAsia" w:cs="Times New Roman"/>
          <w:highlight w:val="none"/>
          <w:lang w:val="en-US" w:eastAsia="zh-CN"/>
        </w:rPr>
        <w:t>1、水生生态</w:t>
      </w:r>
    </w:p>
    <w:p w14:paraId="50001FC2">
      <w:pPr>
        <w:numPr>
          <w:ilvl w:val="0"/>
          <w:numId w:val="45"/>
        </w:numPr>
        <w:bidi w:val="0"/>
        <w:rPr>
          <w:rFonts w:hint="eastAsia"/>
          <w:highlight w:val="none"/>
          <w:lang w:val="en-US" w:eastAsia="zh-CN"/>
        </w:rPr>
      </w:pPr>
      <w:r>
        <w:rPr>
          <w:rFonts w:hint="eastAsia"/>
          <w:highlight w:val="none"/>
          <w:lang w:val="en-US" w:eastAsia="zh-CN"/>
        </w:rPr>
        <w:t>浮游动植物</w:t>
      </w:r>
    </w:p>
    <w:p w14:paraId="746C7E03">
      <w:pPr>
        <w:bidi w:val="0"/>
        <w:rPr>
          <w:rFonts w:hint="default"/>
          <w:highlight w:val="none"/>
          <w:lang w:val="en-US" w:eastAsia="zh-CN"/>
        </w:rPr>
      </w:pPr>
      <w:r>
        <w:rPr>
          <w:rFonts w:hint="default"/>
          <w:highlight w:val="none"/>
          <w:lang w:val="en-US" w:eastAsia="zh-CN"/>
        </w:rPr>
        <w:t>水体中的藻类植物个体、种群或群落的变化，都可以客观反映出水体质量的变化规律。多样性是群落的主要特征，在水质清洁的条件下，浮游藻类的种类多，个体数相对稳定。当环境条件发生变化时，不同种类对新因素的敏感性和耐受能力是不同的，敏感种类在不利条件下逐渐死亡，抗性强的种类则大量发展。即污染过的水体，浮游藻类种类将减少，数量则增加。利用生物多样性指数可反映水质污染状况以及浮游藻类物种和数量的关系。结果显示6个采样点中藻类多样性指数α值均在1-3之间，说明这几个采样点的水生生态环境较好，受到轻度污染。其中，靠近村庄的3、4和5采样点，两次评价的藻类多样性指数α值均较低，这可能是由于村庄生活污水等排放导致的。总体看来，河段浮游动物组成简单，数量较少，这是由山区河流海拔高，急流多滩，且水体温度较低等环境因素所决定的。</w:t>
      </w:r>
    </w:p>
    <w:p w14:paraId="489926A1">
      <w:pPr>
        <w:bidi w:val="0"/>
        <w:rPr>
          <w:rFonts w:hint="eastAsia"/>
          <w:highlight w:val="none"/>
          <w:lang w:val="en-US" w:eastAsia="zh-CN"/>
        </w:rPr>
      </w:pPr>
      <w:r>
        <w:rPr>
          <w:rFonts w:hint="eastAsia"/>
          <w:highlight w:val="none"/>
          <w:lang w:val="en-US" w:eastAsia="zh-CN"/>
        </w:rPr>
        <w:t>（2）底栖动物</w:t>
      </w:r>
    </w:p>
    <w:p w14:paraId="33842016">
      <w:pPr>
        <w:bidi w:val="0"/>
        <w:rPr>
          <w:rFonts w:hint="default"/>
          <w:highlight w:val="none"/>
          <w:lang w:val="en-US" w:eastAsia="zh-CN"/>
        </w:rPr>
      </w:pPr>
      <w:r>
        <w:rPr>
          <w:rFonts w:hint="default"/>
          <w:highlight w:val="none"/>
          <w:lang w:val="en-US" w:eastAsia="zh-CN"/>
        </w:rPr>
        <w:t>底栖无脊椎动物是分布于水体底部的许多无脊椎动物种类的总称，其类群组成及种类数量与所处水域环境质量密切相关，特别是该类群中的多数种类，具有被动摄食方式，生命周期较长，缺乏有效的逃避敌害的运动能力等特点，在水体环境发生变化时，更能够较客观地反映出水体的质量，因此，底栖无脊椎动物较其它水生生物类群对水域环境更具有指示性。尽管采集到的底栖无脊椎动物数量相对较少，但是也可以从出现的种类作为指示生物来大体判断调查水域水质的情况。</w:t>
      </w:r>
    </w:p>
    <w:p w14:paraId="45AC1E16">
      <w:pPr>
        <w:bidi w:val="0"/>
        <w:rPr>
          <w:rFonts w:hint="default"/>
          <w:highlight w:val="none"/>
          <w:lang w:val="en-US" w:eastAsia="zh-CN"/>
        </w:rPr>
      </w:pPr>
      <w:r>
        <w:rPr>
          <w:rFonts w:hint="default"/>
          <w:highlight w:val="none"/>
          <w:lang w:val="en-US" w:eastAsia="zh-CN"/>
        </w:rPr>
        <w:t>各个采样断面常见为昆虫纲中的种类，例如蜉蝣目的扁蜉和襀翅目中的石蝇等，这些无脊椎动物所要求的生存环境需溶氧较高的水环境。这些动物所栖息的水环境若被污染，水体含氧量降低，常引起它们大量死亡，所以栖息水域的清洁度和含氧量是影响他们它们分布的主要因素。因此，从6个采样点采集到底栖无脊椎动物类群的情况表明，</w:t>
      </w:r>
      <w:r>
        <w:rPr>
          <w:rFonts w:hint="eastAsia"/>
          <w:highlight w:val="none"/>
          <w:lang w:val="en-US" w:eastAsia="zh-CN"/>
        </w:rPr>
        <w:t>该流域</w:t>
      </w:r>
      <w:r>
        <w:rPr>
          <w:rFonts w:hint="default"/>
          <w:highlight w:val="none"/>
          <w:lang w:val="en-US" w:eastAsia="zh-CN"/>
        </w:rPr>
        <w:t>水质总体较好。</w:t>
      </w:r>
    </w:p>
    <w:p w14:paraId="2720A00B">
      <w:pPr>
        <w:bidi w:val="0"/>
        <w:rPr>
          <w:rFonts w:hint="default"/>
          <w:highlight w:val="none"/>
          <w:lang w:val="en-US" w:eastAsia="zh-CN"/>
        </w:rPr>
      </w:pPr>
      <w:r>
        <w:rPr>
          <w:rFonts w:hint="eastAsia"/>
          <w:highlight w:val="none"/>
          <w:lang w:val="en-US" w:eastAsia="zh-CN"/>
        </w:rPr>
        <w:t>（3）鱼类资源</w:t>
      </w:r>
    </w:p>
    <w:p w14:paraId="0977F89E">
      <w:pPr>
        <w:bidi w:val="0"/>
        <w:rPr>
          <w:rFonts w:hint="default"/>
          <w:highlight w:val="none"/>
          <w:lang w:val="en-US" w:eastAsia="zh-CN"/>
        </w:rPr>
      </w:pPr>
      <w:r>
        <w:rPr>
          <w:rFonts w:hint="eastAsia"/>
          <w:highlight w:val="none"/>
          <w:lang w:val="en-US" w:eastAsia="zh-CN"/>
        </w:rPr>
        <w:t>冷龙沟流域范围内无保护鱼类及鱼类三场。</w:t>
      </w:r>
    </w:p>
    <w:p w14:paraId="17448446">
      <w:pPr>
        <w:rPr>
          <w:rFonts w:hint="eastAsia" w:cs="Times New Roman"/>
          <w:highlight w:val="none"/>
          <w:lang w:val="en-US" w:eastAsia="zh-CN"/>
        </w:rPr>
      </w:pPr>
      <w:r>
        <w:rPr>
          <w:rFonts w:hint="eastAsia" w:cs="Times New Roman"/>
          <w:highlight w:val="none"/>
          <w:lang w:val="en-US" w:eastAsia="zh-CN"/>
        </w:rPr>
        <w:t>2、陆生生态</w:t>
      </w:r>
    </w:p>
    <w:p w14:paraId="64EDB4FA">
      <w:pPr>
        <w:bidi w:val="0"/>
        <w:rPr>
          <w:rFonts w:hint="eastAsia"/>
          <w:highlight w:val="none"/>
          <w:lang w:val="en-US" w:eastAsia="zh-CN"/>
        </w:rPr>
      </w:pPr>
      <w:r>
        <w:rPr>
          <w:rFonts w:hint="eastAsia"/>
          <w:highlight w:val="none"/>
          <w:lang w:val="en-US" w:eastAsia="zh-CN"/>
        </w:rPr>
        <w:t>（1）</w:t>
      </w:r>
    </w:p>
    <w:p w14:paraId="34945B68">
      <w:pPr>
        <w:pStyle w:val="3"/>
        <w:bidi w:val="0"/>
        <w:rPr>
          <w:rFonts w:hint="default"/>
          <w:highlight w:val="none"/>
          <w:lang w:val="en-US" w:eastAsia="zh-CN"/>
        </w:rPr>
      </w:pPr>
      <w:bookmarkStart w:id="52" w:name="_Toc10768"/>
      <w:r>
        <w:rPr>
          <w:rFonts w:hint="eastAsia"/>
          <w:highlight w:val="none"/>
          <w:lang w:val="en-US" w:eastAsia="zh-CN"/>
        </w:rPr>
        <w:t>面临的环境问题与解决方向</w:t>
      </w:r>
      <w:bookmarkEnd w:id="52"/>
    </w:p>
    <w:p w14:paraId="3F690229">
      <w:pPr>
        <w:pStyle w:val="4"/>
        <w:bidi w:val="0"/>
        <w:rPr>
          <w:rFonts w:hint="default"/>
          <w:highlight w:val="none"/>
          <w:lang w:val="en-US" w:eastAsia="zh-CN"/>
        </w:rPr>
      </w:pPr>
      <w:r>
        <w:rPr>
          <w:rFonts w:hint="eastAsia"/>
          <w:highlight w:val="none"/>
          <w:lang w:val="en-US" w:eastAsia="zh-CN"/>
        </w:rPr>
        <w:t>面临的主要环境问题</w:t>
      </w:r>
    </w:p>
    <w:p w14:paraId="2723D46C">
      <w:pPr>
        <w:bidi w:val="0"/>
        <w:rPr>
          <w:rFonts w:hint="eastAsia"/>
          <w:highlight w:val="none"/>
          <w:lang w:val="en-US" w:eastAsia="zh-CN"/>
        </w:rPr>
      </w:pPr>
      <w:r>
        <w:rPr>
          <w:rFonts w:hint="eastAsia"/>
          <w:highlight w:val="none"/>
          <w:lang w:val="en-US" w:eastAsia="zh-CN"/>
        </w:rPr>
        <w:t>（1）城市供水保障问题突出。</w:t>
      </w:r>
    </w:p>
    <w:p w14:paraId="7B1AAFCD">
      <w:pPr>
        <w:rPr>
          <w:rFonts w:hint="default"/>
          <w:highlight w:val="none"/>
          <w:lang w:val="en-US" w:eastAsia="zh-CN"/>
        </w:rPr>
      </w:pPr>
      <w:r>
        <w:rPr>
          <w:rFonts w:hint="default"/>
          <w:highlight w:val="none"/>
          <w:lang w:val="en-US" w:eastAsia="zh-CN"/>
        </w:rPr>
        <w:t>冷龙沟是乡城县县城香巴拉镇饮用水源地，且为单一供水水源。流域水量年际变化较大，取水保障程度不高，季节性缺水严重。供水安全风险较高，不仅危及到经济社会的可持续发展，更使得人民群众的身体健康与生命安全受到威胁，甚至导致社会不稳定。随着经济社会发展对水资源需求提高，供需矛盾越发突出，急需综合规划工程项目缓解供需矛盾。</w:t>
      </w:r>
    </w:p>
    <w:p w14:paraId="158CA684">
      <w:pPr>
        <w:bidi w:val="0"/>
        <w:rPr>
          <w:rFonts w:hint="eastAsia"/>
          <w:highlight w:val="none"/>
          <w:lang w:val="en-US" w:eastAsia="zh-CN"/>
        </w:rPr>
      </w:pPr>
      <w:r>
        <w:rPr>
          <w:rFonts w:hint="eastAsia"/>
          <w:highlight w:val="none"/>
          <w:lang w:val="en-US" w:eastAsia="zh-CN"/>
        </w:rPr>
        <w:t>（2）防洪体系尚不健全。</w:t>
      </w:r>
    </w:p>
    <w:p w14:paraId="7213C7A3">
      <w:pPr>
        <w:rPr>
          <w:rFonts w:hint="default"/>
          <w:highlight w:val="none"/>
          <w:lang w:val="en-US" w:eastAsia="zh-CN"/>
        </w:rPr>
      </w:pPr>
      <w:r>
        <w:rPr>
          <w:rFonts w:hint="default"/>
          <w:highlight w:val="none"/>
          <w:lang w:val="en-US" w:eastAsia="zh-CN"/>
        </w:rPr>
        <w:t>冷龙沟流域水量小，未发生洪灾等事故。但河段下游因非法挖山采石及周边项目施工等，下游河段善淤多变，水流散乱，主流摆动不定，对河道滩地及堤防冲刷威胁较大，当地居民生产、生产生活及财产安全受到了一定程度的威胁。由于流域海拔较高、地广人稀少，但下游仍分布有村庄及耕地，而乡城县对下游几乎无防洪投入，而冷龙沟流域内尚无大型水库等控制性水利枢纽工程，控制流域面积较小，两岸村庄和农田缺乏有效保障。流域整体防洪标准较低，防洪形势</w:t>
      </w:r>
      <w:r>
        <w:rPr>
          <w:rFonts w:hint="eastAsia"/>
          <w:highlight w:val="none"/>
          <w:lang w:val="en-US" w:eastAsia="zh-CN"/>
        </w:rPr>
        <w:t>较为</w:t>
      </w:r>
      <w:r>
        <w:rPr>
          <w:rFonts w:hint="default"/>
          <w:highlight w:val="none"/>
          <w:lang w:val="en-US" w:eastAsia="zh-CN"/>
        </w:rPr>
        <w:t>严峻。</w:t>
      </w:r>
    </w:p>
    <w:p w14:paraId="2F167901">
      <w:pPr>
        <w:bidi w:val="0"/>
        <w:rPr>
          <w:rFonts w:hint="eastAsia"/>
          <w:highlight w:val="none"/>
          <w:lang w:val="en-US" w:eastAsia="zh-CN"/>
        </w:rPr>
      </w:pPr>
      <w:r>
        <w:rPr>
          <w:rFonts w:hint="eastAsia"/>
          <w:highlight w:val="none"/>
          <w:lang w:val="en-US" w:eastAsia="zh-CN"/>
        </w:rPr>
        <w:t>（3）水土流失影响。</w:t>
      </w:r>
    </w:p>
    <w:p w14:paraId="73163258">
      <w:pPr>
        <w:rPr>
          <w:rFonts w:hint="eastAsia"/>
          <w:highlight w:val="none"/>
          <w:lang w:val="en-US" w:eastAsia="zh-CN"/>
        </w:rPr>
      </w:pPr>
      <w:r>
        <w:rPr>
          <w:rFonts w:hint="default"/>
          <w:highlight w:val="none"/>
          <w:lang w:val="en-US" w:eastAsia="zh-CN"/>
        </w:rPr>
        <w:t>乡城县位于青藏高原区，高原季风气候十分显著，降雨年内分布不均，</w:t>
      </w:r>
      <w:r>
        <w:rPr>
          <w:rFonts w:hint="eastAsia"/>
          <w:highlight w:val="none"/>
          <w:lang w:val="en-US" w:eastAsia="zh-CN"/>
        </w:rPr>
        <w:t>再加上坡度、土壤质地、植被类型等因素，</w:t>
      </w:r>
      <w:r>
        <w:rPr>
          <w:rFonts w:hint="default"/>
          <w:highlight w:val="none"/>
          <w:lang w:val="en-US" w:eastAsia="zh-CN"/>
        </w:rPr>
        <w:t>容易产生水力侵蚀引发的水土流失</w:t>
      </w:r>
      <w:r>
        <w:rPr>
          <w:rFonts w:hint="eastAsia"/>
          <w:highlight w:val="none"/>
          <w:lang w:val="en-US" w:eastAsia="zh-CN"/>
        </w:rPr>
        <w:t>。本次流域内存在基础设施建设造成地表破坏现象，造成土壤表土流失，植被恢复缓慢，地力衰退，土地的保土蓄水能力下降，造成一定程度的水土流失及环境影响。</w:t>
      </w:r>
    </w:p>
    <w:p w14:paraId="2E30C664">
      <w:pPr>
        <w:bidi w:val="0"/>
        <w:rPr>
          <w:rFonts w:hint="eastAsia"/>
          <w:highlight w:val="none"/>
          <w:lang w:val="en-US" w:eastAsia="zh-CN"/>
        </w:rPr>
      </w:pPr>
      <w:r>
        <w:rPr>
          <w:rFonts w:hint="eastAsia"/>
          <w:highlight w:val="none"/>
          <w:lang w:val="en-US" w:eastAsia="zh-CN"/>
        </w:rPr>
        <w:t>（4）局部生态环境脆弱</w:t>
      </w:r>
    </w:p>
    <w:p w14:paraId="48254BA2">
      <w:pPr>
        <w:rPr>
          <w:rFonts w:hint="default"/>
          <w:highlight w:val="none"/>
          <w:lang w:val="en-US" w:eastAsia="zh-CN"/>
        </w:rPr>
      </w:pPr>
      <w:r>
        <w:rPr>
          <w:rFonts w:hint="default"/>
          <w:highlight w:val="none"/>
          <w:lang w:val="en-US" w:eastAsia="zh-CN"/>
        </w:rPr>
        <w:t>流域上游，植被及生态环境质量较好。在流域中下游，流域河谷地区受人为影响明显，以人工植被为主，种群简单、分布稀疏，生态系统自我调节和恢复能力较弱，受开发建设活动及农业活动影响，部分区域生态环境较为脆弱。</w:t>
      </w:r>
    </w:p>
    <w:p w14:paraId="731BC863">
      <w:pPr>
        <w:pStyle w:val="4"/>
        <w:bidi w:val="0"/>
        <w:rPr>
          <w:rFonts w:hint="default"/>
          <w:highlight w:val="none"/>
          <w:lang w:val="en-US" w:eastAsia="zh-CN"/>
        </w:rPr>
      </w:pPr>
      <w:r>
        <w:rPr>
          <w:rFonts w:hint="eastAsia"/>
          <w:highlight w:val="none"/>
          <w:lang w:val="en-US" w:eastAsia="zh-CN"/>
        </w:rPr>
        <w:t>环境问题的解决方向</w:t>
      </w:r>
    </w:p>
    <w:p w14:paraId="0E6919EB">
      <w:pPr>
        <w:numPr>
          <w:ilvl w:val="0"/>
          <w:numId w:val="46"/>
        </w:numPr>
        <w:bidi w:val="0"/>
        <w:rPr>
          <w:rFonts w:hint="eastAsia"/>
          <w:highlight w:val="none"/>
          <w:lang w:val="en-US" w:eastAsia="zh-CN"/>
        </w:rPr>
      </w:pPr>
      <w:r>
        <w:rPr>
          <w:rFonts w:hint="eastAsia"/>
          <w:highlight w:val="none"/>
          <w:lang w:val="en-US" w:eastAsia="zh-CN"/>
        </w:rPr>
        <w:t>水资源保障的解决方向</w:t>
      </w:r>
    </w:p>
    <w:p w14:paraId="01476FF4">
      <w:pPr>
        <w:bidi w:val="0"/>
        <w:rPr>
          <w:rFonts w:hint="eastAsia"/>
          <w:highlight w:val="none"/>
          <w:lang w:val="en-US" w:eastAsia="zh-CN"/>
        </w:rPr>
      </w:pPr>
      <w:r>
        <w:rPr>
          <w:rFonts w:hint="eastAsia"/>
          <w:highlight w:val="none"/>
          <w:lang w:val="en-US" w:eastAsia="zh-CN"/>
        </w:rPr>
        <w:t>合理规划蓄水工程，保障流域水资源的的稳定供给。同时应确保各蓄水工程下泄最小下泄生态流量，以改善流域减脱水情况，应强化生态流量调度和监测管理，设置水位、流量在线自动监测仪器并在线联网，实时准确传送数据，并建立运行台账，记录监控设施运行、维护、连续监控数据情况，接受生态环境、水利等主管部门监督检查生态流量孔安装在线流量装置。</w:t>
      </w:r>
    </w:p>
    <w:p w14:paraId="3ABE4148">
      <w:pPr>
        <w:numPr>
          <w:ilvl w:val="0"/>
          <w:numId w:val="46"/>
        </w:numPr>
        <w:bidi w:val="0"/>
        <w:rPr>
          <w:rFonts w:hint="eastAsia"/>
          <w:highlight w:val="none"/>
          <w:lang w:val="en-US" w:eastAsia="zh-CN"/>
        </w:rPr>
      </w:pPr>
      <w:r>
        <w:rPr>
          <w:rFonts w:hint="eastAsia"/>
          <w:highlight w:val="none"/>
          <w:lang w:val="en-US" w:eastAsia="zh-CN"/>
        </w:rPr>
        <w:t>防洪能力不足的解决方向</w:t>
      </w:r>
    </w:p>
    <w:p w14:paraId="61C693EE">
      <w:pPr>
        <w:bidi w:val="0"/>
        <w:rPr>
          <w:rFonts w:hint="default"/>
          <w:highlight w:val="none"/>
          <w:lang w:val="en-US" w:eastAsia="zh-CN"/>
        </w:rPr>
      </w:pPr>
      <w:r>
        <w:rPr>
          <w:rFonts w:hint="default"/>
          <w:highlight w:val="none"/>
          <w:lang w:val="en-US" w:eastAsia="zh-CN"/>
        </w:rPr>
        <w:t>根据流域洪水特性、防洪保护对象分布情况、所处的自然地理条件及规划确定的防洪目标，规划以堤防为主或堤库结合的防洪工程体系，保护县城及其他保护区的防洪安全。</w:t>
      </w:r>
    </w:p>
    <w:p w14:paraId="348FB779">
      <w:pPr>
        <w:bidi w:val="0"/>
        <w:rPr>
          <w:rFonts w:hint="eastAsia"/>
          <w:highlight w:val="none"/>
          <w:lang w:val="en-US" w:eastAsia="zh-CN"/>
        </w:rPr>
      </w:pPr>
      <w:r>
        <w:rPr>
          <w:rFonts w:hint="eastAsia"/>
          <w:highlight w:val="none"/>
          <w:lang w:val="en-US" w:eastAsia="zh-CN"/>
        </w:rPr>
        <w:t>（3）水土流失问题的解决方向</w:t>
      </w:r>
    </w:p>
    <w:p w14:paraId="2E40819E">
      <w:pPr>
        <w:bidi w:val="0"/>
        <w:rPr>
          <w:rFonts w:hint="default"/>
          <w:highlight w:val="none"/>
          <w:lang w:val="en-US" w:eastAsia="zh-CN"/>
        </w:rPr>
      </w:pPr>
      <w:r>
        <w:rPr>
          <w:rFonts w:hint="default"/>
          <w:highlight w:val="none"/>
          <w:lang w:val="en-US" w:eastAsia="zh-CN"/>
        </w:rPr>
        <w:t>以预防为主的工作方针，正确处理好人口、资源、环境与社会经济协调发展的关系，达到保护和合理利用水土资源、改善生态环境。在治理措施上以工程措施、林草措施与耕作措施相结合，治坡措施与治沟措施相结合，造林种草与封山育林相结合；治理、管理与利用相结合。</w:t>
      </w:r>
    </w:p>
    <w:p w14:paraId="3EDAC5AC">
      <w:pPr>
        <w:bidi w:val="0"/>
        <w:rPr>
          <w:rFonts w:hint="eastAsia"/>
          <w:highlight w:val="none"/>
          <w:lang w:val="en-US" w:eastAsia="zh-CN"/>
        </w:rPr>
      </w:pPr>
      <w:r>
        <w:rPr>
          <w:rFonts w:hint="eastAsia"/>
          <w:highlight w:val="none"/>
          <w:lang w:val="en-US" w:eastAsia="zh-CN"/>
        </w:rPr>
        <w:t>（4）水生态环境问题的解决方向</w:t>
      </w:r>
    </w:p>
    <w:p w14:paraId="67DA1B56">
      <w:pPr>
        <w:bidi w:val="0"/>
        <w:rPr>
          <w:rFonts w:hint="default"/>
          <w:highlight w:val="none"/>
          <w:lang w:val="en-US" w:eastAsia="zh-CN"/>
        </w:rPr>
      </w:pPr>
      <w:r>
        <w:rPr>
          <w:rFonts w:hint="default"/>
          <w:highlight w:val="none"/>
          <w:lang w:val="en-US" w:eastAsia="zh-CN"/>
        </w:rPr>
        <w:t>本次规划应优先解决涉水生态环境问题，明晰水资源消耗上限、水环境质量底线、水生态保护红线，建立水生态空间用途管控体系。加强水资源保护和水生态修复，完善水生态空间保护与管控的措施，强化水源涵养区和生物多样性保护区的生境保护；加大水源涵养与水土保持生态建设。</w:t>
      </w:r>
    </w:p>
    <w:p w14:paraId="22923298">
      <w:pPr>
        <w:pStyle w:val="3"/>
        <w:bidi w:val="0"/>
        <w:rPr>
          <w:rFonts w:hint="default"/>
          <w:highlight w:val="none"/>
          <w:lang w:val="en-US" w:eastAsia="zh-CN"/>
        </w:rPr>
      </w:pPr>
      <w:bookmarkStart w:id="53" w:name="_Toc19449"/>
      <w:r>
        <w:rPr>
          <w:rFonts w:hint="default"/>
          <w:highlight w:val="none"/>
          <w:lang w:val="en-US" w:eastAsia="zh-CN"/>
        </w:rPr>
        <w:t>环境制约性因素分析</w:t>
      </w:r>
      <w:bookmarkEnd w:id="53"/>
    </w:p>
    <w:p w14:paraId="21362688">
      <w:pPr>
        <w:pStyle w:val="4"/>
        <w:bidi w:val="0"/>
        <w:rPr>
          <w:rFonts w:hint="default"/>
          <w:highlight w:val="none"/>
          <w:lang w:val="en-US" w:eastAsia="zh-CN"/>
        </w:rPr>
      </w:pPr>
      <w:r>
        <w:rPr>
          <w:rFonts w:hint="default"/>
          <w:highlight w:val="none"/>
          <w:lang w:val="en-US" w:eastAsia="zh-CN"/>
        </w:rPr>
        <w:t>资源制约性因素分析</w:t>
      </w:r>
    </w:p>
    <w:p w14:paraId="4040E24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冷龙沟流域综合规划主要包括防洪减灾规划、城乡供水规划、水资源及水生态保护规划、水土保持规划和其他规划。冷龙沟流域地表水资源总量为</w:t>
      </w:r>
      <w:r>
        <w:rPr>
          <w:rFonts w:hint="eastAsia" w:cs="Times New Roman"/>
          <w:highlight w:val="none"/>
          <w:lang w:val="en-US" w:eastAsia="zh-CN"/>
        </w:rPr>
        <w:t>1280</w:t>
      </w:r>
      <w:r>
        <w:rPr>
          <w:rFonts w:hint="default" w:ascii="Times New Roman" w:hAnsi="Times New Roman" w:cs="Times New Roman"/>
          <w:highlight w:val="none"/>
          <w:lang w:val="en-US" w:eastAsia="zh-CN"/>
        </w:rPr>
        <w:t>万m³。经初步估算，冷龙沟流域内现状水利设施实际供水量为62.05万m³/年，水资源开发利用率为</w:t>
      </w:r>
      <w:r>
        <w:rPr>
          <w:rFonts w:hint="eastAsia" w:cs="Times New Roman"/>
          <w:highlight w:val="none"/>
          <w:lang w:val="en-US" w:eastAsia="zh-CN"/>
        </w:rPr>
        <w:t>4.85</w:t>
      </w:r>
      <w:r>
        <w:rPr>
          <w:rFonts w:hint="default" w:ascii="Times New Roman" w:hAnsi="Times New Roman" w:cs="Times New Roman"/>
          <w:highlight w:val="none"/>
          <w:lang w:val="en-US" w:eastAsia="zh-CN"/>
        </w:rPr>
        <w:t>%，开发利用程度较低。根据规划，流域范围内尼色拥水库建成后年取水量将达到</w:t>
      </w:r>
      <w:r>
        <w:rPr>
          <w:rFonts w:hint="eastAsia" w:cs="Times New Roman"/>
          <w:highlight w:val="none"/>
          <w:lang w:val="en-US" w:eastAsia="zh-CN"/>
        </w:rPr>
        <w:t>298.74</w:t>
      </w:r>
      <w:r>
        <w:rPr>
          <w:rFonts w:hint="default" w:ascii="Times New Roman" w:hAnsi="Times New Roman" w:cs="Times New Roman"/>
          <w:highlight w:val="none"/>
          <w:lang w:val="en-US" w:eastAsia="zh-CN"/>
        </w:rPr>
        <w:t>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/年，流域水资源开发利用率达到</w:t>
      </w:r>
      <w:r>
        <w:rPr>
          <w:rFonts w:hint="eastAsia" w:cs="Times New Roman"/>
          <w:highlight w:val="none"/>
          <w:lang w:val="en-US" w:eastAsia="zh-CN"/>
        </w:rPr>
        <w:t>23.34</w:t>
      </w:r>
      <w:r>
        <w:rPr>
          <w:rFonts w:hint="default" w:ascii="Times New Roman" w:hAnsi="Times New Roman" w:cs="Times New Roman"/>
          <w:highlight w:val="none"/>
          <w:lang w:val="en-US" w:eastAsia="zh-CN"/>
        </w:rPr>
        <w:t>%。流域水资源量小，</w:t>
      </w:r>
      <w:r>
        <w:rPr>
          <w:rFonts w:hint="eastAsia" w:cs="Times New Roman"/>
          <w:highlight w:val="none"/>
          <w:lang w:val="en-US" w:eastAsia="zh-CN"/>
        </w:rPr>
        <w:t>流域水资源体调蓄工程的建设对下游水生态存在一定影响，但</w:t>
      </w:r>
      <w:r>
        <w:rPr>
          <w:rFonts w:hint="default" w:ascii="Times New Roman" w:hAnsi="Times New Roman" w:cs="Times New Roman"/>
          <w:highlight w:val="none"/>
          <w:lang w:val="en-US" w:eastAsia="zh-CN"/>
        </w:rPr>
        <w:t>资源制约因素</w:t>
      </w:r>
      <w:r>
        <w:rPr>
          <w:rFonts w:hint="eastAsia" w:cs="Times New Roman"/>
          <w:highlight w:val="none"/>
          <w:lang w:val="en-US" w:eastAsia="zh-CN"/>
        </w:rPr>
        <w:t>影响不大</w:t>
      </w:r>
      <w:r>
        <w:rPr>
          <w:rFonts w:hint="default" w:ascii="Times New Roman" w:hAnsi="Times New Roman" w:cs="Times New Roman"/>
          <w:highlight w:val="none"/>
          <w:lang w:val="en-US" w:eastAsia="zh-CN"/>
        </w:rPr>
        <w:t>。</w:t>
      </w:r>
    </w:p>
    <w:p w14:paraId="6076F644">
      <w:pPr>
        <w:pStyle w:val="4"/>
        <w:bidi w:val="0"/>
        <w:rPr>
          <w:rFonts w:hint="default"/>
          <w:highlight w:val="none"/>
          <w:lang w:val="en-US" w:eastAsia="zh-CN"/>
        </w:rPr>
      </w:pPr>
      <w:r>
        <w:rPr>
          <w:rFonts w:hint="default"/>
          <w:highlight w:val="none"/>
          <w:lang w:val="en-US" w:eastAsia="zh-CN"/>
        </w:rPr>
        <w:t>生态制约性因素分析</w:t>
      </w:r>
    </w:p>
    <w:p w14:paraId="2371454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流域规划工程项目范围内</w:t>
      </w:r>
      <w:r>
        <w:rPr>
          <w:rFonts w:hint="eastAsia" w:cs="Times New Roman"/>
          <w:highlight w:val="none"/>
          <w:lang w:val="en-US" w:eastAsia="zh-CN"/>
        </w:rPr>
        <w:t>无</w:t>
      </w:r>
      <w:r>
        <w:rPr>
          <w:rFonts w:hint="default" w:ascii="Times New Roman" w:hAnsi="Times New Roman" w:cs="Times New Roman"/>
          <w:highlight w:val="none"/>
          <w:lang w:val="en-US" w:eastAsia="zh-CN"/>
        </w:rPr>
        <w:t>保护植物</w:t>
      </w:r>
      <w:r>
        <w:rPr>
          <w:rFonts w:hint="eastAsia" w:cs="Times New Roman"/>
          <w:highlight w:val="none"/>
          <w:lang w:val="en-US" w:eastAsia="zh-CN"/>
        </w:rPr>
        <w:t>，有</w:t>
      </w:r>
      <w:r>
        <w:rPr>
          <w:rFonts w:hint="default" w:ascii="Times New Roman" w:hAnsi="Times New Roman" w:cs="Times New Roman"/>
          <w:highlight w:val="none"/>
          <w:lang w:val="en-US" w:eastAsia="zh-CN"/>
        </w:rPr>
        <w:t>国家二级重点保护野生动 物 10 种</w:t>
      </w:r>
      <w:r>
        <w:rPr>
          <w:rFonts w:hint="eastAsia" w:cs="Times New Roman"/>
          <w:highlight w:val="none"/>
          <w:lang w:val="en-US" w:eastAsia="zh-CN"/>
        </w:rPr>
        <w:t>，四川省 重点保护动物 7 种，“易危”级别的物种 6 种，中国特有种 9 种。</w:t>
      </w:r>
      <w:r>
        <w:rPr>
          <w:rFonts w:hint="default" w:ascii="Times New Roman" w:hAnsi="Times New Roman" w:cs="Times New Roman"/>
          <w:highlight w:val="none"/>
          <w:lang w:val="en-US" w:eastAsia="zh-CN"/>
        </w:rPr>
        <w:t>。在施工占地区可能存在国家重点保护野生动物的活动范围等。按照《中华人民共和国野生动物保护法》《中华人民共和国渔业法》《中华人民共和国野生植物保护条例》等要求，要对评价区域内的重点保护野生动植物进行保护。严禁砍伐重点保护野生植物，捕杀保护野生动物。同时流域内</w:t>
      </w:r>
      <w:r>
        <w:rPr>
          <w:rFonts w:hint="eastAsia" w:cs="Times New Roman"/>
          <w:highlight w:val="none"/>
          <w:lang w:val="en-US" w:eastAsia="zh-CN"/>
        </w:rPr>
        <w:t>无</w:t>
      </w:r>
      <w:r>
        <w:rPr>
          <w:rFonts w:hint="default" w:ascii="Times New Roman" w:hAnsi="Times New Roman" w:cs="Times New Roman"/>
          <w:highlight w:val="none"/>
          <w:lang w:val="en-US" w:eastAsia="zh-CN"/>
        </w:rPr>
        <w:t>名木古树及珍稀濒危植物的分布，因此，本次流域规划无较大生态制约因素。</w:t>
      </w:r>
    </w:p>
    <w:p w14:paraId="33DA549B">
      <w:pPr>
        <w:pStyle w:val="4"/>
        <w:bidi w:val="0"/>
        <w:rPr>
          <w:rFonts w:hint="default"/>
          <w:highlight w:val="none"/>
          <w:lang w:val="en-US" w:eastAsia="zh-CN"/>
        </w:rPr>
      </w:pPr>
      <w:r>
        <w:rPr>
          <w:rFonts w:hint="default"/>
          <w:highlight w:val="none"/>
          <w:lang w:val="en-US" w:eastAsia="zh-CN"/>
        </w:rPr>
        <w:t>环境制约因素分析</w:t>
      </w:r>
    </w:p>
    <w:p w14:paraId="2C57C4A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现状调查及评价结果，冷龙沟规划范围不涉及国家公园、自然保护区、自然公园、世界自然遗产、水产种质资源保护区等生态敏感区，但涉及一处县城饮用水水源地，在规划项目实施过程中需要加强饮用水源保护及饮用水源水量水质保障。因此，本次流域规划</w:t>
      </w:r>
      <w:r>
        <w:rPr>
          <w:rFonts w:hint="eastAsia" w:cs="Times New Roman"/>
          <w:highlight w:val="none"/>
          <w:lang w:val="en-US" w:eastAsia="zh-CN"/>
        </w:rPr>
        <w:t>存在一定的环境</w:t>
      </w:r>
      <w:r>
        <w:rPr>
          <w:rFonts w:hint="default" w:ascii="Times New Roman" w:hAnsi="Times New Roman" w:cs="Times New Roman"/>
          <w:highlight w:val="none"/>
          <w:lang w:val="en-US" w:eastAsia="zh-CN"/>
        </w:rPr>
        <w:t>制约因素。</w:t>
      </w:r>
    </w:p>
    <w:p w14:paraId="3B503BF1">
      <w:pPr>
        <w:rPr>
          <w:rFonts w:hint="default" w:ascii="Times New Roman" w:hAnsi="Times New Roman" w:cs="Times New Roman"/>
          <w:highlight w:val="none"/>
          <w:lang w:val="en-US" w:eastAsia="zh-CN"/>
        </w:rPr>
      </w:pPr>
    </w:p>
    <w:p w14:paraId="0276B923">
      <w:pPr>
        <w:rPr>
          <w:rFonts w:hint="default" w:ascii="Times New Roman" w:hAnsi="Times New Roman" w:cs="Times New Roman"/>
          <w:highlight w:val="none"/>
          <w:lang w:val="en-US" w:eastAsia="zh-CN"/>
        </w:rPr>
      </w:pPr>
    </w:p>
    <w:p w14:paraId="0BCEA1F4">
      <w:pPr>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342F485A">
      <w:pPr>
        <w:pStyle w:val="2"/>
        <w:bidi w:val="0"/>
        <w:rPr>
          <w:rFonts w:hint="default"/>
          <w:highlight w:val="none"/>
          <w:lang w:val="en-US" w:eastAsia="zh-CN"/>
        </w:rPr>
      </w:pPr>
      <w:bookmarkStart w:id="54" w:name="_Toc5773"/>
      <w:r>
        <w:rPr>
          <w:rFonts w:hint="default"/>
          <w:highlight w:val="none"/>
          <w:lang w:val="en-US" w:eastAsia="zh-CN"/>
        </w:rPr>
        <w:t>环境影响识别与评价指标体系</w:t>
      </w:r>
      <w:bookmarkEnd w:id="54"/>
    </w:p>
    <w:p w14:paraId="5762418F">
      <w:pPr>
        <w:pStyle w:val="3"/>
        <w:bidi w:val="0"/>
        <w:rPr>
          <w:rFonts w:hint="default"/>
          <w:highlight w:val="none"/>
          <w:lang w:val="en-US" w:eastAsia="zh-CN"/>
        </w:rPr>
      </w:pPr>
      <w:bookmarkStart w:id="55" w:name="_Toc26712"/>
      <w:r>
        <w:rPr>
          <w:rFonts w:hint="default"/>
          <w:highlight w:val="none"/>
          <w:lang w:val="en-US" w:eastAsia="zh-CN"/>
        </w:rPr>
        <w:t>环境影响识别</w:t>
      </w:r>
      <w:bookmarkEnd w:id="55"/>
    </w:p>
    <w:p w14:paraId="75A3F5D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甘孜州乡城县冷龙沟流域综合规划由防洪减灾规划、水资源综合利用规划、水资源保护与生态修复规划、水土保持规划、流域综合管理规划组成，根据规划目标、布局及各专项主要内容，在现状调查及规划分析的基础上，充分考虑流域的环境特点、社会背景等对冷龙沟流域进行环境影响识别，重点关注流域性、累积性和长期性环境影响，识别规划方案实施可能对资源环境系统和社会经济系统可能造成的影响。</w:t>
      </w:r>
    </w:p>
    <w:p w14:paraId="238FADE2">
      <w:pPr>
        <w:pStyle w:val="4"/>
        <w:bidi w:val="0"/>
        <w:rPr>
          <w:rFonts w:hint="default"/>
          <w:highlight w:val="none"/>
          <w:lang w:val="en-US" w:eastAsia="zh-CN"/>
        </w:rPr>
      </w:pPr>
      <w:r>
        <w:rPr>
          <w:rFonts w:hint="default"/>
          <w:highlight w:val="none"/>
          <w:lang w:val="en-US" w:eastAsia="zh-CN"/>
        </w:rPr>
        <w:t>规划实施环境影响因素分析</w:t>
      </w:r>
    </w:p>
    <w:p w14:paraId="24B5453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由防洪减灾规划、水资源综合利用规划、水资源保护与生态修复规划、水土保持规划、流域综合管理规划等专项规划组成。在上述专项规划中，资源保护与生态修复规划、水土保持规划属生态与环境保护规划，各专项规划实施总体上有利于流域生态环境保护；防洪减灾、水资源综合利用的实施则有可能对生态环境产生一定不利影响。</w:t>
      </w:r>
    </w:p>
    <w:p w14:paraId="2CABF491">
      <w:pPr>
        <w:numPr>
          <w:ilvl w:val="0"/>
          <w:numId w:val="47"/>
        </w:numPr>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防洪减灾规划</w:t>
      </w:r>
    </w:p>
    <w:p w14:paraId="6A66A13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减灾规划主要是通过防洪工程建设，使流域整理防洪能力达到防洪要求，以保护下游防汛安全。防洪规划对环境的不利影响主要体现在施工阶段，施工活动会导致占用土地、影响陆生生态、水生生态、水文情势等，主要分为点状工程，不具有累积性。</w:t>
      </w:r>
    </w:p>
    <w:p w14:paraId="41F8B9E2">
      <w:pPr>
        <w:numPr>
          <w:ilvl w:val="0"/>
          <w:numId w:val="47"/>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水资源综合利用规划</w:t>
      </w:r>
    </w:p>
    <w:p w14:paraId="2258F079">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通过水资源的合理配置和节约用水、水资源统一调度、调蓄、引提水等工程的实施将对流域的社会环境、生态环境产生较大影响。对流域的环境影响主要表现为：水资源的合理配置改善了流域及相关地区的生产、生活供水条件，保障了河流生态水量，将对流域的社会环境、水生生态产生一定的有利影响；工业、农业、生活节水措施将促进流域节水型社会建设，对经济社会的可持续发展产生有利影响；供水工程将对流域社会环境产生积极的促进作用，极大地改善流域内人民生活水平。</w:t>
      </w:r>
    </w:p>
    <w:p w14:paraId="4E86B68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规划拟建水资源配置工程在施工期将对周边环境产生点状影响，主要影响要素及因子为水环境、陆生生态、水土流失等。这些影响都是短暂的，不具有累积性。</w:t>
      </w:r>
    </w:p>
    <w:p w14:paraId="53FB193A">
      <w:pPr>
        <w:numPr>
          <w:ilvl w:val="0"/>
          <w:numId w:val="47"/>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水资源保护与生态修复规划</w:t>
      </w:r>
    </w:p>
    <w:p w14:paraId="661025D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水生态修复规划是生态保护类规划。水资源保护根据水功能区的保护要求，河流的纳污能力，制订了水质管理目标，提出了污染物排放要求，并提出污染物削减量及水资源保护措施；水生态修复规划提出了流域生态功能定位，从保护河流生态系统的角度提出了生态流量，并提出了生态流量保障措施。</w:t>
      </w:r>
    </w:p>
    <w:p w14:paraId="562626F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水资源保护与生态修复对流域环境的影响主要是有利影响，主要影响要素及因子为水文情势、水环境及社会环境。</w:t>
      </w:r>
    </w:p>
    <w:p w14:paraId="75A31B56">
      <w:pPr>
        <w:numPr>
          <w:ilvl w:val="0"/>
          <w:numId w:val="47"/>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水土保持规划</w:t>
      </w:r>
    </w:p>
    <w:p w14:paraId="198B23D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规划是生态环境建设类规划，主要包括小型水利水保工程，建设谷坊、拦沙坝、小型蓄水池、排灌沟渠、格宾石笼护坡等治理工程；坡面整改工程，采取坡改耕等：营造水土保持林、建设人工草地草场等。环境的影响以有利影响为主，不利影响主要集中在施工期。</w:t>
      </w:r>
    </w:p>
    <w:p w14:paraId="1C11532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主要环境影响要素为社会环境、生态环境（陆生生态、水土流失）。主要影响表现为：通过水土流失治理，增加生态修复面积，尤其是上游生态修复面积的增加，有利于水源涵养功能的发挥。增加水土保持林和建设人工草地草场等，能够改善当地的生产、生活条件，促进当地的经济发展。</w:t>
      </w:r>
    </w:p>
    <w:p w14:paraId="0B7959F7">
      <w:pPr>
        <w:numPr>
          <w:ilvl w:val="0"/>
          <w:numId w:val="47"/>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流域综合管理规划</w:t>
      </w:r>
    </w:p>
    <w:p w14:paraId="128D3A7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综合管理规划主要是各部门之间建立联合执法协作机制和执法监督体系等内容。不涉及工程建设内容，对流域生态环境无影响。本文不再分析该专项内容。</w:t>
      </w:r>
    </w:p>
    <w:p w14:paraId="42D8F722">
      <w:pPr>
        <w:pStyle w:val="4"/>
        <w:bidi w:val="0"/>
        <w:rPr>
          <w:rFonts w:hint="default"/>
          <w:highlight w:val="none"/>
          <w:lang w:val="en-US" w:eastAsia="zh-CN"/>
        </w:rPr>
      </w:pPr>
      <w:r>
        <w:rPr>
          <w:rFonts w:hint="default"/>
          <w:highlight w:val="none"/>
          <w:lang w:val="en-US" w:eastAsia="zh-CN"/>
        </w:rPr>
        <w:t>环境影响识别</w:t>
      </w:r>
    </w:p>
    <w:p w14:paraId="70F2B2A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为辨识冷龙沟流域综合规划对生态环境产生的影响，确定预测评价工作重点，根据规划实施环境影响因素分析结果，识别各专项规划可能产生的环境影响，并对其影响性质、影响程度、影响范围、影响时间进行识别，识别结果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_Ref4191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 44</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53F28095">
      <w:pPr>
        <w:pStyle w:val="11"/>
        <w:ind w:left="0" w:leftChars="0" w:firstLine="0" w:firstLineChars="0"/>
        <w:rPr>
          <w:rFonts w:hint="default" w:ascii="Times New Roman" w:hAnsi="Times New Roman" w:cs="Times New Roman"/>
          <w:highlight w:val="none"/>
          <w:lang w:val="en-US" w:eastAsia="zh-CN"/>
        </w:rPr>
      </w:pPr>
      <w:bookmarkStart w:id="56" w:name="_Ref4191"/>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58</w:t>
      </w:r>
      <w:r>
        <w:rPr>
          <w:rFonts w:hint="default" w:ascii="Times New Roman" w:hAnsi="Times New Roman" w:cs="Times New Roman"/>
          <w:highlight w:val="none"/>
        </w:rPr>
        <w:fldChar w:fldCharType="end"/>
      </w:r>
      <w:bookmarkEnd w:id="56"/>
      <w:r>
        <w:rPr>
          <w:rFonts w:hint="default" w:ascii="Times New Roman" w:hAnsi="Times New Roman" w:cs="Times New Roman"/>
          <w:highlight w:val="none"/>
          <w:lang w:val="en-US" w:eastAsia="zh-CN"/>
        </w:rPr>
        <w:t>冷龙沟流域综合规划环境影响识别表</w:t>
      </w:r>
    </w:p>
    <w:tbl>
      <w:tblPr>
        <w:tblStyle w:val="24"/>
        <w:tblW w:w="8377" w:type="dxa"/>
        <w:tblInd w:w="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34"/>
        <w:gridCol w:w="1630"/>
        <w:gridCol w:w="1268"/>
        <w:gridCol w:w="1268"/>
        <w:gridCol w:w="1690"/>
        <w:gridCol w:w="1187"/>
      </w:tblGrid>
      <w:tr w14:paraId="6156A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1" w:hRule="atLeast"/>
        </w:trPr>
        <w:tc>
          <w:tcPr>
            <w:tcW w:w="2964" w:type="dxa"/>
            <w:gridSpan w:val="2"/>
            <w:vAlign w:val="center"/>
          </w:tcPr>
          <w:p w14:paraId="111B816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规划环境要素</w:t>
            </w:r>
          </w:p>
        </w:tc>
        <w:tc>
          <w:tcPr>
            <w:tcW w:w="1268" w:type="dxa"/>
            <w:vAlign w:val="center"/>
          </w:tcPr>
          <w:p w14:paraId="2D152FC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防洪</w:t>
            </w:r>
            <w:r>
              <w:rPr>
                <w:rFonts w:hint="default" w:ascii="Times New Roman" w:hAnsi="Times New Roman" w:cs="Times New Roman"/>
                <w:highlight w:val="none"/>
                <w:lang w:val="en-US" w:eastAsia="zh-CN"/>
              </w:rPr>
              <w:t>减灾</w:t>
            </w:r>
          </w:p>
          <w:p w14:paraId="1986529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规划</w:t>
            </w:r>
          </w:p>
        </w:tc>
        <w:tc>
          <w:tcPr>
            <w:tcW w:w="1268" w:type="dxa"/>
            <w:vAlign w:val="center"/>
          </w:tcPr>
          <w:p w14:paraId="39DDA6C6">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水资源综合利用规划</w:t>
            </w:r>
          </w:p>
        </w:tc>
        <w:tc>
          <w:tcPr>
            <w:tcW w:w="1690" w:type="dxa"/>
            <w:vAlign w:val="center"/>
          </w:tcPr>
          <w:p w14:paraId="2F164CC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水资源保护与生态修复规划</w:t>
            </w:r>
          </w:p>
        </w:tc>
        <w:tc>
          <w:tcPr>
            <w:tcW w:w="1187" w:type="dxa"/>
            <w:vAlign w:val="center"/>
          </w:tcPr>
          <w:p w14:paraId="3F465CB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水土保持</w:t>
            </w:r>
          </w:p>
          <w:p w14:paraId="63C658E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规划</w:t>
            </w:r>
          </w:p>
        </w:tc>
      </w:tr>
      <w:tr w14:paraId="2D951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8" w:hRule="atLeast"/>
        </w:trPr>
        <w:tc>
          <w:tcPr>
            <w:tcW w:w="1334" w:type="dxa"/>
            <w:vMerge w:val="restart"/>
            <w:vAlign w:val="center"/>
          </w:tcPr>
          <w:p w14:paraId="469393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水文水资源</w:t>
            </w:r>
          </w:p>
        </w:tc>
        <w:tc>
          <w:tcPr>
            <w:tcW w:w="1630" w:type="dxa"/>
            <w:vAlign w:val="center"/>
          </w:tcPr>
          <w:p w14:paraId="2E46C46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水文情势</w:t>
            </w:r>
          </w:p>
        </w:tc>
        <w:tc>
          <w:tcPr>
            <w:tcW w:w="1268" w:type="dxa"/>
            <w:vAlign w:val="center"/>
          </w:tcPr>
          <w:p w14:paraId="1B234D2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268" w:type="dxa"/>
            <w:vAlign w:val="center"/>
          </w:tcPr>
          <w:p w14:paraId="5D1D84E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690" w:type="dxa"/>
            <w:vAlign w:val="center"/>
          </w:tcPr>
          <w:p w14:paraId="2BBF2585">
            <w:pPr>
              <w:pStyle w:val="22"/>
              <w:bidi w:val="0"/>
              <w:jc w:val="center"/>
              <w:rPr>
                <w:rFonts w:hint="default" w:ascii="Times New Roman" w:hAnsi="Times New Roman" w:cs="Times New Roman"/>
                <w:highlight w:val="none"/>
              </w:rPr>
            </w:pPr>
          </w:p>
        </w:tc>
        <w:tc>
          <w:tcPr>
            <w:tcW w:w="1187" w:type="dxa"/>
            <w:vAlign w:val="center"/>
          </w:tcPr>
          <w:p w14:paraId="7B1FEF3D">
            <w:pPr>
              <w:pStyle w:val="22"/>
              <w:bidi w:val="0"/>
              <w:jc w:val="center"/>
              <w:rPr>
                <w:rFonts w:hint="default" w:ascii="Times New Roman" w:hAnsi="Times New Roman" w:cs="Times New Roman"/>
                <w:highlight w:val="none"/>
              </w:rPr>
            </w:pPr>
          </w:p>
        </w:tc>
      </w:tr>
      <w:tr w14:paraId="142FF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1334" w:type="dxa"/>
            <w:vMerge w:val="continue"/>
            <w:vAlign w:val="center"/>
          </w:tcPr>
          <w:p w14:paraId="0B3B157B">
            <w:pPr>
              <w:pStyle w:val="22"/>
              <w:bidi w:val="0"/>
              <w:jc w:val="center"/>
              <w:rPr>
                <w:rFonts w:hint="default" w:ascii="Times New Roman" w:hAnsi="Times New Roman" w:cs="Times New Roman"/>
                <w:highlight w:val="none"/>
              </w:rPr>
            </w:pPr>
          </w:p>
        </w:tc>
        <w:tc>
          <w:tcPr>
            <w:tcW w:w="1630" w:type="dxa"/>
            <w:vAlign w:val="center"/>
          </w:tcPr>
          <w:p w14:paraId="6A5454F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水资源</w:t>
            </w:r>
          </w:p>
        </w:tc>
        <w:tc>
          <w:tcPr>
            <w:tcW w:w="1268" w:type="dxa"/>
            <w:vAlign w:val="center"/>
          </w:tcPr>
          <w:p w14:paraId="2C232372">
            <w:pPr>
              <w:pStyle w:val="22"/>
              <w:bidi w:val="0"/>
              <w:jc w:val="center"/>
              <w:rPr>
                <w:rFonts w:hint="default" w:ascii="Times New Roman" w:hAnsi="Times New Roman" w:cs="Times New Roman"/>
                <w:highlight w:val="none"/>
              </w:rPr>
            </w:pPr>
          </w:p>
        </w:tc>
        <w:tc>
          <w:tcPr>
            <w:tcW w:w="1268" w:type="dxa"/>
            <w:vAlign w:val="center"/>
          </w:tcPr>
          <w:p w14:paraId="4EC3040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690" w:type="dxa"/>
            <w:vAlign w:val="center"/>
          </w:tcPr>
          <w:p w14:paraId="32A374AF">
            <w:pPr>
              <w:pStyle w:val="22"/>
              <w:bidi w:val="0"/>
              <w:jc w:val="center"/>
              <w:rPr>
                <w:rFonts w:hint="default" w:ascii="Times New Roman" w:hAnsi="Times New Roman" w:cs="Times New Roman"/>
                <w:highlight w:val="none"/>
              </w:rPr>
            </w:pPr>
          </w:p>
        </w:tc>
        <w:tc>
          <w:tcPr>
            <w:tcW w:w="1187" w:type="dxa"/>
            <w:vAlign w:val="center"/>
          </w:tcPr>
          <w:p w14:paraId="779E34D6">
            <w:pPr>
              <w:pStyle w:val="22"/>
              <w:bidi w:val="0"/>
              <w:jc w:val="center"/>
              <w:rPr>
                <w:rFonts w:hint="default" w:ascii="Times New Roman" w:hAnsi="Times New Roman" w:cs="Times New Roman"/>
                <w:highlight w:val="none"/>
              </w:rPr>
            </w:pPr>
          </w:p>
        </w:tc>
      </w:tr>
      <w:tr w14:paraId="05167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334" w:type="dxa"/>
            <w:vMerge w:val="restart"/>
            <w:vAlign w:val="center"/>
          </w:tcPr>
          <w:p w14:paraId="49B811E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水环境</w:t>
            </w:r>
          </w:p>
        </w:tc>
        <w:tc>
          <w:tcPr>
            <w:tcW w:w="1630" w:type="dxa"/>
            <w:vAlign w:val="center"/>
          </w:tcPr>
          <w:p w14:paraId="7A928FB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水质</w:t>
            </w:r>
          </w:p>
        </w:tc>
        <w:tc>
          <w:tcPr>
            <w:tcW w:w="1268" w:type="dxa"/>
            <w:vAlign w:val="center"/>
          </w:tcPr>
          <w:p w14:paraId="7C16182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268" w:type="dxa"/>
            <w:vAlign w:val="center"/>
          </w:tcPr>
          <w:p w14:paraId="4BADA93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690" w:type="dxa"/>
            <w:vAlign w:val="center"/>
          </w:tcPr>
          <w:p w14:paraId="69869B1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187" w:type="dxa"/>
            <w:vAlign w:val="center"/>
          </w:tcPr>
          <w:p w14:paraId="35D390B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2870B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1334" w:type="dxa"/>
            <w:vMerge w:val="continue"/>
            <w:vAlign w:val="center"/>
          </w:tcPr>
          <w:p w14:paraId="1A303422">
            <w:pPr>
              <w:pStyle w:val="22"/>
              <w:bidi w:val="0"/>
              <w:jc w:val="center"/>
              <w:rPr>
                <w:rFonts w:hint="default" w:ascii="Times New Roman" w:hAnsi="Times New Roman" w:cs="Times New Roman"/>
                <w:highlight w:val="none"/>
              </w:rPr>
            </w:pPr>
          </w:p>
        </w:tc>
        <w:tc>
          <w:tcPr>
            <w:tcW w:w="1630" w:type="dxa"/>
            <w:vAlign w:val="center"/>
          </w:tcPr>
          <w:p w14:paraId="47832F0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1268" w:type="dxa"/>
            <w:vAlign w:val="center"/>
          </w:tcPr>
          <w:p w14:paraId="42E0886D">
            <w:pPr>
              <w:pStyle w:val="22"/>
              <w:bidi w:val="0"/>
              <w:jc w:val="center"/>
              <w:rPr>
                <w:rFonts w:hint="default" w:ascii="Times New Roman" w:hAnsi="Times New Roman" w:cs="Times New Roman"/>
                <w:highlight w:val="none"/>
              </w:rPr>
            </w:pPr>
          </w:p>
        </w:tc>
        <w:tc>
          <w:tcPr>
            <w:tcW w:w="1268" w:type="dxa"/>
            <w:vAlign w:val="center"/>
          </w:tcPr>
          <w:p w14:paraId="24D3F502">
            <w:pPr>
              <w:pStyle w:val="22"/>
              <w:bidi w:val="0"/>
              <w:jc w:val="center"/>
              <w:rPr>
                <w:rFonts w:hint="default" w:ascii="Times New Roman" w:hAnsi="Times New Roman" w:cs="Times New Roman"/>
                <w:highlight w:val="none"/>
              </w:rPr>
            </w:pPr>
          </w:p>
        </w:tc>
        <w:tc>
          <w:tcPr>
            <w:tcW w:w="1690" w:type="dxa"/>
            <w:vAlign w:val="center"/>
          </w:tcPr>
          <w:p w14:paraId="2FDF2525">
            <w:pPr>
              <w:pStyle w:val="22"/>
              <w:bidi w:val="0"/>
              <w:jc w:val="center"/>
              <w:rPr>
                <w:rFonts w:hint="default" w:ascii="Times New Roman" w:hAnsi="Times New Roman" w:cs="Times New Roman"/>
                <w:highlight w:val="none"/>
              </w:rPr>
            </w:pPr>
          </w:p>
        </w:tc>
        <w:tc>
          <w:tcPr>
            <w:tcW w:w="1187" w:type="dxa"/>
            <w:vAlign w:val="center"/>
          </w:tcPr>
          <w:p w14:paraId="01571E3F">
            <w:pPr>
              <w:pStyle w:val="22"/>
              <w:bidi w:val="0"/>
              <w:jc w:val="center"/>
              <w:rPr>
                <w:rFonts w:hint="default" w:ascii="Times New Roman" w:hAnsi="Times New Roman" w:cs="Times New Roman"/>
                <w:highlight w:val="none"/>
              </w:rPr>
            </w:pPr>
          </w:p>
        </w:tc>
      </w:tr>
      <w:tr w14:paraId="03408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6" w:hRule="atLeast"/>
        </w:trPr>
        <w:tc>
          <w:tcPr>
            <w:tcW w:w="1334" w:type="dxa"/>
            <w:vMerge w:val="restart"/>
            <w:vAlign w:val="center"/>
          </w:tcPr>
          <w:p w14:paraId="0F2C49F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生态环境</w:t>
            </w:r>
          </w:p>
        </w:tc>
        <w:tc>
          <w:tcPr>
            <w:tcW w:w="1630" w:type="dxa"/>
            <w:vAlign w:val="center"/>
          </w:tcPr>
          <w:p w14:paraId="1E99E8C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生态完整性</w:t>
            </w:r>
          </w:p>
        </w:tc>
        <w:tc>
          <w:tcPr>
            <w:tcW w:w="1268" w:type="dxa"/>
            <w:vAlign w:val="center"/>
          </w:tcPr>
          <w:p w14:paraId="65175FA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268" w:type="dxa"/>
            <w:vAlign w:val="center"/>
          </w:tcPr>
          <w:p w14:paraId="2ECA247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690" w:type="dxa"/>
            <w:vAlign w:val="center"/>
          </w:tcPr>
          <w:p w14:paraId="797101F9">
            <w:pPr>
              <w:pStyle w:val="22"/>
              <w:bidi w:val="0"/>
              <w:jc w:val="center"/>
              <w:rPr>
                <w:rFonts w:hint="default" w:ascii="Times New Roman" w:hAnsi="Times New Roman" w:cs="Times New Roman"/>
                <w:highlight w:val="none"/>
              </w:rPr>
            </w:pPr>
            <w:r>
              <w:rPr>
                <w:rFonts w:hint="default" w:ascii="Times New Roman" w:hAnsi="Times New Roman" w:cs="Times New Roman"/>
                <w:b/>
                <w:bCs/>
                <w:spacing w:val="-10"/>
                <w:highlight w:val="none"/>
              </w:rPr>
              <w:t>●</w:t>
            </w:r>
            <w:r>
              <w:rPr>
                <w:rFonts w:hint="default" w:ascii="Times New Roman" w:hAnsi="Times New Roman" w:cs="Times New Roman"/>
                <w:highlight w:val="none"/>
              </w:rPr>
              <w:t>▲◇</w:t>
            </w:r>
          </w:p>
        </w:tc>
        <w:tc>
          <w:tcPr>
            <w:tcW w:w="1187" w:type="dxa"/>
            <w:vAlign w:val="center"/>
          </w:tcPr>
          <w:p w14:paraId="2BA2DF3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0FA93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1334" w:type="dxa"/>
            <w:vMerge w:val="continue"/>
            <w:vAlign w:val="center"/>
          </w:tcPr>
          <w:p w14:paraId="29117366">
            <w:pPr>
              <w:pStyle w:val="22"/>
              <w:bidi w:val="0"/>
              <w:jc w:val="center"/>
              <w:rPr>
                <w:rFonts w:hint="default" w:ascii="Times New Roman" w:hAnsi="Times New Roman" w:cs="Times New Roman"/>
                <w:highlight w:val="none"/>
              </w:rPr>
            </w:pPr>
          </w:p>
        </w:tc>
        <w:tc>
          <w:tcPr>
            <w:tcW w:w="1630" w:type="dxa"/>
            <w:vAlign w:val="center"/>
          </w:tcPr>
          <w:p w14:paraId="5DCF63C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陆生生态</w:t>
            </w:r>
          </w:p>
        </w:tc>
        <w:tc>
          <w:tcPr>
            <w:tcW w:w="1268" w:type="dxa"/>
            <w:vAlign w:val="center"/>
          </w:tcPr>
          <w:p w14:paraId="241EE9D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268" w:type="dxa"/>
            <w:vAlign w:val="center"/>
          </w:tcPr>
          <w:p w14:paraId="0AAB7C9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690" w:type="dxa"/>
            <w:vAlign w:val="center"/>
          </w:tcPr>
          <w:p w14:paraId="6E2A222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187" w:type="dxa"/>
            <w:vAlign w:val="center"/>
          </w:tcPr>
          <w:p w14:paraId="64CD18A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293DE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1334" w:type="dxa"/>
            <w:vMerge w:val="continue"/>
            <w:vAlign w:val="center"/>
          </w:tcPr>
          <w:p w14:paraId="2D820BD1">
            <w:pPr>
              <w:pStyle w:val="22"/>
              <w:bidi w:val="0"/>
              <w:jc w:val="center"/>
              <w:rPr>
                <w:rFonts w:hint="default" w:ascii="Times New Roman" w:hAnsi="Times New Roman" w:cs="Times New Roman"/>
                <w:highlight w:val="none"/>
              </w:rPr>
            </w:pPr>
          </w:p>
        </w:tc>
        <w:tc>
          <w:tcPr>
            <w:tcW w:w="1630" w:type="dxa"/>
            <w:vAlign w:val="center"/>
          </w:tcPr>
          <w:p w14:paraId="19595B0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水生生态</w:t>
            </w:r>
          </w:p>
        </w:tc>
        <w:tc>
          <w:tcPr>
            <w:tcW w:w="1268" w:type="dxa"/>
            <w:vAlign w:val="center"/>
          </w:tcPr>
          <w:p w14:paraId="6EE9290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268" w:type="dxa"/>
            <w:vAlign w:val="center"/>
          </w:tcPr>
          <w:p w14:paraId="17CBE72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690" w:type="dxa"/>
            <w:vAlign w:val="center"/>
          </w:tcPr>
          <w:p w14:paraId="6A31D28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187" w:type="dxa"/>
            <w:vAlign w:val="center"/>
          </w:tcPr>
          <w:p w14:paraId="619D4B1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361B6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334" w:type="dxa"/>
            <w:vMerge w:val="restart"/>
            <w:vAlign w:val="center"/>
          </w:tcPr>
          <w:p w14:paraId="456F32C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社会环境</w:t>
            </w:r>
          </w:p>
        </w:tc>
        <w:tc>
          <w:tcPr>
            <w:tcW w:w="1630" w:type="dxa"/>
            <w:vAlign w:val="center"/>
          </w:tcPr>
          <w:p w14:paraId="3BE1F53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经济社会</w:t>
            </w:r>
          </w:p>
        </w:tc>
        <w:tc>
          <w:tcPr>
            <w:tcW w:w="1268" w:type="dxa"/>
            <w:vAlign w:val="center"/>
          </w:tcPr>
          <w:p w14:paraId="07B9E5E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268" w:type="dxa"/>
            <w:vAlign w:val="center"/>
          </w:tcPr>
          <w:p w14:paraId="47FA03E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690" w:type="dxa"/>
            <w:vAlign w:val="center"/>
          </w:tcPr>
          <w:p w14:paraId="6B6FE725">
            <w:pPr>
              <w:pStyle w:val="22"/>
              <w:bidi w:val="0"/>
              <w:jc w:val="center"/>
              <w:rPr>
                <w:rFonts w:hint="default" w:ascii="Times New Roman" w:hAnsi="Times New Roman" w:cs="Times New Roman"/>
                <w:highlight w:val="none"/>
              </w:rPr>
            </w:pPr>
          </w:p>
        </w:tc>
        <w:tc>
          <w:tcPr>
            <w:tcW w:w="1187" w:type="dxa"/>
            <w:vAlign w:val="center"/>
          </w:tcPr>
          <w:p w14:paraId="10BBC6A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3994C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1334" w:type="dxa"/>
            <w:vMerge w:val="continue"/>
            <w:vAlign w:val="center"/>
          </w:tcPr>
          <w:p w14:paraId="7437FC28">
            <w:pPr>
              <w:pStyle w:val="22"/>
              <w:bidi w:val="0"/>
              <w:jc w:val="center"/>
              <w:rPr>
                <w:rFonts w:hint="default" w:ascii="Times New Roman" w:hAnsi="Times New Roman" w:cs="Times New Roman"/>
                <w:highlight w:val="none"/>
              </w:rPr>
            </w:pPr>
          </w:p>
        </w:tc>
        <w:tc>
          <w:tcPr>
            <w:tcW w:w="1630" w:type="dxa"/>
            <w:vAlign w:val="center"/>
          </w:tcPr>
          <w:p w14:paraId="4AD0AB9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土地资源</w:t>
            </w:r>
          </w:p>
        </w:tc>
        <w:tc>
          <w:tcPr>
            <w:tcW w:w="1268" w:type="dxa"/>
            <w:vAlign w:val="center"/>
          </w:tcPr>
          <w:p w14:paraId="7CF4E9F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268" w:type="dxa"/>
            <w:vAlign w:val="center"/>
          </w:tcPr>
          <w:p w14:paraId="3154D98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〇△</w:t>
            </w:r>
          </w:p>
        </w:tc>
        <w:tc>
          <w:tcPr>
            <w:tcW w:w="1690" w:type="dxa"/>
            <w:vAlign w:val="center"/>
          </w:tcPr>
          <w:p w14:paraId="0EB5E052">
            <w:pPr>
              <w:pStyle w:val="22"/>
              <w:bidi w:val="0"/>
              <w:jc w:val="center"/>
              <w:rPr>
                <w:rFonts w:hint="default" w:ascii="Times New Roman" w:hAnsi="Times New Roman" w:cs="Times New Roman"/>
                <w:highlight w:val="none"/>
              </w:rPr>
            </w:pPr>
          </w:p>
        </w:tc>
        <w:tc>
          <w:tcPr>
            <w:tcW w:w="1187" w:type="dxa"/>
            <w:vAlign w:val="center"/>
          </w:tcPr>
          <w:p w14:paraId="4A83D65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14:paraId="1B081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1334" w:type="dxa"/>
            <w:vMerge w:val="continue"/>
            <w:vAlign w:val="center"/>
          </w:tcPr>
          <w:p w14:paraId="50D16986">
            <w:pPr>
              <w:pStyle w:val="22"/>
              <w:bidi w:val="0"/>
              <w:jc w:val="center"/>
              <w:rPr>
                <w:rFonts w:hint="default" w:ascii="Times New Roman" w:hAnsi="Times New Roman" w:cs="Times New Roman"/>
                <w:highlight w:val="none"/>
              </w:rPr>
            </w:pPr>
          </w:p>
        </w:tc>
        <w:tc>
          <w:tcPr>
            <w:tcW w:w="1630" w:type="dxa"/>
            <w:vAlign w:val="center"/>
          </w:tcPr>
          <w:p w14:paraId="7592E6A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移民安置</w:t>
            </w:r>
          </w:p>
        </w:tc>
        <w:tc>
          <w:tcPr>
            <w:tcW w:w="1268" w:type="dxa"/>
            <w:vAlign w:val="center"/>
          </w:tcPr>
          <w:p w14:paraId="0DF811C8">
            <w:pPr>
              <w:pStyle w:val="22"/>
              <w:bidi w:val="0"/>
              <w:jc w:val="center"/>
              <w:rPr>
                <w:rFonts w:hint="default" w:ascii="Times New Roman" w:hAnsi="Times New Roman" w:cs="Times New Roman"/>
                <w:highlight w:val="none"/>
              </w:rPr>
            </w:pPr>
          </w:p>
        </w:tc>
        <w:tc>
          <w:tcPr>
            <w:tcW w:w="1268" w:type="dxa"/>
            <w:vAlign w:val="center"/>
          </w:tcPr>
          <w:p w14:paraId="0728CD39">
            <w:pPr>
              <w:pStyle w:val="22"/>
              <w:bidi w:val="0"/>
              <w:jc w:val="center"/>
              <w:rPr>
                <w:rFonts w:hint="default" w:ascii="Times New Roman" w:hAnsi="Times New Roman" w:cs="Times New Roman"/>
                <w:highlight w:val="none"/>
              </w:rPr>
            </w:pPr>
          </w:p>
        </w:tc>
        <w:tc>
          <w:tcPr>
            <w:tcW w:w="1690" w:type="dxa"/>
            <w:vAlign w:val="center"/>
          </w:tcPr>
          <w:p w14:paraId="79E377F2">
            <w:pPr>
              <w:pStyle w:val="22"/>
              <w:bidi w:val="0"/>
              <w:jc w:val="center"/>
              <w:rPr>
                <w:rFonts w:hint="default" w:ascii="Times New Roman" w:hAnsi="Times New Roman" w:cs="Times New Roman"/>
                <w:highlight w:val="none"/>
              </w:rPr>
            </w:pPr>
          </w:p>
        </w:tc>
        <w:tc>
          <w:tcPr>
            <w:tcW w:w="1187" w:type="dxa"/>
            <w:vAlign w:val="center"/>
          </w:tcPr>
          <w:p w14:paraId="0737B844">
            <w:pPr>
              <w:pStyle w:val="22"/>
              <w:bidi w:val="0"/>
              <w:jc w:val="center"/>
              <w:rPr>
                <w:rFonts w:hint="default" w:ascii="Times New Roman" w:hAnsi="Times New Roman" w:cs="Times New Roman"/>
                <w:highlight w:val="none"/>
              </w:rPr>
            </w:pPr>
          </w:p>
        </w:tc>
      </w:tr>
      <w:tr w14:paraId="37F70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trPr>
        <w:tc>
          <w:tcPr>
            <w:tcW w:w="1334" w:type="dxa"/>
            <w:vMerge w:val="continue"/>
            <w:vAlign w:val="center"/>
          </w:tcPr>
          <w:p w14:paraId="6257D876">
            <w:pPr>
              <w:pStyle w:val="22"/>
              <w:bidi w:val="0"/>
              <w:jc w:val="center"/>
              <w:rPr>
                <w:rFonts w:hint="default" w:ascii="Times New Roman" w:hAnsi="Times New Roman" w:cs="Times New Roman"/>
                <w:highlight w:val="none"/>
              </w:rPr>
            </w:pPr>
          </w:p>
        </w:tc>
        <w:tc>
          <w:tcPr>
            <w:tcW w:w="1630" w:type="dxa"/>
            <w:vAlign w:val="center"/>
          </w:tcPr>
          <w:p w14:paraId="292385F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人群健康</w:t>
            </w:r>
          </w:p>
        </w:tc>
        <w:tc>
          <w:tcPr>
            <w:tcW w:w="1268" w:type="dxa"/>
            <w:vAlign w:val="center"/>
          </w:tcPr>
          <w:p w14:paraId="6D7AB9D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268" w:type="dxa"/>
            <w:vAlign w:val="center"/>
          </w:tcPr>
          <w:p w14:paraId="2145588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690" w:type="dxa"/>
            <w:vAlign w:val="center"/>
          </w:tcPr>
          <w:p w14:paraId="74763C2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187" w:type="dxa"/>
            <w:vAlign w:val="center"/>
          </w:tcPr>
          <w:p w14:paraId="34735631">
            <w:pPr>
              <w:pStyle w:val="22"/>
              <w:bidi w:val="0"/>
              <w:jc w:val="center"/>
              <w:rPr>
                <w:rFonts w:hint="default" w:ascii="Times New Roman" w:hAnsi="Times New Roman" w:cs="Times New Roman"/>
                <w:highlight w:val="none"/>
              </w:rPr>
            </w:pPr>
          </w:p>
        </w:tc>
      </w:tr>
      <w:tr w14:paraId="5CD74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trPr>
        <w:tc>
          <w:tcPr>
            <w:tcW w:w="8377" w:type="dxa"/>
            <w:gridSpan w:val="6"/>
            <w:vAlign w:val="center"/>
          </w:tcPr>
          <w:p w14:paraId="18D98979">
            <w:pPr>
              <w:pStyle w:val="22"/>
              <w:bidi w:val="0"/>
              <w:jc w:val="both"/>
              <w:rPr>
                <w:rFonts w:hint="default" w:ascii="Times New Roman" w:hAnsi="Times New Roman" w:cs="Times New Roman"/>
                <w:highlight w:val="none"/>
              </w:rPr>
            </w:pPr>
            <w:r>
              <w:rPr>
                <w:rFonts w:hint="default" w:ascii="Times New Roman" w:hAnsi="Times New Roman" w:cs="Times New Roman"/>
                <w:highlight w:val="none"/>
              </w:rPr>
              <w:t>备注：“◇、◆”分别表示影响性质主要为“有利、不利”；“〇”表示影响限于</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内局部区域；“◎”表示影响范围涉及</w:t>
            </w: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内的较大范围；“●”表示影响范围为</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整个流域，甚至涉及流域以外区域。“△”表示短期影响，“▲”表示长期影响。</w:t>
            </w:r>
          </w:p>
        </w:tc>
      </w:tr>
    </w:tbl>
    <w:p w14:paraId="02AD1A6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识别结果表明，规划实施对经济社会、人群健康等环境因子以有利影响为主；对水文情势、水资源、水质、生态完整性、陆生生态、水生生态、土地资源、移民安置等环境因子既有有利影响又有不利影响。规划对水文情势、水资源、水生生态、陆生生态等环境因子的总体影响程度为中等，对其他影响因子的总体影响程度为小。</w:t>
      </w:r>
    </w:p>
    <w:p w14:paraId="2B19211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对水文情势、水资源、水质等环境因子的影响范围主要集中在局部河段，水资源保护、水生生态保护与修复对生态完整性、陆生生态、水生生态等环境因子的影响范围较大（有利），对社会环境等的影响范围较大（有利）。规划对水文情势、水资源、水质、水生生态、经济社会、人群健康等环境因子的影响既有长期影响又有短期影响，流域范围内不存在移民安置的影响。</w:t>
      </w:r>
    </w:p>
    <w:p w14:paraId="57A185A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综合分析表明，规划实施后对水文情势、水资源、水生生态环境因子的影响较高，对水质、水温、陆生生态、土地资源、经济社会、人群健康、生态敏感区和移民安置等环境因子影响较低。</w:t>
      </w:r>
    </w:p>
    <w:p w14:paraId="6CF62E52">
      <w:pPr>
        <w:pStyle w:val="4"/>
        <w:bidi w:val="0"/>
        <w:rPr>
          <w:rFonts w:hint="default"/>
          <w:highlight w:val="none"/>
          <w:lang w:val="en-US" w:eastAsia="zh-CN"/>
        </w:rPr>
      </w:pPr>
      <w:r>
        <w:rPr>
          <w:rFonts w:hint="default"/>
          <w:highlight w:val="none"/>
          <w:lang w:val="en-US" w:eastAsia="zh-CN"/>
        </w:rPr>
        <w:t>评价重点</w:t>
      </w:r>
    </w:p>
    <w:p w14:paraId="09F3681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施工对环境要素和因子的影响具有暂时性和可逆性特点，且其恢复措施较为成熟，可在下一阶段单项建设工程环评工作中进行深入评价，并制定和实施可行有效的环保措施，因此，施工期的环境影响不作为本次流域规划环评的重点评价内容。</w:t>
      </w:r>
    </w:p>
    <w:p w14:paraId="4CB5845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包括防洪减灾规划、水资源综合利用规划、水资源保护与生态修复规划、水土保持规划等多项规划内容，规划环评的重点将关注规划实施后对水资源、水文情势、水温、水质、水生生态、陆生生态、社会环境及其相关环境因子的影响，并提出优化调整的建议和环境影响减缓措施。</w:t>
      </w:r>
    </w:p>
    <w:p w14:paraId="168435B4">
      <w:pPr>
        <w:pStyle w:val="3"/>
        <w:bidi w:val="0"/>
        <w:rPr>
          <w:rFonts w:hint="default"/>
          <w:highlight w:val="none"/>
          <w:lang w:val="en-US" w:eastAsia="zh-CN"/>
        </w:rPr>
      </w:pPr>
      <w:bookmarkStart w:id="57" w:name="_Toc22293"/>
      <w:r>
        <w:rPr>
          <w:rFonts w:hint="default"/>
          <w:highlight w:val="none"/>
          <w:lang w:val="en-US" w:eastAsia="zh-CN"/>
        </w:rPr>
        <w:t>生态环境保护定位</w:t>
      </w:r>
      <w:bookmarkEnd w:id="57"/>
    </w:p>
    <w:p w14:paraId="12EF9E1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以维护生态安全、改善生态环境为目标，根据流域和区域可持续发展战略、生态环境保护与资源利用相关法律法规、政策和规划，充分衔接生态保护红线、环境质量底线、资源利用上线管控目标，明确流域生态环境保护定位。</w:t>
      </w:r>
    </w:p>
    <w:p w14:paraId="206C14D1">
      <w:pPr>
        <w:pStyle w:val="4"/>
        <w:bidi w:val="0"/>
        <w:rPr>
          <w:rFonts w:hint="default"/>
          <w:highlight w:val="none"/>
          <w:lang w:val="en-US" w:eastAsia="zh-CN"/>
        </w:rPr>
      </w:pPr>
      <w:r>
        <w:rPr>
          <w:rFonts w:hint="default"/>
          <w:highlight w:val="none"/>
          <w:lang w:val="en-US" w:eastAsia="zh-CN"/>
        </w:rPr>
        <w:t>流域功能区划</w:t>
      </w:r>
    </w:p>
    <w:p w14:paraId="1D47A9EB">
      <w:pPr>
        <w:pStyle w:val="5"/>
        <w:bidi w:val="0"/>
        <w:rPr>
          <w:rFonts w:hint="default"/>
          <w:highlight w:val="none"/>
          <w:lang w:val="en-US" w:eastAsia="zh-CN"/>
        </w:rPr>
      </w:pPr>
      <w:r>
        <w:rPr>
          <w:rFonts w:hint="default"/>
          <w:highlight w:val="none"/>
          <w:lang w:val="en-US" w:eastAsia="zh-CN"/>
        </w:rPr>
        <w:t>主体功能区划</w:t>
      </w:r>
    </w:p>
    <w:p w14:paraId="3295347A">
      <w:pPr>
        <w:numPr>
          <w:ilvl w:val="0"/>
          <w:numId w:val="48"/>
        </w:numPr>
        <w:bidi w:val="0"/>
        <w:rPr>
          <w:rFonts w:hint="default"/>
          <w:highlight w:val="none"/>
          <w:lang w:val="en-US" w:eastAsia="zh-CN"/>
        </w:rPr>
      </w:pPr>
      <w:r>
        <w:rPr>
          <w:rFonts w:hint="default"/>
          <w:highlight w:val="none"/>
          <w:lang w:val="en-US" w:eastAsia="zh-CN"/>
        </w:rPr>
        <w:t>全国主体功能区划</w:t>
      </w:r>
    </w:p>
    <w:p w14:paraId="6592B98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国务院2010年12月发布的《全国主体功能区规划》，本流域位于国家层面重点开发区域中成渝地区成都经济区，该区域功能定位是：西部地区重要的经济中心，全国重要的综合交通枢纽，商贸物流中心和金融中心，以及先进制造业基地、科技创新产业化基地和农产品加工基地。提出“构建以成都为核心，以成德绵乐（成都、德阳、绵阳、乐山）为主轴，等等，加强岷江、沱江、涪江等水系的水土流失防治和水污染治理，强化龙泉山等山脉的生态保护与建设，构建以邛崃山脉</w:t>
      </w:r>
      <w:r>
        <w:rPr>
          <w:rFonts w:hint="eastAsia" w:cs="Times New Roman"/>
          <w:highlight w:val="none"/>
          <w:lang w:val="en-US" w:eastAsia="zh-CN"/>
        </w:rPr>
        <w:t>-</w:t>
      </w:r>
      <w:r>
        <w:rPr>
          <w:rFonts w:hint="default" w:ascii="Times New Roman" w:hAnsi="Times New Roman" w:cs="Times New Roman"/>
          <w:highlight w:val="none"/>
          <w:lang w:val="en-US" w:eastAsia="zh-CN"/>
        </w:rPr>
        <w:t>龙门山、龙泉山为屏障，以岷江、沱江、涪江为纽带的生态格局。</w:t>
      </w:r>
    </w:p>
    <w:p w14:paraId="150F3999">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冷龙沟流域位于乡城镇香巴拉镇，根据《全国主体功能区规划》，流域规划范围不涉及国家层面的限制开发区和禁止开发区。</w:t>
      </w:r>
    </w:p>
    <w:p w14:paraId="7060E895">
      <w:pPr>
        <w:numPr>
          <w:ilvl w:val="0"/>
          <w:numId w:val="48"/>
        </w:numPr>
        <w:bidi w:val="0"/>
        <w:rPr>
          <w:rFonts w:hint="default"/>
          <w:highlight w:val="none"/>
          <w:lang w:val="en-US" w:eastAsia="zh-CN"/>
        </w:rPr>
      </w:pPr>
      <w:r>
        <w:rPr>
          <w:rFonts w:hint="default"/>
          <w:highlight w:val="none"/>
          <w:lang w:val="en-US" w:eastAsia="zh-CN"/>
        </w:rPr>
        <w:t>四川省主体功能区划</w:t>
      </w:r>
    </w:p>
    <w:p w14:paraId="5A50E79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四川省主体功能区规划》（川府发〔2013〕16号），冷龙沟所在区域属于国家层面限制开发区域（重点生态功能区），不涉及禁止开发区域。该区域主体功能定位：大熊猫、羚牛、金丝猴等重要珍稀生物的栖息地，国家乃至世界生物多样性保护重要区域，全省重要的生物多样性、涵养水源、保持水土、维系生态平衡的主要区域。</w:t>
      </w:r>
    </w:p>
    <w:p w14:paraId="0DF20F8E">
      <w:pPr>
        <w:pStyle w:val="5"/>
        <w:bidi w:val="0"/>
        <w:rPr>
          <w:rFonts w:hint="default"/>
          <w:highlight w:val="none"/>
          <w:lang w:val="en-US" w:eastAsia="zh-CN"/>
        </w:rPr>
      </w:pPr>
      <w:r>
        <w:rPr>
          <w:rFonts w:hint="default"/>
          <w:highlight w:val="none"/>
          <w:lang w:val="en-US" w:eastAsia="zh-CN"/>
        </w:rPr>
        <w:t>生态功能区划</w:t>
      </w:r>
    </w:p>
    <w:p w14:paraId="55DE96A6">
      <w:pPr>
        <w:numPr>
          <w:ilvl w:val="0"/>
          <w:numId w:val="49"/>
        </w:numPr>
        <w:bidi w:val="0"/>
        <w:rPr>
          <w:rFonts w:hint="default"/>
          <w:highlight w:val="none"/>
          <w:lang w:val="en-US" w:eastAsia="zh-CN"/>
        </w:rPr>
      </w:pPr>
      <w:r>
        <w:rPr>
          <w:rFonts w:hint="default"/>
          <w:highlight w:val="none"/>
          <w:lang w:val="en-US" w:eastAsia="zh-CN"/>
        </w:rPr>
        <w:t>全国生态功能区划</w:t>
      </w:r>
    </w:p>
    <w:p w14:paraId="6985DD0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全国生态功能区划》，冷龙沟属于川西北水源涵养与生物多样性保护重要区。主要生态问题：大规模水电开发导致的生态破坏加剧，湿地疏干垦殖和过度放牧导致的沼泽萎缩、草甸退化和草地沙化问题突出。生态保护主要措施：合理开发水电资源，强化水电开发与运行中的生态保护，严格控制支流小水电的无序开发。加大牧业生产设施建设力度，逐步改变牧业粗放经营和过度放牧，加强草地恢复，加大草地沙化和鼠虫害防治力度，严禁沼泽湿地疏干改造，退牧还沼，恢复湿地，加大天然草地、沼泽湿地和生物多样性的保护力度。发展生态旅游、观光旅游和科学考察服务的第三产业，开发具有地方特色的畜产品产业，走生态经济型发展道路。</w:t>
      </w:r>
    </w:p>
    <w:p w14:paraId="3C55FF7A">
      <w:pPr>
        <w:numPr>
          <w:ilvl w:val="0"/>
          <w:numId w:val="49"/>
        </w:numPr>
        <w:bidi w:val="0"/>
        <w:rPr>
          <w:rFonts w:hint="default"/>
          <w:highlight w:val="none"/>
          <w:lang w:val="en-US" w:eastAsia="zh-CN"/>
        </w:rPr>
      </w:pPr>
      <w:r>
        <w:rPr>
          <w:rFonts w:hint="default"/>
          <w:highlight w:val="none"/>
          <w:lang w:val="en-US" w:eastAsia="zh-CN"/>
        </w:rPr>
        <w:t>四川省生态功能区划</w:t>
      </w:r>
    </w:p>
    <w:p w14:paraId="633CC74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四川省主体功能区规划》（川府发〔2013〕16号），冷龙沟所在区域属于国家层面限制开发区域（重点生态功能区），不涉及禁止开发区域。该区域主体功能定位：大熊猫、羚牛、金丝猴等重要珍稀生物的栖息地，国家乃至世界生物多样性保护重要区域，全省重要的生物多样性、涵养水源、保持水土、维系生态平衡的主要区域。</w:t>
      </w:r>
    </w:p>
    <w:p w14:paraId="4DDF3FC8">
      <w:pPr>
        <w:pStyle w:val="5"/>
        <w:bidi w:val="0"/>
        <w:rPr>
          <w:rFonts w:hint="default"/>
          <w:highlight w:val="none"/>
          <w:lang w:val="en-US" w:eastAsia="zh-CN"/>
        </w:rPr>
      </w:pPr>
      <w:r>
        <w:rPr>
          <w:rFonts w:hint="default"/>
          <w:highlight w:val="none"/>
          <w:lang w:val="en-US" w:eastAsia="zh-CN"/>
        </w:rPr>
        <w:t>水功能区</w:t>
      </w:r>
      <w:r>
        <w:rPr>
          <w:rFonts w:hint="eastAsia"/>
          <w:highlight w:val="none"/>
          <w:lang w:val="en-US" w:eastAsia="zh-CN"/>
        </w:rPr>
        <w:t>划</w:t>
      </w:r>
    </w:p>
    <w:p w14:paraId="0C64460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根据《全国重要江河湖泊水功能区划（2011</w:t>
      </w:r>
      <w:r>
        <w:rPr>
          <w:rFonts w:hint="eastAsia" w:cs="Times New Roman"/>
          <w:highlight w:val="none"/>
          <w:lang w:val="en-US" w:eastAsia="zh-CN"/>
        </w:rPr>
        <w:t>-</w:t>
      </w:r>
      <w:r>
        <w:rPr>
          <w:rFonts w:hint="default" w:ascii="Times New Roman" w:hAnsi="Times New Roman" w:cs="Times New Roman"/>
          <w:highlight w:val="none"/>
          <w:lang w:val="en-US" w:eastAsia="zh-CN"/>
        </w:rPr>
        <w:t>2030年）》和《四川省水功能区划报告》（2020年10月），本项目所在冷龙沟尚未划分水功能区，冷龙沟为硕曲右岸一级支流，根据《四川省水功能区划》，硕曲共划分四个一级水功能区，冷龙沟河口位于硕曲河理塘乡城保留区。</w:t>
      </w:r>
    </w:p>
    <w:p w14:paraId="5C080EE9">
      <w:pPr>
        <w:pStyle w:val="4"/>
        <w:bidi w:val="0"/>
        <w:rPr>
          <w:rFonts w:hint="default"/>
          <w:highlight w:val="none"/>
          <w:lang w:val="en-US" w:eastAsia="zh-CN"/>
        </w:rPr>
      </w:pPr>
      <w:r>
        <w:rPr>
          <w:rFonts w:hint="default"/>
          <w:highlight w:val="none"/>
          <w:lang w:val="en-US" w:eastAsia="zh-CN"/>
        </w:rPr>
        <w:t>国土空间规划</w:t>
      </w:r>
    </w:p>
    <w:p w14:paraId="667EB87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《甘孜藏族自治州国土空间总体规划》（2021-2035年）提出：优化国土空间开发保护格局。落实主体功能区战略，构建“两屏五区、六带四片”的国土空间开发保护总体格局。筑牢岷山</w:t>
      </w:r>
      <w:r>
        <w:rPr>
          <w:rFonts w:hint="eastAsia" w:cs="Times New Roman"/>
          <w:highlight w:val="none"/>
          <w:lang w:val="en-US" w:eastAsia="zh-CN"/>
        </w:rPr>
        <w:t>-</w:t>
      </w:r>
      <w:r>
        <w:rPr>
          <w:rFonts w:hint="default" w:ascii="Times New Roman" w:hAnsi="Times New Roman" w:cs="Times New Roman"/>
          <w:highlight w:val="none"/>
          <w:lang w:val="en-US" w:eastAsia="zh-CN"/>
        </w:rPr>
        <w:t>横断山脉和羌塘</w:t>
      </w:r>
      <w:r>
        <w:rPr>
          <w:rFonts w:hint="eastAsia" w:cs="Times New Roman"/>
          <w:highlight w:val="none"/>
          <w:lang w:val="en-US" w:eastAsia="zh-CN"/>
        </w:rPr>
        <w:t>-</w:t>
      </w:r>
      <w:r>
        <w:rPr>
          <w:rFonts w:hint="default" w:ascii="Times New Roman" w:hAnsi="Times New Roman" w:cs="Times New Roman"/>
          <w:highlight w:val="none"/>
          <w:lang w:val="en-US" w:eastAsia="zh-CN"/>
        </w:rPr>
        <w:t>三江源国家生态安全屏障，加强长沙贡玛、沙鲁里山、大雪山等重要生态安全空间保护。加强大渡河、金沙江、雅砻江流域集中连片耕地保护，推进生态农牧业复合发展。构建县城和小城镇联动发展的点状城镇空间格局。促进土地节约集约利用，加大城乡存量用地挖潜力度，全面提升国土空间开发保护利用水平。</w:t>
      </w:r>
    </w:p>
    <w:p w14:paraId="23E2506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《甘孜藏族自治州乡城县国土空间总体规划》（2021</w:t>
      </w:r>
      <w:r>
        <w:rPr>
          <w:rFonts w:hint="eastAsia" w:cs="Times New Roman"/>
          <w:highlight w:val="none"/>
          <w:lang w:val="en-US" w:eastAsia="zh-CN"/>
        </w:rPr>
        <w:t>-</w:t>
      </w:r>
      <w:r>
        <w:rPr>
          <w:rFonts w:hint="default" w:ascii="Times New Roman" w:hAnsi="Times New Roman" w:cs="Times New Roman"/>
          <w:highlight w:val="none"/>
          <w:lang w:val="en-US" w:eastAsia="zh-CN"/>
        </w:rPr>
        <w:t>2035）战略定位：落实甘孜藏族自治州川西北生态绿色发展示范区的总体定位，“两区三地”功能定位。“两区”为国家生态文明建设示范区、全国民族团结进步示范区，“三地”为国际生态文化旅游目的地、现代高原特色农牧业基地、国家重要清洁能源基地。</w:t>
      </w:r>
    </w:p>
    <w:p w14:paraId="48876C2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国土空间格局：构建“保护三屏三廊六带、开发一区三轴多点”的国土空间保护开发总体格局。沙鲁里山生态屏障是保障青藏高原生态安全的生态系统服务功能重要区和生态敏感区沿金沙江河谷布局的优质集中连片耕地带，是保障高原粮食安全的重要基础</w:t>
      </w:r>
      <w:r>
        <w:rPr>
          <w:rFonts w:hint="eastAsia" w:cs="Times New Roman"/>
          <w:highlight w:val="none"/>
          <w:lang w:val="en-US" w:eastAsia="zh-CN"/>
        </w:rPr>
        <w:t>：</w:t>
      </w:r>
      <w:r>
        <w:rPr>
          <w:rFonts w:hint="default" w:ascii="Times New Roman" w:hAnsi="Times New Roman" w:cs="Times New Roman"/>
          <w:highlight w:val="none"/>
          <w:lang w:val="en-US" w:eastAsia="zh-CN"/>
        </w:rPr>
        <w:t>隆得高速及其连接线形成南部城镇发展轴，串联重要城镇，强化产业和旅游合作。</w:t>
      </w:r>
    </w:p>
    <w:p w14:paraId="5C8D3CE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区域协同：州外协同周边市州共创横断山脉地区特色发展路径，包括大香格里拉旅游、长征文化国家公园保护和开发和茶马古道和藏羌彝文化走廊保护和开发等合作；州内强化重点地区协同发展，以稻城县城为片区中心，分别带动康南片区协同发展。规划传导：规划到2035年，乡城县生态保护红线面积1595.58平方公里，永久基本农田面积25.22平方公里，城镇开发边界面积3.47平方公里。落实正斗光伏基地、866隆得高速、S460过境段、S460</w:t>
      </w:r>
      <w:r>
        <w:rPr>
          <w:rFonts w:hint="eastAsia" w:cs="Times New Roman"/>
          <w:highlight w:val="none"/>
          <w:lang w:val="en-US" w:eastAsia="zh-CN"/>
        </w:rPr>
        <w:t>（</w:t>
      </w:r>
      <w:r>
        <w:rPr>
          <w:rFonts w:hint="default" w:ascii="Times New Roman" w:hAnsi="Times New Roman" w:cs="Times New Roman"/>
          <w:highlight w:val="none"/>
          <w:lang w:val="en-US" w:eastAsia="zh-CN"/>
        </w:rPr>
        <w:t>波正路</w:t>
      </w:r>
      <w:r>
        <w:rPr>
          <w:rFonts w:hint="eastAsia" w:cs="Times New Roman"/>
          <w:highlight w:val="none"/>
          <w:lang w:val="en-US" w:eastAsia="zh-CN"/>
        </w:rPr>
        <w:t>）</w:t>
      </w:r>
      <w:r>
        <w:rPr>
          <w:rFonts w:hint="default" w:ascii="Times New Roman" w:hAnsi="Times New Roman" w:cs="Times New Roman"/>
          <w:highlight w:val="none"/>
          <w:lang w:val="en-US" w:eastAsia="zh-CN"/>
        </w:rPr>
        <w:t>、尼色拥水库、康南乡城县特色农产品加工集中发展园区等区域重大基础设施、产业项目建设。</w:t>
      </w:r>
    </w:p>
    <w:p w14:paraId="05637E41">
      <w:pPr>
        <w:pStyle w:val="4"/>
        <w:bidi w:val="0"/>
        <w:rPr>
          <w:rFonts w:hint="default"/>
          <w:highlight w:val="none"/>
          <w:lang w:val="en-US" w:eastAsia="zh-CN"/>
        </w:rPr>
      </w:pPr>
      <w:r>
        <w:rPr>
          <w:rFonts w:hint="default"/>
          <w:highlight w:val="none"/>
          <w:lang w:val="en-US" w:eastAsia="zh-CN"/>
        </w:rPr>
        <w:t>流域生态环境保护功能定位及开发要求</w:t>
      </w:r>
    </w:p>
    <w:p w14:paraId="677BDA1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主要为山区，植被覆盖率高，生物多样性丰富。根据冷龙沟流域的生态环境特征，结合冷龙沟在《全国主体功能区规划》《四川省主体功能区规划》《全国生态功能区划》《四川省生态功能区划》《长江流域综合规划》和各级“国土空间总体规划”等相关规划中的定位，将该流域的功能定位确定为以建设防灾减灾、保护和修复生态环境为首要职能；在保护生态环境、改善水环境、严守生态红线的前提下，进行水资源的适度开发和利用。</w:t>
      </w:r>
    </w:p>
    <w:p w14:paraId="73E26484">
      <w:pPr>
        <w:pStyle w:val="3"/>
        <w:bidi w:val="0"/>
        <w:rPr>
          <w:rFonts w:hint="default"/>
          <w:highlight w:val="none"/>
          <w:lang w:val="en-US" w:eastAsia="zh-CN"/>
        </w:rPr>
      </w:pPr>
      <w:bookmarkStart w:id="58" w:name="_Toc13431"/>
      <w:r>
        <w:rPr>
          <w:rFonts w:hint="default"/>
          <w:highlight w:val="none"/>
          <w:lang w:val="en-US" w:eastAsia="zh-CN"/>
        </w:rPr>
        <w:t>评价指标体系</w:t>
      </w:r>
      <w:bookmarkEnd w:id="58"/>
    </w:p>
    <w:p w14:paraId="31CD44C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流域生态环境保护定位，综合考虑流域水文水资源、水环境、生态环境等方面的关键因子、主要影响和突出问题，从生态安全维护、环境质量改善、资源高效利用等方面建立环境目标和评价指标体系，明确基准年及不同评价时段的环境目标值、评价指标值及确定依据。</w:t>
      </w:r>
    </w:p>
    <w:p w14:paraId="29A8D909">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综合规划实施主要涉及水文水资源、水环境、水生生态、陆生生态等环境要素，结合流域生态环境保护定位及规划的目标、布局、规模和开发时 序等特性，确定</w:t>
      </w: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规划环境影响评价指标体系，见</w:t>
      </w:r>
      <w:r>
        <w:rPr>
          <w:rFonts w:hint="default" w:ascii="Times New Roman" w:hAnsi="Times New Roman" w:cs="Times New Roman"/>
          <w:highlight w:val="none"/>
          <w:lang w:val="en-US"/>
        </w:rPr>
        <w:fldChar w:fldCharType="begin"/>
      </w:r>
      <w:r>
        <w:rPr>
          <w:rFonts w:hint="default" w:ascii="Times New Roman" w:hAnsi="Times New Roman" w:cs="Times New Roman"/>
          <w:highlight w:val="none"/>
          <w:lang w:val="en-US"/>
        </w:rPr>
        <w:instrText xml:space="preserve"> REF _Ref10666 \h </w:instrText>
      </w:r>
      <w:r>
        <w:rPr>
          <w:rFonts w:hint="default" w:ascii="Times New Roman" w:hAnsi="Times New Roman" w:cs="Times New Roman"/>
          <w:highlight w:val="none"/>
          <w:lang w:val="en-US"/>
        </w:rPr>
        <w:fldChar w:fldCharType="separate"/>
      </w:r>
      <w:r>
        <w:rPr>
          <w:rFonts w:hint="default" w:ascii="Times New Roman" w:hAnsi="Times New Roman" w:cs="Times New Roman"/>
          <w:highlight w:val="none"/>
        </w:rPr>
        <w:t>表 45</w:t>
      </w:r>
      <w:r>
        <w:rPr>
          <w:rFonts w:hint="default" w:ascii="Times New Roman" w:hAnsi="Times New Roman" w:cs="Times New Roman"/>
          <w:highlight w:val="none"/>
          <w:lang w:val="en-US"/>
        </w:rPr>
        <w:fldChar w:fldCharType="end"/>
      </w:r>
      <w:r>
        <w:rPr>
          <w:rFonts w:hint="default" w:ascii="Times New Roman" w:hAnsi="Times New Roman" w:cs="Times New Roman"/>
          <w:highlight w:val="none"/>
        </w:rPr>
        <w:t>。</w:t>
      </w:r>
    </w:p>
    <w:p w14:paraId="0E706BC7">
      <w:pPr>
        <w:pStyle w:val="11"/>
        <w:bidi w:val="0"/>
        <w:rPr>
          <w:rFonts w:hint="default" w:ascii="Times New Roman" w:hAnsi="Times New Roman" w:cs="Times New Roman"/>
          <w:highlight w:val="none"/>
        </w:rPr>
      </w:pPr>
      <w:bookmarkStart w:id="59" w:name="_Ref10666"/>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59</w:t>
      </w:r>
      <w:r>
        <w:rPr>
          <w:rFonts w:hint="default" w:ascii="Times New Roman" w:hAnsi="Times New Roman" w:cs="Times New Roman"/>
          <w:highlight w:val="none"/>
        </w:rPr>
        <w:fldChar w:fldCharType="end"/>
      </w:r>
      <w:bookmarkEnd w:id="59"/>
      <w:r>
        <w:rPr>
          <w:rFonts w:hint="default" w:ascii="Times New Roman" w:hAnsi="Times New Roman" w:cs="Times New Roman"/>
          <w:highlight w:val="none"/>
          <w:lang w:val="en-US" w:eastAsia="zh-CN"/>
        </w:rPr>
        <w:t xml:space="preserve"> 冷龙沟流域</w:t>
      </w:r>
      <w:r>
        <w:rPr>
          <w:rFonts w:hint="default" w:ascii="Times New Roman" w:hAnsi="Times New Roman" w:cs="Times New Roman"/>
          <w:highlight w:val="none"/>
        </w:rPr>
        <w:t>综合规划环境影响评价指标表</w:t>
      </w:r>
    </w:p>
    <w:p w14:paraId="748F337E">
      <w:pPr>
        <w:spacing w:line="19" w:lineRule="exact"/>
        <w:rPr>
          <w:rFonts w:hint="default" w:ascii="Times New Roman" w:hAnsi="Times New Roman" w:cs="Times New Roman"/>
          <w:color w:val="0000FF"/>
          <w:highlight w:val="none"/>
        </w:rPr>
      </w:pPr>
    </w:p>
    <w:tbl>
      <w:tblPr>
        <w:tblStyle w:val="24"/>
        <w:tblW w:w="8399"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69"/>
        <w:gridCol w:w="1186"/>
        <w:gridCol w:w="2114"/>
        <w:gridCol w:w="1552"/>
        <w:gridCol w:w="1170"/>
        <w:gridCol w:w="1308"/>
      </w:tblGrid>
      <w:tr w14:paraId="339890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1069" w:type="dxa"/>
            <w:tcBorders>
              <w:top w:val="single" w:color="auto" w:sz="4" w:space="0"/>
              <w:left w:val="single" w:color="auto" w:sz="4" w:space="0"/>
              <w:bottom w:val="single" w:color="auto" w:sz="4" w:space="0"/>
              <w:right w:val="single" w:color="auto" w:sz="4" w:space="0"/>
            </w:tcBorders>
            <w:shd w:val="clear" w:color="auto" w:fill="auto"/>
            <w:vAlign w:val="center"/>
          </w:tcPr>
          <w:p w14:paraId="70984F3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环境目标</w:t>
            </w:r>
          </w:p>
        </w:tc>
        <w:tc>
          <w:tcPr>
            <w:tcW w:w="1186" w:type="dxa"/>
            <w:tcBorders>
              <w:top w:val="single" w:color="auto" w:sz="4" w:space="0"/>
              <w:left w:val="single" w:color="auto" w:sz="4" w:space="0"/>
              <w:bottom w:val="single" w:color="auto" w:sz="4" w:space="0"/>
              <w:right w:val="single" w:color="auto" w:sz="4" w:space="0"/>
            </w:tcBorders>
            <w:shd w:val="clear" w:color="auto" w:fill="auto"/>
            <w:vAlign w:val="center"/>
          </w:tcPr>
          <w:p w14:paraId="53DA744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环境要素</w:t>
            </w: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646D7C6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评价指标</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0A9A8238">
            <w:pPr>
              <w:pStyle w:val="22"/>
              <w:bidi w:val="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基准年（2022年）</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53EA37BB">
            <w:pPr>
              <w:pStyle w:val="22"/>
              <w:bidi w:val="0"/>
              <w:jc w:val="center"/>
              <w:rPr>
                <w:rFonts w:hint="default" w:cs="Times New Roman"/>
                <w:highlight w:val="none"/>
                <w:lang w:val="en-US" w:eastAsia="zh-CN"/>
              </w:rPr>
            </w:pPr>
            <w:r>
              <w:rPr>
                <w:rFonts w:hint="eastAsia" w:cs="Times New Roman"/>
                <w:highlight w:val="none"/>
                <w:lang w:val="en-US" w:eastAsia="zh-CN"/>
              </w:rPr>
              <w:t>2030年</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3F6565CF">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2035年</w:t>
            </w:r>
          </w:p>
        </w:tc>
      </w:tr>
      <w:tr w14:paraId="6A1F85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1069" w:type="dxa"/>
            <w:vMerge w:val="restart"/>
            <w:tcBorders>
              <w:top w:val="single" w:color="auto" w:sz="4" w:space="0"/>
              <w:left w:val="single" w:color="auto" w:sz="4" w:space="0"/>
              <w:right w:val="single" w:color="auto" w:sz="4" w:space="0"/>
            </w:tcBorders>
            <w:shd w:val="clear" w:color="auto" w:fill="auto"/>
            <w:vAlign w:val="center"/>
          </w:tcPr>
          <w:p w14:paraId="24A811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保障资源高效利用</w:t>
            </w:r>
          </w:p>
        </w:tc>
        <w:tc>
          <w:tcPr>
            <w:tcW w:w="1186" w:type="dxa"/>
            <w:vMerge w:val="restart"/>
            <w:tcBorders>
              <w:top w:val="single" w:color="auto" w:sz="4" w:space="0"/>
              <w:left w:val="single" w:color="auto" w:sz="4" w:space="0"/>
              <w:right w:val="single" w:color="auto" w:sz="4" w:space="0"/>
            </w:tcBorders>
            <w:shd w:val="clear" w:color="auto" w:fill="auto"/>
            <w:vAlign w:val="center"/>
          </w:tcPr>
          <w:p w14:paraId="1AAEB17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水文水资源</w:t>
            </w: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4E2E2E6E">
            <w:pPr>
              <w:pStyle w:val="22"/>
              <w:bidi w:val="0"/>
              <w:ind w:firstLine="0" w:firstLine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水资源开发利用率</w:t>
            </w:r>
          </w:p>
        </w:tc>
        <w:tc>
          <w:tcPr>
            <w:tcW w:w="1552" w:type="dxa"/>
            <w:tcBorders>
              <w:top w:val="single" w:color="auto" w:sz="4" w:space="0"/>
              <w:left w:val="single" w:color="auto" w:sz="4" w:space="0"/>
              <w:right w:val="single" w:color="auto" w:sz="4" w:space="0"/>
            </w:tcBorders>
            <w:shd w:val="clear" w:color="auto" w:fill="auto"/>
            <w:vAlign w:val="center"/>
          </w:tcPr>
          <w:p w14:paraId="5CCB909F">
            <w:pPr>
              <w:pStyle w:val="22"/>
              <w:bidi w:val="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4.85%</w:t>
            </w:r>
          </w:p>
        </w:tc>
        <w:tc>
          <w:tcPr>
            <w:tcW w:w="1170" w:type="dxa"/>
            <w:tcBorders>
              <w:top w:val="single" w:color="auto" w:sz="4" w:space="0"/>
              <w:left w:val="single" w:color="auto" w:sz="4" w:space="0"/>
              <w:right w:val="single" w:color="auto" w:sz="4" w:space="0"/>
            </w:tcBorders>
            <w:shd w:val="clear" w:color="auto" w:fill="auto"/>
            <w:vAlign w:val="center"/>
          </w:tcPr>
          <w:p w14:paraId="307D43A8">
            <w:pPr>
              <w:pStyle w:val="22"/>
              <w:bidi w:val="0"/>
              <w:jc w:val="center"/>
              <w:rPr>
                <w:rFonts w:hint="default" w:cs="Times New Roman"/>
                <w:highlight w:val="none"/>
                <w:lang w:val="en-US" w:eastAsia="zh-CN"/>
              </w:rPr>
            </w:pPr>
            <w:r>
              <w:rPr>
                <w:rFonts w:hint="eastAsia" w:cs="Times New Roman"/>
                <w:highlight w:val="none"/>
                <w:lang w:val="en-US" w:eastAsia="zh-CN"/>
              </w:rPr>
              <w:t>23.34%</w:t>
            </w:r>
          </w:p>
        </w:tc>
        <w:tc>
          <w:tcPr>
            <w:tcW w:w="1308" w:type="dxa"/>
            <w:tcBorders>
              <w:top w:val="single" w:color="auto" w:sz="4" w:space="0"/>
              <w:left w:val="single" w:color="auto" w:sz="4" w:space="0"/>
              <w:right w:val="single" w:color="auto" w:sz="4" w:space="0"/>
            </w:tcBorders>
            <w:shd w:val="clear" w:color="auto" w:fill="auto"/>
            <w:vAlign w:val="center"/>
          </w:tcPr>
          <w:p w14:paraId="495CFA11">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31.14%</w:t>
            </w:r>
          </w:p>
        </w:tc>
      </w:tr>
      <w:tr w14:paraId="3FFC04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069" w:type="dxa"/>
            <w:vMerge w:val="continue"/>
            <w:tcBorders>
              <w:left w:val="single" w:color="auto" w:sz="4" w:space="0"/>
              <w:right w:val="single" w:color="auto" w:sz="4" w:space="0"/>
            </w:tcBorders>
            <w:shd w:val="clear" w:color="auto" w:fill="auto"/>
            <w:vAlign w:val="center"/>
          </w:tcPr>
          <w:p w14:paraId="33E6E19D">
            <w:pPr>
              <w:pStyle w:val="22"/>
              <w:bidi w:val="0"/>
              <w:jc w:val="center"/>
              <w:rPr>
                <w:rFonts w:hint="default" w:ascii="Times New Roman" w:hAnsi="Times New Roman" w:cs="Times New Roman"/>
                <w:highlight w:val="none"/>
              </w:rPr>
            </w:pPr>
          </w:p>
        </w:tc>
        <w:tc>
          <w:tcPr>
            <w:tcW w:w="1186" w:type="dxa"/>
            <w:vMerge w:val="continue"/>
            <w:tcBorders>
              <w:left w:val="single" w:color="auto" w:sz="4" w:space="0"/>
              <w:right w:val="single" w:color="auto" w:sz="4" w:space="0"/>
            </w:tcBorders>
            <w:shd w:val="clear" w:color="auto" w:fill="auto"/>
            <w:vAlign w:val="center"/>
          </w:tcPr>
          <w:p w14:paraId="10A100A1">
            <w:pPr>
              <w:pStyle w:val="22"/>
              <w:bidi w:val="0"/>
              <w:jc w:val="center"/>
              <w:rPr>
                <w:rFonts w:hint="default" w:ascii="Times New Roman" w:hAnsi="Times New Roman" w:cs="Times New Roman"/>
                <w:highlight w:val="none"/>
              </w:rPr>
            </w:pP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7EE540DE">
            <w:pPr>
              <w:pStyle w:val="22"/>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水资源总量</w:t>
            </w:r>
          </w:p>
        </w:tc>
        <w:tc>
          <w:tcPr>
            <w:tcW w:w="1552" w:type="dxa"/>
            <w:tcBorders>
              <w:left w:val="single" w:color="auto" w:sz="4" w:space="0"/>
              <w:bottom w:val="single" w:color="auto" w:sz="4" w:space="0"/>
              <w:right w:val="single" w:color="auto" w:sz="4" w:space="0"/>
            </w:tcBorders>
            <w:shd w:val="clear" w:color="auto" w:fill="auto"/>
            <w:vAlign w:val="center"/>
          </w:tcPr>
          <w:p w14:paraId="7A206DCC">
            <w:pPr>
              <w:pStyle w:val="22"/>
              <w:bidi w:val="0"/>
              <w:ind w:firstLine="0" w:firstLineChars="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1280万m</w:t>
            </w:r>
            <w:r>
              <w:rPr>
                <w:rFonts w:hint="eastAsia" w:cs="Times New Roman"/>
                <w:highlight w:val="none"/>
                <w:vertAlign w:val="superscript"/>
                <w:lang w:val="en-US" w:eastAsia="zh-CN"/>
              </w:rPr>
              <w:t>3</w:t>
            </w:r>
          </w:p>
        </w:tc>
        <w:tc>
          <w:tcPr>
            <w:tcW w:w="1170" w:type="dxa"/>
            <w:tcBorders>
              <w:left w:val="single" w:color="auto" w:sz="4" w:space="0"/>
              <w:bottom w:val="single" w:color="auto" w:sz="4" w:space="0"/>
              <w:right w:val="single" w:color="auto" w:sz="4" w:space="0"/>
            </w:tcBorders>
            <w:shd w:val="clear" w:color="auto" w:fill="auto"/>
            <w:vAlign w:val="center"/>
          </w:tcPr>
          <w:p w14:paraId="2421022E">
            <w:pPr>
              <w:pStyle w:val="22"/>
              <w:bidi w:val="0"/>
              <w:ind w:firstLine="0" w:firstLineChars="0"/>
              <w:jc w:val="center"/>
              <w:rPr>
                <w:rFonts w:hint="eastAsia" w:cs="Times New Roman"/>
                <w:highlight w:val="none"/>
                <w:lang w:val="en-US" w:eastAsia="zh-CN"/>
              </w:rPr>
            </w:pPr>
            <w:r>
              <w:rPr>
                <w:rFonts w:hint="eastAsia" w:cs="Times New Roman"/>
                <w:highlight w:val="none"/>
                <w:lang w:val="en-US" w:eastAsia="zh-CN"/>
              </w:rPr>
              <w:t>1280万m</w:t>
            </w:r>
            <w:r>
              <w:rPr>
                <w:rFonts w:hint="eastAsia" w:cs="Times New Roman"/>
                <w:highlight w:val="none"/>
                <w:vertAlign w:val="superscript"/>
                <w:lang w:val="en-US" w:eastAsia="zh-CN"/>
              </w:rPr>
              <w:t>3</w:t>
            </w:r>
          </w:p>
        </w:tc>
        <w:tc>
          <w:tcPr>
            <w:tcW w:w="1308" w:type="dxa"/>
            <w:tcBorders>
              <w:left w:val="single" w:color="auto" w:sz="4" w:space="0"/>
              <w:bottom w:val="single" w:color="auto" w:sz="4" w:space="0"/>
              <w:right w:val="single" w:color="auto" w:sz="4" w:space="0"/>
            </w:tcBorders>
            <w:shd w:val="clear" w:color="auto" w:fill="auto"/>
            <w:vAlign w:val="center"/>
          </w:tcPr>
          <w:p w14:paraId="6B8D21A6">
            <w:pPr>
              <w:pStyle w:val="22"/>
              <w:bidi w:val="0"/>
              <w:ind w:firstLine="0" w:firstLineChars="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1280万m</w:t>
            </w:r>
            <w:r>
              <w:rPr>
                <w:rFonts w:hint="eastAsia" w:cs="Times New Roman"/>
                <w:highlight w:val="none"/>
                <w:vertAlign w:val="superscript"/>
                <w:lang w:val="en-US" w:eastAsia="zh-CN"/>
              </w:rPr>
              <w:t>3</w:t>
            </w:r>
          </w:p>
        </w:tc>
      </w:tr>
      <w:tr w14:paraId="1C50DC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069" w:type="dxa"/>
            <w:vMerge w:val="continue"/>
            <w:tcBorders>
              <w:left w:val="single" w:color="auto" w:sz="4" w:space="0"/>
              <w:bottom w:val="single" w:color="auto" w:sz="4" w:space="0"/>
              <w:right w:val="single" w:color="auto" w:sz="4" w:space="0"/>
            </w:tcBorders>
            <w:shd w:val="clear" w:color="auto" w:fill="auto"/>
            <w:vAlign w:val="center"/>
          </w:tcPr>
          <w:p w14:paraId="0A759406">
            <w:pPr>
              <w:pStyle w:val="22"/>
              <w:bidi w:val="0"/>
              <w:jc w:val="center"/>
              <w:rPr>
                <w:rFonts w:hint="default" w:ascii="Times New Roman" w:hAnsi="Times New Roman" w:cs="Times New Roman"/>
                <w:highlight w:val="none"/>
              </w:rPr>
            </w:pPr>
          </w:p>
        </w:tc>
        <w:tc>
          <w:tcPr>
            <w:tcW w:w="1186" w:type="dxa"/>
            <w:vMerge w:val="continue"/>
            <w:tcBorders>
              <w:left w:val="single" w:color="auto" w:sz="4" w:space="0"/>
              <w:bottom w:val="single" w:color="auto" w:sz="4" w:space="0"/>
              <w:right w:val="single" w:color="auto" w:sz="4" w:space="0"/>
            </w:tcBorders>
            <w:shd w:val="clear" w:color="auto" w:fill="auto"/>
            <w:vAlign w:val="center"/>
          </w:tcPr>
          <w:p w14:paraId="10680DC3">
            <w:pPr>
              <w:pStyle w:val="22"/>
              <w:bidi w:val="0"/>
              <w:jc w:val="center"/>
              <w:rPr>
                <w:rFonts w:hint="default" w:ascii="Times New Roman" w:hAnsi="Times New Roman" w:cs="Times New Roman"/>
                <w:highlight w:val="none"/>
              </w:rPr>
            </w:pP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13323753">
            <w:pPr>
              <w:pStyle w:val="22"/>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各行业供、用水量</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5A09EA71">
            <w:pPr>
              <w:pStyle w:val="22"/>
              <w:bidi w:val="0"/>
              <w:ind w:firstLine="0" w:firstLineChars="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季节性缺水，不能稳定供给</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716845C6">
            <w:pPr>
              <w:pStyle w:val="22"/>
              <w:bidi w:val="0"/>
              <w:ind w:firstLine="0" w:firstLineChars="0"/>
              <w:jc w:val="center"/>
              <w:rPr>
                <w:rFonts w:hint="eastAsia" w:ascii="Times New Roman" w:hAnsi="Times New Roman" w:cs="Times New Roman" w:eastAsiaTheme="minorEastAsia"/>
                <w:iCs/>
                <w:kern w:val="2"/>
                <w:sz w:val="21"/>
                <w:szCs w:val="21"/>
                <w:highlight w:val="none"/>
                <w:lang w:val="en-US" w:eastAsia="zh-CN" w:bidi="ar-SA"/>
              </w:rPr>
            </w:pPr>
            <w:r>
              <w:rPr>
                <w:rFonts w:hint="eastAsia" w:cs="Times New Roman"/>
                <w:highlight w:val="none"/>
                <w:lang w:val="en-US" w:eastAsia="zh-CN"/>
              </w:rPr>
              <w:t>稳定供给</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7E1B5ACE">
            <w:pPr>
              <w:pStyle w:val="22"/>
              <w:bidi w:val="0"/>
              <w:ind w:firstLine="0" w:firstLineChars="0"/>
              <w:jc w:val="center"/>
              <w:rPr>
                <w:rFonts w:hint="default" w:ascii="Times New Roman" w:hAnsi="Times New Roman" w:cs="Times New Roman"/>
                <w:highlight w:val="none"/>
                <w:lang w:val="en-US" w:eastAsia="zh-CN"/>
              </w:rPr>
            </w:pPr>
            <w:r>
              <w:rPr>
                <w:rFonts w:hint="eastAsia" w:cs="Times New Roman"/>
                <w:highlight w:val="none"/>
                <w:lang w:val="en-US" w:eastAsia="zh-CN"/>
              </w:rPr>
              <w:t>稳定供给</w:t>
            </w:r>
          </w:p>
        </w:tc>
      </w:tr>
      <w:tr w14:paraId="0FD4E8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trPr>
        <w:tc>
          <w:tcPr>
            <w:tcW w:w="1069" w:type="dxa"/>
            <w:tcBorders>
              <w:top w:val="single" w:color="auto" w:sz="4" w:space="0"/>
              <w:left w:val="single" w:color="auto" w:sz="4" w:space="0"/>
              <w:right w:val="single" w:color="auto" w:sz="4" w:space="0"/>
            </w:tcBorders>
            <w:shd w:val="clear" w:color="auto" w:fill="auto"/>
            <w:vAlign w:val="center"/>
          </w:tcPr>
          <w:p w14:paraId="20866B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持续改善水环境质量</w:t>
            </w:r>
          </w:p>
        </w:tc>
        <w:tc>
          <w:tcPr>
            <w:tcW w:w="1186" w:type="dxa"/>
            <w:tcBorders>
              <w:top w:val="single" w:color="auto" w:sz="4" w:space="0"/>
              <w:left w:val="single" w:color="auto" w:sz="4" w:space="0"/>
              <w:right w:val="single" w:color="auto" w:sz="4" w:space="0"/>
            </w:tcBorders>
            <w:shd w:val="clear" w:color="auto" w:fill="auto"/>
            <w:vAlign w:val="center"/>
          </w:tcPr>
          <w:p w14:paraId="0977190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水环境</w:t>
            </w: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1524E50F">
            <w:pPr>
              <w:pStyle w:val="22"/>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集中式饮用水水源地水质达标率</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4F9FA43C">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100%</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6ECB0F58">
            <w:pPr>
              <w:pStyle w:val="22"/>
              <w:bidi w:val="0"/>
              <w:ind w:firstLine="0" w:firstLineChars="0"/>
              <w:jc w:val="center"/>
              <w:rPr>
                <w:rFonts w:hint="default" w:ascii="Times New Roman" w:hAnsi="Times New Roman" w:cs="Times New Roman" w:eastAsiaTheme="minorEastAsia"/>
                <w:iCs/>
                <w:kern w:val="2"/>
                <w:sz w:val="21"/>
                <w:szCs w:val="21"/>
                <w:highlight w:val="none"/>
                <w:lang w:val="en-US" w:eastAsia="zh-CN" w:bidi="ar-SA"/>
              </w:rPr>
            </w:pPr>
            <w:r>
              <w:rPr>
                <w:rFonts w:hint="default" w:ascii="Times New Roman" w:hAnsi="Times New Roman" w:cs="Times New Roman"/>
                <w:highlight w:val="none"/>
                <w:lang w:val="en-US" w:eastAsia="zh-CN"/>
              </w:rPr>
              <w:t>100%</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64C74BF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100%</w:t>
            </w:r>
          </w:p>
        </w:tc>
      </w:tr>
      <w:tr w14:paraId="021077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069" w:type="dxa"/>
            <w:vMerge w:val="restart"/>
            <w:tcBorders>
              <w:top w:val="single" w:color="auto" w:sz="4" w:space="0"/>
              <w:left w:val="single" w:color="auto" w:sz="4" w:space="0"/>
              <w:right w:val="single" w:color="auto" w:sz="4" w:space="0"/>
            </w:tcBorders>
            <w:shd w:val="clear" w:color="auto" w:fill="auto"/>
            <w:vAlign w:val="center"/>
          </w:tcPr>
          <w:p w14:paraId="5C65C9E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维护流域生态安全</w:t>
            </w:r>
          </w:p>
        </w:tc>
        <w:tc>
          <w:tcPr>
            <w:tcW w:w="1186" w:type="dxa"/>
            <w:vMerge w:val="restart"/>
            <w:tcBorders>
              <w:top w:val="single" w:color="auto" w:sz="4" w:space="0"/>
              <w:left w:val="single" w:color="auto" w:sz="4" w:space="0"/>
              <w:right w:val="single" w:color="auto" w:sz="4" w:space="0"/>
            </w:tcBorders>
            <w:shd w:val="clear" w:color="auto" w:fill="auto"/>
            <w:vAlign w:val="center"/>
          </w:tcPr>
          <w:p w14:paraId="2B08232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生态环境</w:t>
            </w: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5696AE29">
            <w:pPr>
              <w:pStyle w:val="22"/>
              <w:bidi w:val="0"/>
              <w:ind w:firstLine="0" w:firstLineChars="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规划方案占用生态保护红线的情况</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4F85011B">
            <w:pPr>
              <w:pStyle w:val="22"/>
              <w:bidi w:val="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不占用</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069CBF27">
            <w:pPr>
              <w:pStyle w:val="22"/>
              <w:bidi w:val="0"/>
              <w:ind w:firstLine="0" w:firstLineChars="0"/>
              <w:jc w:val="center"/>
              <w:rPr>
                <w:rFonts w:hint="eastAsia" w:ascii="Times New Roman" w:hAnsi="Times New Roman" w:cs="Times New Roman" w:eastAsiaTheme="minorEastAsia"/>
                <w:iCs/>
                <w:kern w:val="2"/>
                <w:sz w:val="21"/>
                <w:szCs w:val="21"/>
                <w:highlight w:val="none"/>
                <w:lang w:val="en-US" w:eastAsia="zh-CN" w:bidi="ar-SA"/>
              </w:rPr>
            </w:pPr>
            <w:r>
              <w:rPr>
                <w:rFonts w:hint="eastAsia" w:cs="Times New Roman"/>
                <w:highlight w:val="none"/>
                <w:lang w:val="en-US" w:eastAsia="zh-CN"/>
              </w:rPr>
              <w:t>不占用</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6DA619F9">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不占用</w:t>
            </w:r>
          </w:p>
        </w:tc>
      </w:tr>
      <w:tr w14:paraId="30059B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069" w:type="dxa"/>
            <w:vMerge w:val="continue"/>
            <w:tcBorders>
              <w:left w:val="single" w:color="auto" w:sz="4" w:space="0"/>
              <w:right w:val="single" w:color="auto" w:sz="4" w:space="0"/>
            </w:tcBorders>
            <w:shd w:val="clear" w:color="auto" w:fill="auto"/>
            <w:vAlign w:val="center"/>
          </w:tcPr>
          <w:p w14:paraId="63429404">
            <w:pPr>
              <w:pStyle w:val="22"/>
              <w:bidi w:val="0"/>
              <w:jc w:val="center"/>
              <w:rPr>
                <w:rFonts w:hint="default" w:ascii="Times New Roman" w:hAnsi="Times New Roman" w:cs="Times New Roman"/>
                <w:highlight w:val="none"/>
              </w:rPr>
            </w:pPr>
          </w:p>
        </w:tc>
        <w:tc>
          <w:tcPr>
            <w:tcW w:w="1186" w:type="dxa"/>
            <w:vMerge w:val="continue"/>
            <w:tcBorders>
              <w:left w:val="single" w:color="auto" w:sz="4" w:space="0"/>
              <w:right w:val="single" w:color="auto" w:sz="4" w:space="0"/>
            </w:tcBorders>
            <w:shd w:val="clear" w:color="auto" w:fill="auto"/>
            <w:vAlign w:val="center"/>
          </w:tcPr>
          <w:p w14:paraId="26C68BB1">
            <w:pPr>
              <w:pStyle w:val="22"/>
              <w:bidi w:val="0"/>
              <w:jc w:val="center"/>
              <w:rPr>
                <w:rFonts w:hint="default" w:ascii="Times New Roman" w:hAnsi="Times New Roman" w:cs="Times New Roman"/>
                <w:highlight w:val="none"/>
              </w:rPr>
            </w:pP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0D30DDC9">
            <w:pPr>
              <w:pStyle w:val="22"/>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水生生物栖息地</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689E9E5D">
            <w:pPr>
              <w:pStyle w:val="22"/>
              <w:bidi w:val="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69A9A132">
            <w:pPr>
              <w:pStyle w:val="22"/>
              <w:bidi w:val="0"/>
              <w:ind w:firstLine="0" w:firstLineChars="0"/>
              <w:jc w:val="center"/>
              <w:rPr>
                <w:rFonts w:hint="eastAsia" w:ascii="Times New Roman" w:hAnsi="Times New Roman" w:cs="Times New Roman" w:eastAsiaTheme="minorEastAsia"/>
                <w:iCs/>
                <w:kern w:val="2"/>
                <w:sz w:val="21"/>
                <w:szCs w:val="21"/>
                <w:highlight w:val="none"/>
                <w:lang w:val="en-US" w:eastAsia="zh-CN" w:bidi="ar-SA"/>
              </w:rPr>
            </w:pPr>
            <w:r>
              <w:rPr>
                <w:rFonts w:hint="eastAsia" w:cs="Times New Roman"/>
                <w:highlight w:val="none"/>
                <w:lang w:val="en-US" w:eastAsia="zh-CN"/>
              </w:rPr>
              <w:t>/</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27DEE106">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w:t>
            </w:r>
          </w:p>
        </w:tc>
      </w:tr>
      <w:tr w14:paraId="15124B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1069" w:type="dxa"/>
            <w:vMerge w:val="continue"/>
            <w:tcBorders>
              <w:left w:val="single" w:color="auto" w:sz="4" w:space="0"/>
              <w:right w:val="single" w:color="auto" w:sz="4" w:space="0"/>
            </w:tcBorders>
            <w:shd w:val="clear" w:color="auto" w:fill="auto"/>
            <w:vAlign w:val="center"/>
          </w:tcPr>
          <w:p w14:paraId="6C85498A">
            <w:pPr>
              <w:pStyle w:val="22"/>
              <w:bidi w:val="0"/>
              <w:jc w:val="center"/>
              <w:rPr>
                <w:rFonts w:hint="default" w:ascii="Times New Roman" w:hAnsi="Times New Roman" w:cs="Times New Roman"/>
                <w:highlight w:val="none"/>
              </w:rPr>
            </w:pPr>
          </w:p>
        </w:tc>
        <w:tc>
          <w:tcPr>
            <w:tcW w:w="1186" w:type="dxa"/>
            <w:vMerge w:val="continue"/>
            <w:tcBorders>
              <w:left w:val="single" w:color="auto" w:sz="4" w:space="0"/>
              <w:right w:val="single" w:color="auto" w:sz="4" w:space="0"/>
            </w:tcBorders>
            <w:shd w:val="clear" w:color="auto" w:fill="auto"/>
            <w:vAlign w:val="center"/>
          </w:tcPr>
          <w:p w14:paraId="54473435">
            <w:pPr>
              <w:pStyle w:val="22"/>
              <w:bidi w:val="0"/>
              <w:jc w:val="center"/>
              <w:rPr>
                <w:rFonts w:hint="default" w:ascii="Times New Roman" w:hAnsi="Times New Roman" w:cs="Times New Roman"/>
                <w:highlight w:val="none"/>
              </w:rPr>
            </w:pP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5C6EA4A7">
            <w:pPr>
              <w:pStyle w:val="22"/>
              <w:bidi w:val="0"/>
              <w:ind w:firstLine="0" w:firstLine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生物多样性</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19AD37BC">
            <w:pPr>
              <w:pStyle w:val="22"/>
              <w:bidi w:val="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2119CE6B">
            <w:pPr>
              <w:pStyle w:val="22"/>
              <w:bidi w:val="0"/>
              <w:ind w:firstLine="0" w:firstLineChars="0"/>
              <w:jc w:val="center"/>
              <w:rPr>
                <w:rFonts w:hint="eastAsia" w:ascii="Times New Roman" w:hAnsi="Times New Roman" w:cs="Times New Roman" w:eastAsiaTheme="minorEastAsia"/>
                <w:iCs/>
                <w:kern w:val="2"/>
                <w:sz w:val="21"/>
                <w:szCs w:val="21"/>
                <w:highlight w:val="none"/>
                <w:lang w:val="en-US" w:eastAsia="zh-CN" w:bidi="ar-SA"/>
              </w:rPr>
            </w:pPr>
            <w:r>
              <w:rPr>
                <w:rFonts w:hint="eastAsia" w:cs="Times New Roman"/>
                <w:highlight w:val="none"/>
                <w:lang w:val="en-US" w:eastAsia="zh-CN"/>
              </w:rPr>
              <w:t>/</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72D788A5">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w:t>
            </w:r>
          </w:p>
        </w:tc>
      </w:tr>
      <w:tr w14:paraId="2ED11A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1069" w:type="dxa"/>
            <w:vMerge w:val="continue"/>
            <w:tcBorders>
              <w:left w:val="single" w:color="auto" w:sz="4" w:space="0"/>
              <w:right w:val="single" w:color="auto" w:sz="4" w:space="0"/>
            </w:tcBorders>
            <w:shd w:val="clear" w:color="auto" w:fill="auto"/>
            <w:vAlign w:val="center"/>
          </w:tcPr>
          <w:p w14:paraId="5F995E63">
            <w:pPr>
              <w:pStyle w:val="22"/>
              <w:bidi w:val="0"/>
              <w:jc w:val="center"/>
              <w:rPr>
                <w:rFonts w:hint="default" w:ascii="Times New Roman" w:hAnsi="Times New Roman" w:cs="Times New Roman"/>
                <w:highlight w:val="none"/>
              </w:rPr>
            </w:pPr>
          </w:p>
        </w:tc>
        <w:tc>
          <w:tcPr>
            <w:tcW w:w="1186" w:type="dxa"/>
            <w:vMerge w:val="continue"/>
            <w:tcBorders>
              <w:left w:val="single" w:color="auto" w:sz="4" w:space="0"/>
              <w:right w:val="single" w:color="auto" w:sz="4" w:space="0"/>
            </w:tcBorders>
            <w:shd w:val="clear" w:color="auto" w:fill="auto"/>
            <w:vAlign w:val="center"/>
          </w:tcPr>
          <w:p w14:paraId="38D21114">
            <w:pPr>
              <w:pStyle w:val="22"/>
              <w:bidi w:val="0"/>
              <w:jc w:val="center"/>
              <w:rPr>
                <w:rFonts w:hint="default" w:ascii="Times New Roman" w:hAnsi="Times New Roman" w:cs="Times New Roman"/>
                <w:highlight w:val="none"/>
              </w:rPr>
            </w:pP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72A3E60F">
            <w:pPr>
              <w:pStyle w:val="22"/>
              <w:bidi w:val="0"/>
              <w:ind w:firstLine="0" w:firstLine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自然岸线率</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28B39DF6">
            <w:pPr>
              <w:pStyle w:val="22"/>
              <w:bidi w:val="0"/>
              <w:jc w:val="center"/>
              <w:rPr>
                <w:rFonts w:hint="default" w:ascii="Times New Roman" w:hAnsi="Times New Roman" w:cs="Times New Roman" w:eastAsiaTheme="minorEastAsia"/>
                <w:highlight w:val="none"/>
                <w:lang w:val="en-US" w:eastAsia="zh-CN"/>
              </w:rPr>
            </w:pPr>
            <w:r>
              <w:rPr>
                <w:rFonts w:hint="eastAsia" w:cs="Times New Roman"/>
                <w:highlight w:val="none"/>
                <w:lang w:val="en-US" w:eastAsia="zh-CN"/>
              </w:rPr>
              <w:t>100%</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14DB167E">
            <w:pPr>
              <w:pStyle w:val="22"/>
              <w:bidi w:val="0"/>
              <w:ind w:firstLine="0" w:firstLineChars="0"/>
              <w:jc w:val="center"/>
              <w:rPr>
                <w:rFonts w:hint="eastAsia" w:ascii="Times New Roman" w:hAnsi="Times New Roman" w:cs="Times New Roman" w:eastAsiaTheme="minorEastAsia"/>
                <w:iCs/>
                <w:kern w:val="2"/>
                <w:sz w:val="21"/>
                <w:szCs w:val="21"/>
                <w:highlight w:val="none"/>
                <w:lang w:val="en-US" w:eastAsia="zh-CN" w:bidi="ar-SA"/>
              </w:rPr>
            </w:pPr>
            <w:r>
              <w:rPr>
                <w:rFonts w:hint="eastAsia" w:cs="Times New Roman"/>
                <w:highlight w:val="none"/>
                <w:lang w:val="en-US" w:eastAsia="zh-CN"/>
              </w:rPr>
              <w:t>100%</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3CF12E81">
            <w:pPr>
              <w:pStyle w:val="22"/>
              <w:bidi w:val="0"/>
              <w:jc w:val="center"/>
              <w:rPr>
                <w:rFonts w:hint="default" w:ascii="Times New Roman" w:hAnsi="Times New Roman" w:cs="Times New Roman"/>
                <w:highlight w:val="none"/>
                <w:lang w:val="en-US" w:eastAsia="zh-CN"/>
              </w:rPr>
            </w:pPr>
            <w:r>
              <w:rPr>
                <w:rFonts w:hint="eastAsia" w:cs="Times New Roman"/>
                <w:highlight w:val="none"/>
                <w:lang w:val="en-US" w:eastAsia="zh-CN"/>
              </w:rPr>
              <w:t>100%</w:t>
            </w:r>
          </w:p>
        </w:tc>
      </w:tr>
      <w:tr w14:paraId="0AB325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1069" w:type="dxa"/>
            <w:vMerge w:val="continue"/>
            <w:tcBorders>
              <w:left w:val="single" w:color="auto" w:sz="4" w:space="0"/>
              <w:right w:val="single" w:color="auto" w:sz="4" w:space="0"/>
            </w:tcBorders>
            <w:shd w:val="clear" w:color="auto" w:fill="auto"/>
            <w:vAlign w:val="center"/>
          </w:tcPr>
          <w:p w14:paraId="4AC77B41">
            <w:pPr>
              <w:pStyle w:val="22"/>
              <w:bidi w:val="0"/>
              <w:jc w:val="center"/>
              <w:rPr>
                <w:rFonts w:hint="default" w:ascii="Times New Roman" w:hAnsi="Times New Roman" w:cs="Times New Roman"/>
                <w:highlight w:val="none"/>
              </w:rPr>
            </w:pPr>
          </w:p>
        </w:tc>
        <w:tc>
          <w:tcPr>
            <w:tcW w:w="1186" w:type="dxa"/>
            <w:vMerge w:val="continue"/>
            <w:tcBorders>
              <w:left w:val="single" w:color="auto" w:sz="4" w:space="0"/>
              <w:right w:val="single" w:color="auto" w:sz="4" w:space="0"/>
            </w:tcBorders>
            <w:shd w:val="clear" w:color="auto" w:fill="auto"/>
            <w:vAlign w:val="center"/>
          </w:tcPr>
          <w:p w14:paraId="4DFC8BC6">
            <w:pPr>
              <w:pStyle w:val="22"/>
              <w:bidi w:val="0"/>
              <w:jc w:val="center"/>
              <w:rPr>
                <w:rFonts w:hint="default" w:ascii="Times New Roman" w:hAnsi="Times New Roman" w:cs="Times New Roman"/>
                <w:highlight w:val="none"/>
              </w:rPr>
            </w:pP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321B40D0">
            <w:pPr>
              <w:pStyle w:val="22"/>
              <w:bidi w:val="0"/>
              <w:ind w:firstLine="0" w:firstLine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河流纵向连通指数</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711BC15B">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0.054</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2710AC24">
            <w:pPr>
              <w:pStyle w:val="22"/>
              <w:bidi w:val="0"/>
              <w:ind w:firstLine="0" w:firstLineChars="0"/>
              <w:jc w:val="center"/>
              <w:rPr>
                <w:rFonts w:hint="default" w:ascii="Times New Roman" w:hAnsi="Times New Roman" w:cs="Times New Roman" w:eastAsiaTheme="minorEastAsia"/>
                <w:iCs/>
                <w:kern w:val="2"/>
                <w:sz w:val="21"/>
                <w:szCs w:val="21"/>
                <w:highlight w:val="none"/>
                <w:lang w:val="en-US" w:eastAsia="zh-CN" w:bidi="ar-SA"/>
              </w:rPr>
            </w:pPr>
            <w:r>
              <w:rPr>
                <w:rFonts w:hint="default" w:ascii="Times New Roman" w:hAnsi="Times New Roman" w:cs="Times New Roman"/>
                <w:highlight w:val="none"/>
                <w:lang w:val="en-US" w:eastAsia="zh-CN"/>
              </w:rPr>
              <w:t>0.054</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725EFF1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0.054</w:t>
            </w:r>
          </w:p>
        </w:tc>
      </w:tr>
      <w:tr w14:paraId="0BD382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1069" w:type="dxa"/>
            <w:vMerge w:val="continue"/>
            <w:tcBorders>
              <w:left w:val="single" w:color="auto" w:sz="4" w:space="0"/>
              <w:right w:val="single" w:color="auto" w:sz="4" w:space="0"/>
            </w:tcBorders>
            <w:shd w:val="clear" w:color="auto" w:fill="auto"/>
            <w:vAlign w:val="center"/>
          </w:tcPr>
          <w:p w14:paraId="6F6CBCD2">
            <w:pPr>
              <w:pStyle w:val="22"/>
              <w:bidi w:val="0"/>
              <w:jc w:val="center"/>
              <w:rPr>
                <w:rFonts w:hint="default" w:ascii="Times New Roman" w:hAnsi="Times New Roman" w:cs="Times New Roman"/>
                <w:highlight w:val="none"/>
              </w:rPr>
            </w:pPr>
          </w:p>
        </w:tc>
        <w:tc>
          <w:tcPr>
            <w:tcW w:w="1186" w:type="dxa"/>
            <w:vMerge w:val="continue"/>
            <w:tcBorders>
              <w:left w:val="single" w:color="auto" w:sz="4" w:space="0"/>
              <w:right w:val="single" w:color="auto" w:sz="4" w:space="0"/>
            </w:tcBorders>
            <w:shd w:val="clear" w:color="auto" w:fill="auto"/>
            <w:vAlign w:val="center"/>
          </w:tcPr>
          <w:p w14:paraId="04F88226">
            <w:pPr>
              <w:pStyle w:val="22"/>
              <w:bidi w:val="0"/>
              <w:jc w:val="center"/>
              <w:rPr>
                <w:rFonts w:hint="default" w:ascii="Times New Roman" w:hAnsi="Times New Roman" w:cs="Times New Roman"/>
                <w:highlight w:val="none"/>
              </w:rPr>
            </w:pPr>
          </w:p>
        </w:tc>
        <w:tc>
          <w:tcPr>
            <w:tcW w:w="2114" w:type="dxa"/>
            <w:tcBorders>
              <w:top w:val="single" w:color="auto" w:sz="4" w:space="0"/>
              <w:left w:val="single" w:color="auto" w:sz="4" w:space="0"/>
              <w:bottom w:val="single" w:color="auto" w:sz="4" w:space="0"/>
              <w:right w:val="single" w:color="auto" w:sz="4" w:space="0"/>
            </w:tcBorders>
            <w:shd w:val="clear" w:color="auto" w:fill="auto"/>
            <w:vAlign w:val="center"/>
          </w:tcPr>
          <w:p w14:paraId="28295747">
            <w:pPr>
              <w:pStyle w:val="22"/>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水土保持率</w:t>
            </w:r>
          </w:p>
        </w:tc>
        <w:tc>
          <w:tcPr>
            <w:tcW w:w="1552" w:type="dxa"/>
            <w:tcBorders>
              <w:top w:val="single" w:color="auto" w:sz="4" w:space="0"/>
              <w:left w:val="single" w:color="auto" w:sz="4" w:space="0"/>
              <w:bottom w:val="single" w:color="auto" w:sz="4" w:space="0"/>
              <w:right w:val="single" w:color="auto" w:sz="4" w:space="0"/>
            </w:tcBorders>
            <w:shd w:val="clear" w:color="auto" w:fill="auto"/>
            <w:vAlign w:val="center"/>
          </w:tcPr>
          <w:p w14:paraId="6112D7D2">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57.9%</w:t>
            </w:r>
          </w:p>
        </w:tc>
        <w:tc>
          <w:tcPr>
            <w:tcW w:w="1170" w:type="dxa"/>
            <w:tcBorders>
              <w:top w:val="single" w:color="auto" w:sz="4" w:space="0"/>
              <w:left w:val="single" w:color="auto" w:sz="4" w:space="0"/>
              <w:bottom w:val="single" w:color="auto" w:sz="4" w:space="0"/>
              <w:right w:val="single" w:color="auto" w:sz="4" w:space="0"/>
            </w:tcBorders>
            <w:shd w:val="clear" w:color="auto" w:fill="auto"/>
            <w:vAlign w:val="center"/>
          </w:tcPr>
          <w:p w14:paraId="1CF03CC1">
            <w:pPr>
              <w:pStyle w:val="22"/>
              <w:bidi w:val="0"/>
              <w:ind w:firstLine="0" w:firstLineChars="0"/>
              <w:jc w:val="center"/>
              <w:rPr>
                <w:rFonts w:hint="default" w:ascii="Times New Roman" w:hAnsi="Times New Roman" w:cs="Times New Roman" w:eastAsiaTheme="minorEastAsia"/>
                <w:iCs/>
                <w:kern w:val="2"/>
                <w:sz w:val="21"/>
                <w:szCs w:val="21"/>
                <w:highlight w:val="none"/>
                <w:lang w:val="en-US" w:eastAsia="zh-CN" w:bidi="ar-SA"/>
              </w:rPr>
            </w:pPr>
            <w:r>
              <w:rPr>
                <w:rFonts w:hint="default" w:ascii="Times New Roman" w:hAnsi="Times New Roman" w:cs="Times New Roman"/>
                <w:highlight w:val="none"/>
                <w:lang w:val="en-US" w:eastAsia="zh-CN"/>
              </w:rPr>
              <w:t>80%</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14:paraId="4C1B944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80%</w:t>
            </w:r>
          </w:p>
        </w:tc>
      </w:tr>
      <w:tr w14:paraId="34FF90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8399" w:type="dxa"/>
            <w:gridSpan w:val="6"/>
            <w:tcBorders>
              <w:left w:val="single" w:color="auto" w:sz="4" w:space="0"/>
              <w:bottom w:val="single" w:color="auto" w:sz="4" w:space="0"/>
              <w:right w:val="single" w:color="auto" w:sz="4" w:space="0"/>
            </w:tcBorders>
            <w:shd w:val="clear" w:color="auto" w:fill="auto"/>
            <w:vAlign w:val="center"/>
          </w:tcPr>
          <w:p w14:paraId="7A748CEE">
            <w:pPr>
              <w:pStyle w:val="22"/>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注：1、冷龙沟流域不涉及控制断面，故不设置控制断面生态流量保障目标达标情况、控制断面达标率指标；</w:t>
            </w:r>
          </w:p>
          <w:p w14:paraId="35CC982F">
            <w:pPr>
              <w:pStyle w:val="22"/>
              <w:numPr>
                <w:ilvl w:val="0"/>
                <w:numId w:val="0"/>
              </w:numPr>
              <w:bidi w:val="0"/>
              <w:ind w:firstLine="42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2、冷龙沟流域不涉及鱼类及重点保护水生生物，故不设置鱼类物种数、重点保护水生生物数量指标。</w:t>
            </w:r>
          </w:p>
        </w:tc>
      </w:tr>
    </w:tbl>
    <w:p w14:paraId="3E2B09A9">
      <w:pPr>
        <w:bidi w:val="0"/>
        <w:rPr>
          <w:rFonts w:hint="default" w:ascii="Times New Roman" w:hAnsi="Times New Roman" w:cs="Times New Roman"/>
          <w:highlight w:val="none"/>
          <w:lang w:val="en-US" w:eastAsia="zh-CN"/>
        </w:rPr>
      </w:pPr>
    </w:p>
    <w:p w14:paraId="6D61A305">
      <w:pPr>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1F765376">
      <w:pPr>
        <w:pStyle w:val="2"/>
        <w:bidi w:val="0"/>
        <w:rPr>
          <w:rFonts w:hint="default"/>
          <w:highlight w:val="none"/>
          <w:lang w:val="en-US" w:eastAsia="zh-CN"/>
        </w:rPr>
      </w:pPr>
      <w:bookmarkStart w:id="60" w:name="_Toc23987"/>
      <w:r>
        <w:rPr>
          <w:rFonts w:hint="default"/>
          <w:highlight w:val="none"/>
          <w:lang w:val="en-US" w:eastAsia="zh-CN"/>
        </w:rPr>
        <w:t>环境影响预测与评价</w:t>
      </w:r>
      <w:bookmarkEnd w:id="60"/>
    </w:p>
    <w:p w14:paraId="2B2DBCC0">
      <w:pPr>
        <w:pStyle w:val="3"/>
        <w:bidi w:val="0"/>
        <w:rPr>
          <w:rFonts w:hint="default"/>
          <w:highlight w:val="none"/>
          <w:lang w:val="en-US" w:eastAsia="zh-CN"/>
        </w:rPr>
      </w:pPr>
      <w:bookmarkStart w:id="61" w:name="_Toc9032"/>
      <w:r>
        <w:rPr>
          <w:rFonts w:hint="eastAsia"/>
          <w:highlight w:val="none"/>
          <w:lang w:val="en-US" w:eastAsia="zh-CN"/>
        </w:rPr>
        <w:t>预测情景设置</w:t>
      </w:r>
      <w:bookmarkEnd w:id="61"/>
    </w:p>
    <w:p w14:paraId="65CA19AC">
      <w:pPr>
        <w:rPr>
          <w:rFonts w:hint="default"/>
          <w:highlight w:val="none"/>
          <w:lang w:val="en-US" w:eastAsia="zh-CN"/>
        </w:rPr>
      </w:pPr>
      <w:r>
        <w:rPr>
          <w:rFonts w:hint="default"/>
          <w:highlight w:val="none"/>
          <w:lang w:val="en-US" w:eastAsia="zh-CN"/>
        </w:rPr>
        <w:t>根据</w:t>
      </w:r>
      <w:r>
        <w:rPr>
          <w:rFonts w:hint="eastAsia"/>
          <w:highlight w:val="none"/>
          <w:lang w:val="en-US" w:eastAsia="zh-CN"/>
        </w:rPr>
        <w:t>冷龙沟</w:t>
      </w:r>
      <w:r>
        <w:rPr>
          <w:rFonts w:hint="default"/>
          <w:highlight w:val="none"/>
          <w:lang w:val="en-US" w:eastAsia="zh-CN"/>
        </w:rPr>
        <w:t>综合规划总体布局，规划的重点水工程项目为</w:t>
      </w:r>
      <w:r>
        <w:rPr>
          <w:rFonts w:hint="eastAsia"/>
          <w:highlight w:val="none"/>
          <w:lang w:val="en-US" w:eastAsia="zh-CN"/>
        </w:rPr>
        <w:t>尼色拥水库</w:t>
      </w:r>
      <w:r>
        <w:rPr>
          <w:rFonts w:hint="default"/>
          <w:highlight w:val="none"/>
          <w:lang w:val="en-US" w:eastAsia="zh-CN"/>
        </w:rPr>
        <w:t>，该项目计划202</w:t>
      </w:r>
      <w:r>
        <w:rPr>
          <w:rFonts w:hint="eastAsia"/>
          <w:highlight w:val="none"/>
          <w:lang w:val="en-US" w:eastAsia="zh-CN"/>
        </w:rPr>
        <w:t>3</w:t>
      </w:r>
      <w:r>
        <w:rPr>
          <w:rFonts w:hint="default"/>
          <w:highlight w:val="none"/>
          <w:lang w:val="en-US" w:eastAsia="zh-CN"/>
        </w:rPr>
        <w:t>年开工，202</w:t>
      </w:r>
      <w:r>
        <w:rPr>
          <w:rFonts w:hint="eastAsia"/>
          <w:highlight w:val="none"/>
          <w:lang w:val="en-US" w:eastAsia="zh-CN"/>
        </w:rPr>
        <w:t>5</w:t>
      </w:r>
      <w:r>
        <w:rPr>
          <w:rFonts w:hint="default"/>
          <w:highlight w:val="none"/>
          <w:lang w:val="en-US" w:eastAsia="zh-CN"/>
        </w:rPr>
        <w:t>年建成；其余规划包含防洪、</w:t>
      </w:r>
      <w:r>
        <w:rPr>
          <w:rFonts w:hint="eastAsia"/>
          <w:highlight w:val="none"/>
          <w:lang w:val="en-US" w:eastAsia="zh-CN"/>
        </w:rPr>
        <w:t>水土保持</w:t>
      </w:r>
      <w:r>
        <w:rPr>
          <w:rFonts w:hint="default"/>
          <w:highlight w:val="none"/>
          <w:lang w:val="en-US" w:eastAsia="zh-CN"/>
        </w:rPr>
        <w:t>、</w:t>
      </w:r>
      <w:r>
        <w:rPr>
          <w:rFonts w:hint="eastAsia"/>
          <w:highlight w:val="none"/>
          <w:lang w:val="en-US" w:eastAsia="zh-CN"/>
        </w:rPr>
        <w:t>生态修复</w:t>
      </w:r>
      <w:r>
        <w:rPr>
          <w:rFonts w:hint="default"/>
          <w:highlight w:val="none"/>
          <w:lang w:val="en-US" w:eastAsia="zh-CN"/>
        </w:rPr>
        <w:t>等工程项目实施时间较为分散，近、远期规划年均有涉及。</w:t>
      </w:r>
    </w:p>
    <w:p w14:paraId="1B90E4A9">
      <w:pPr>
        <w:rPr>
          <w:rFonts w:hint="default"/>
          <w:highlight w:val="none"/>
          <w:lang w:val="en-US" w:eastAsia="zh-CN"/>
        </w:rPr>
      </w:pPr>
      <w:r>
        <w:rPr>
          <w:rFonts w:hint="default"/>
          <w:highlight w:val="none"/>
          <w:lang w:val="en-US" w:eastAsia="zh-CN"/>
        </w:rPr>
        <w:t>鉴于以上情况，本次规划环境影响设置两个情景：</w:t>
      </w:r>
    </w:p>
    <w:p w14:paraId="6DE0C4B7">
      <w:pPr>
        <w:rPr>
          <w:rFonts w:hint="default"/>
          <w:highlight w:val="none"/>
          <w:lang w:val="en-US" w:eastAsia="zh-CN"/>
        </w:rPr>
      </w:pPr>
      <w:r>
        <w:rPr>
          <w:rFonts w:hint="default"/>
          <w:highlight w:val="none"/>
          <w:lang w:val="en-US" w:eastAsia="zh-CN"/>
        </w:rPr>
        <w:t>情景1：到20</w:t>
      </w:r>
      <w:r>
        <w:rPr>
          <w:rFonts w:hint="eastAsia"/>
          <w:highlight w:val="none"/>
          <w:lang w:val="en-US" w:eastAsia="zh-CN"/>
        </w:rPr>
        <w:t>25</w:t>
      </w:r>
      <w:r>
        <w:rPr>
          <w:rFonts w:hint="default"/>
          <w:highlight w:val="none"/>
          <w:lang w:val="en-US" w:eastAsia="zh-CN"/>
        </w:rPr>
        <w:t>年，</w:t>
      </w:r>
      <w:r>
        <w:rPr>
          <w:rFonts w:hint="eastAsia"/>
          <w:highlight w:val="none"/>
          <w:lang w:val="en-US" w:eastAsia="zh-CN"/>
        </w:rPr>
        <w:t>尼色拥水库</w:t>
      </w:r>
      <w:r>
        <w:rPr>
          <w:rFonts w:hint="default"/>
          <w:highlight w:val="none"/>
          <w:lang w:val="en-US" w:eastAsia="zh-CN"/>
        </w:rPr>
        <w:t>建成，初期蓄水期。</w:t>
      </w:r>
    </w:p>
    <w:p w14:paraId="76BC8A47">
      <w:pPr>
        <w:rPr>
          <w:rFonts w:hint="default"/>
          <w:highlight w:val="none"/>
          <w:lang w:val="en-US" w:eastAsia="zh-CN"/>
        </w:rPr>
      </w:pPr>
      <w:r>
        <w:rPr>
          <w:rFonts w:hint="default"/>
          <w:highlight w:val="none"/>
          <w:lang w:val="en-US" w:eastAsia="zh-CN"/>
        </w:rPr>
        <w:t>情景2：到20</w:t>
      </w:r>
      <w:r>
        <w:rPr>
          <w:rFonts w:hint="eastAsia"/>
          <w:highlight w:val="none"/>
          <w:lang w:val="en-US" w:eastAsia="zh-CN"/>
        </w:rPr>
        <w:t>30</w:t>
      </w:r>
      <w:r>
        <w:rPr>
          <w:rFonts w:hint="default"/>
          <w:highlight w:val="none"/>
          <w:lang w:val="en-US" w:eastAsia="zh-CN"/>
        </w:rPr>
        <w:t>年，</w:t>
      </w:r>
      <w:r>
        <w:rPr>
          <w:rFonts w:hint="eastAsia"/>
          <w:highlight w:val="none"/>
          <w:lang w:val="en-US" w:eastAsia="zh-CN"/>
        </w:rPr>
        <w:t>尼色拥</w:t>
      </w:r>
      <w:r>
        <w:rPr>
          <w:rFonts w:hint="default"/>
          <w:highlight w:val="none"/>
          <w:lang w:val="en-US" w:eastAsia="zh-CN"/>
        </w:rPr>
        <w:t>全面投产并完成验收，正常运行期。</w:t>
      </w:r>
    </w:p>
    <w:p w14:paraId="7A65A7B5">
      <w:pPr>
        <w:rPr>
          <w:rFonts w:hint="default"/>
          <w:highlight w:val="none"/>
          <w:lang w:val="en-US" w:eastAsia="zh-CN"/>
        </w:rPr>
      </w:pPr>
      <w:r>
        <w:rPr>
          <w:rFonts w:hint="eastAsia"/>
          <w:highlight w:val="none"/>
          <w:lang w:val="en-US" w:eastAsia="zh-CN"/>
        </w:rPr>
        <w:t>情景3：到2035年，尼色拥水库稳定运行期。</w:t>
      </w:r>
    </w:p>
    <w:p w14:paraId="09140E19">
      <w:pPr>
        <w:rPr>
          <w:rFonts w:hint="default"/>
          <w:highlight w:val="none"/>
          <w:lang w:val="en-US" w:eastAsia="zh-CN"/>
        </w:rPr>
      </w:pPr>
      <w:r>
        <w:rPr>
          <w:rFonts w:hint="default"/>
          <w:highlight w:val="none"/>
          <w:lang w:val="en-US" w:eastAsia="zh-CN"/>
        </w:rPr>
        <w:t>对</w:t>
      </w:r>
      <w:r>
        <w:rPr>
          <w:rFonts w:hint="eastAsia"/>
          <w:highlight w:val="none"/>
          <w:lang w:val="en-US" w:eastAsia="zh-CN"/>
        </w:rPr>
        <w:t>尼色拥水库</w:t>
      </w:r>
      <w:r>
        <w:rPr>
          <w:rFonts w:hint="default"/>
          <w:highlight w:val="none"/>
          <w:lang w:val="en-US" w:eastAsia="zh-CN"/>
        </w:rPr>
        <w:t>实施过程中重要节点产生的影响进行情景分析和预测，同时纳入防洪、水土保持、生态修复等规划实施的影响。</w:t>
      </w:r>
    </w:p>
    <w:p w14:paraId="51AB1F56">
      <w:pPr>
        <w:pStyle w:val="3"/>
        <w:bidi w:val="0"/>
        <w:rPr>
          <w:rFonts w:hint="default"/>
          <w:highlight w:val="none"/>
          <w:lang w:val="en-US" w:eastAsia="zh-CN"/>
        </w:rPr>
      </w:pPr>
      <w:bookmarkStart w:id="62" w:name="_Toc23173"/>
      <w:r>
        <w:rPr>
          <w:rFonts w:hint="default"/>
          <w:highlight w:val="none"/>
          <w:lang w:val="en-US" w:eastAsia="zh-CN"/>
        </w:rPr>
        <w:t>水文水资源影响预测与评价</w:t>
      </w:r>
      <w:bookmarkEnd w:id="62"/>
    </w:p>
    <w:p w14:paraId="58F15B14">
      <w:pPr>
        <w:pStyle w:val="4"/>
        <w:bidi w:val="0"/>
        <w:rPr>
          <w:rFonts w:hint="default"/>
          <w:highlight w:val="none"/>
          <w:lang w:val="en-US" w:eastAsia="zh-CN"/>
        </w:rPr>
      </w:pPr>
      <w:bookmarkStart w:id="63" w:name="_Toc27659"/>
      <w:r>
        <w:rPr>
          <w:rFonts w:hint="default"/>
          <w:highlight w:val="none"/>
          <w:lang w:val="en-US" w:eastAsia="zh-CN"/>
        </w:rPr>
        <w:t>对水资源开发利用率的影响</w:t>
      </w:r>
      <w:bookmarkEnd w:id="63"/>
    </w:p>
    <w:p w14:paraId="4F39141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冷龙沟流域面积小，幅员面积51.88km²，全流域面积79.0km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vertAlign w:val="baseline"/>
          <w:lang w:val="en-US" w:eastAsia="zh-CN"/>
        </w:rPr>
        <w:t>，</w:t>
      </w:r>
      <w:r>
        <w:rPr>
          <w:rFonts w:hint="default" w:ascii="Times New Roman" w:hAnsi="Times New Roman" w:cs="Times New Roman"/>
          <w:highlight w:val="none"/>
          <w:lang w:val="en-US" w:eastAsia="zh-CN"/>
        </w:rPr>
        <w:t>河长18.2km，属于小型河流。冷龙沟流域多年平均水资源总量1280万m³。目前流域范围内仅有县城饮用水水源地一处，现状年均供水量约供水量为62.05万m³/年，现状水资源开发利用率</w:t>
      </w:r>
      <w:r>
        <w:rPr>
          <w:rFonts w:hint="eastAsia" w:cs="Times New Roman"/>
          <w:highlight w:val="none"/>
          <w:lang w:val="en-US" w:eastAsia="zh-CN"/>
        </w:rPr>
        <w:t>4.85</w:t>
      </w:r>
      <w:r>
        <w:rPr>
          <w:rFonts w:hint="default" w:ascii="Times New Roman" w:hAnsi="Times New Roman" w:cs="Times New Roman"/>
          <w:highlight w:val="none"/>
          <w:lang w:val="en-US" w:eastAsia="zh-CN"/>
        </w:rPr>
        <w:t>%。</w:t>
      </w:r>
    </w:p>
    <w:p w14:paraId="2C1977CF">
      <w:pPr>
        <w:rPr>
          <w:rFonts w:hint="eastAsia" w:cs="Times New Roman"/>
          <w:highlight w:val="none"/>
          <w:lang w:val="en-US" w:eastAsia="zh-CN"/>
        </w:rPr>
      </w:pPr>
      <w:r>
        <w:rPr>
          <w:rFonts w:hint="default" w:ascii="Times New Roman" w:hAnsi="Times New Roman" w:cs="Times New Roman"/>
          <w:highlight w:val="none"/>
          <w:lang w:val="en-US" w:eastAsia="zh-CN"/>
        </w:rPr>
        <w:t>至2025年，尼色拥水库建成</w:t>
      </w:r>
      <w:r>
        <w:rPr>
          <w:rFonts w:hint="eastAsia" w:cs="Times New Roman"/>
          <w:highlight w:val="none"/>
          <w:lang w:val="en-US" w:eastAsia="zh-CN"/>
        </w:rPr>
        <w:t>开始蓄水，初期万</w:t>
      </w:r>
      <w:r>
        <w:rPr>
          <w:rFonts w:hint="default" w:ascii="Times New Roman" w:hAnsi="Times New Roman" w:cs="Times New Roman"/>
          <w:highlight w:val="none"/>
          <w:lang w:val="en-US" w:eastAsia="zh-CN"/>
        </w:rPr>
        <w:t>62.05</w:t>
      </w:r>
      <w:r>
        <w:rPr>
          <w:rFonts w:hint="eastAsia" w:cs="Times New Roman"/>
          <w:highlight w:val="none"/>
          <w:lang w:val="en-US" w:eastAsia="zh-CN"/>
        </w:rPr>
        <w:t>万m³，流域水资源开发利用率4.85%。</w:t>
      </w:r>
    </w:p>
    <w:p w14:paraId="0045E2AA">
      <w:pPr>
        <w:ind w:left="0" w:leftChars="0" w:firstLine="480" w:firstLineChars="200"/>
        <w:rPr>
          <w:rFonts w:hint="eastAsia" w:cs="Times New Roman"/>
          <w:highlight w:val="none"/>
          <w:vertAlign w:val="baseline"/>
          <w:lang w:val="en-US" w:eastAsia="zh-CN"/>
        </w:rPr>
      </w:pPr>
      <w:r>
        <w:rPr>
          <w:rFonts w:hint="eastAsia" w:cs="Times New Roman"/>
          <w:highlight w:val="none"/>
          <w:vertAlign w:val="baseline"/>
          <w:lang w:val="en-US" w:eastAsia="zh-CN"/>
        </w:rPr>
        <w:t>到2030年，</w:t>
      </w:r>
      <w:r>
        <w:rPr>
          <w:rFonts w:hint="default" w:ascii="Times New Roman" w:hAnsi="Times New Roman" w:cs="Times New Roman"/>
          <w:highlight w:val="none"/>
          <w:lang w:val="en-US" w:eastAsia="zh-CN"/>
        </w:rPr>
        <w:t>水库总库容142.52</w:t>
      </w:r>
      <w:r>
        <w:rPr>
          <w:rFonts w:hint="default" w:ascii="Times New Roman" w:hAnsi="Times New Roman" w:cs="Times New Roman"/>
          <w:color w:val="000000" w:themeColor="text1"/>
          <w:sz w:val="24"/>
          <w:highlight w:val="none"/>
          <w14:textFill>
            <w14:solidFill>
              <w14:schemeClr w14:val="tx1"/>
            </w14:solidFill>
          </w14:textFill>
        </w:rPr>
        <w:t>万m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highlight w:val="none"/>
          <w:vertAlign w:val="baseline"/>
          <w:lang w:val="en-US" w:eastAsia="zh-CN"/>
          <w14:textFill>
            <w14:solidFill>
              <w14:schemeClr w14:val="tx1"/>
            </w14:solidFill>
          </w14:textFill>
        </w:rPr>
        <w:t>预计年供水量约</w:t>
      </w:r>
      <w:r>
        <w:rPr>
          <w:rFonts w:hint="eastAsia" w:cs="Times New Roman"/>
          <w:highlight w:val="none"/>
          <w:lang w:val="en-US" w:eastAsia="zh-CN"/>
        </w:rPr>
        <w:t>298.74</w:t>
      </w:r>
      <w:r>
        <w:rPr>
          <w:rFonts w:hint="default" w:ascii="Times New Roman" w:hAnsi="Times New Roman" w:cs="Times New Roman"/>
          <w:highlight w:val="none"/>
        </w:rPr>
        <w:t>万m</w:t>
      </w:r>
      <w:r>
        <w:rPr>
          <w:rFonts w:hint="default" w:ascii="Times New Roman" w:hAnsi="Times New Roman" w:cs="Times New Roman"/>
          <w:highlight w:val="none"/>
          <w:vertAlign w:val="superscript"/>
        </w:rPr>
        <w:t>3</w:t>
      </w:r>
      <w:r>
        <w:rPr>
          <w:rFonts w:hint="default" w:ascii="Times New Roman" w:hAnsi="Times New Roman" w:cs="Times New Roman"/>
          <w:highlight w:val="none"/>
          <w:vertAlign w:val="baseline"/>
          <w:lang w:eastAsia="zh-CN"/>
        </w:rPr>
        <w:t>，</w:t>
      </w:r>
      <w:r>
        <w:rPr>
          <w:rFonts w:hint="default" w:ascii="Times New Roman" w:hAnsi="Times New Roman" w:cs="Times New Roman"/>
          <w:highlight w:val="none"/>
          <w:vertAlign w:val="baseline"/>
          <w:lang w:val="en-US" w:eastAsia="zh-CN"/>
        </w:rPr>
        <w:t>其中农业灌溉需水</w:t>
      </w:r>
      <w:r>
        <w:rPr>
          <w:rFonts w:hint="default" w:ascii="Times New Roman" w:hAnsi="Times New Roman" w:cs="Times New Roman"/>
          <w:highlight w:val="none"/>
        </w:rPr>
        <w:t>107.44万m</w:t>
      </w:r>
      <w:r>
        <w:rPr>
          <w:rFonts w:hint="default" w:ascii="Times New Roman" w:hAnsi="Times New Roman" w:cs="Times New Roman"/>
          <w:highlight w:val="none"/>
          <w:vertAlign w:val="superscript"/>
        </w:rPr>
        <w:t>3</w:t>
      </w:r>
      <w:r>
        <w:rPr>
          <w:rFonts w:hint="default" w:ascii="Times New Roman" w:hAnsi="Times New Roman" w:cs="Times New Roman"/>
          <w:highlight w:val="none"/>
          <w:lang w:eastAsia="zh-CN"/>
        </w:rPr>
        <w:t>，</w:t>
      </w:r>
      <w:r>
        <w:rPr>
          <w:rFonts w:hint="default" w:ascii="Times New Roman" w:hAnsi="Times New Roman" w:cs="Times New Roman"/>
          <w:highlight w:val="none"/>
        </w:rPr>
        <w:t>城乡需水</w:t>
      </w:r>
      <w:r>
        <w:rPr>
          <w:rFonts w:hint="default" w:ascii="Times New Roman" w:hAnsi="Times New Roman" w:cs="Times New Roman"/>
          <w:highlight w:val="none"/>
          <w:lang w:val="en-US" w:eastAsia="zh-CN"/>
        </w:rPr>
        <w:t>163.44</w:t>
      </w:r>
      <w:r>
        <w:rPr>
          <w:rFonts w:hint="default" w:ascii="Times New Roman" w:hAnsi="Times New Roman" w:cs="Times New Roman"/>
          <w:highlight w:val="none"/>
        </w:rPr>
        <w:t>万m</w:t>
      </w:r>
      <w:r>
        <w:rPr>
          <w:rFonts w:hint="default" w:ascii="Times New Roman" w:hAnsi="Times New Roman" w:cs="Times New Roman"/>
          <w:highlight w:val="none"/>
          <w:vertAlign w:val="superscript"/>
        </w:rPr>
        <w:t>3</w:t>
      </w:r>
      <w:r>
        <w:rPr>
          <w:rFonts w:hint="eastAsia" w:cs="Times New Roman"/>
          <w:highlight w:val="none"/>
          <w:vertAlign w:val="baseline"/>
          <w:lang w:eastAsia="zh-CN"/>
        </w:rPr>
        <w:t>，</w:t>
      </w:r>
      <w:r>
        <w:rPr>
          <w:rFonts w:hint="eastAsia" w:cs="Times New Roman"/>
          <w:highlight w:val="none"/>
          <w:vertAlign w:val="baseline"/>
          <w:lang w:val="en-US" w:eastAsia="zh-CN"/>
        </w:rPr>
        <w:t>不可预见需水36.93</w:t>
      </w:r>
      <w:r>
        <w:rPr>
          <w:rFonts w:hint="default" w:ascii="Times New Roman" w:hAnsi="Times New Roman" w:cs="Times New Roman"/>
          <w:highlight w:val="none"/>
        </w:rPr>
        <w:t>万m</w:t>
      </w:r>
      <w:r>
        <w:rPr>
          <w:rFonts w:hint="default" w:ascii="Times New Roman" w:hAnsi="Times New Roman" w:cs="Times New Roman"/>
          <w:highlight w:val="none"/>
          <w:vertAlign w:val="superscript"/>
        </w:rPr>
        <w:t>3</w:t>
      </w:r>
      <w:r>
        <w:rPr>
          <w:rFonts w:hint="default" w:ascii="Times New Roman" w:hAnsi="Times New Roman" w:cs="Times New Roman"/>
          <w:highlight w:val="none"/>
          <w:vertAlign w:val="baseline"/>
          <w:lang w:eastAsia="zh-CN"/>
        </w:rPr>
        <w:t>。</w:t>
      </w:r>
      <w:r>
        <w:rPr>
          <w:rFonts w:hint="default" w:ascii="Times New Roman" w:hAnsi="Times New Roman" w:cs="Times New Roman"/>
          <w:highlight w:val="none"/>
          <w:vertAlign w:val="baseline"/>
          <w:lang w:val="en-US" w:eastAsia="zh-CN"/>
        </w:rPr>
        <w:t>相应的水资源开发利用率为2</w:t>
      </w:r>
      <w:r>
        <w:rPr>
          <w:rFonts w:hint="eastAsia" w:cs="Times New Roman"/>
          <w:highlight w:val="none"/>
          <w:vertAlign w:val="baseline"/>
          <w:lang w:val="en-US" w:eastAsia="zh-CN"/>
        </w:rPr>
        <w:t>3</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34</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，低于国际上40%的警戒线。</w:t>
      </w:r>
    </w:p>
    <w:p w14:paraId="34884846">
      <w:pPr>
        <w:ind w:left="0" w:leftChars="0" w:firstLine="480" w:firstLineChars="200"/>
        <w:rPr>
          <w:rFonts w:hint="eastAsia" w:cs="Times New Roman"/>
          <w:highlight w:val="none"/>
          <w:vertAlign w:val="baseline"/>
          <w:lang w:val="en-US" w:eastAsia="zh-CN"/>
        </w:rPr>
      </w:pPr>
      <w:r>
        <w:rPr>
          <w:rFonts w:hint="eastAsia" w:cs="Times New Roman"/>
          <w:highlight w:val="none"/>
          <w:vertAlign w:val="baseline"/>
          <w:lang w:val="en-US" w:eastAsia="zh-CN"/>
        </w:rPr>
        <w:t>到2035年，</w:t>
      </w:r>
      <w:r>
        <w:rPr>
          <w:rFonts w:hint="default" w:ascii="Times New Roman" w:hAnsi="Times New Roman" w:cs="Times New Roman"/>
          <w:highlight w:val="none"/>
          <w:lang w:val="en-US" w:eastAsia="zh-CN"/>
        </w:rPr>
        <w:t>规划取水398.63万m</w:t>
      </w:r>
      <w:r>
        <w:rPr>
          <w:rFonts w:hint="default" w:ascii="Times New Roman" w:hAnsi="Times New Roman" w:cs="Times New Roman"/>
          <w:highlight w:val="none"/>
          <w:vertAlign w:val="superscript"/>
          <w:lang w:val="en-US" w:eastAsia="zh-CN"/>
        </w:rPr>
        <w:t>3</w:t>
      </w:r>
      <w:r>
        <w:rPr>
          <w:rFonts w:hint="eastAsia" w:cs="Times New Roman"/>
          <w:highlight w:val="none"/>
          <w:lang w:val="en-US" w:eastAsia="zh-CN"/>
        </w:rPr>
        <w:t>，</w:t>
      </w:r>
      <w:r>
        <w:rPr>
          <w:rFonts w:hint="default" w:ascii="Times New Roman" w:hAnsi="Times New Roman" w:cs="Times New Roman"/>
          <w:highlight w:val="none"/>
          <w:vertAlign w:val="baseline"/>
          <w:lang w:val="en-US" w:eastAsia="zh-CN"/>
        </w:rPr>
        <w:t>相应的水资源开发利用率为</w:t>
      </w:r>
      <w:r>
        <w:rPr>
          <w:rFonts w:hint="eastAsia" w:cs="Times New Roman"/>
          <w:highlight w:val="none"/>
          <w:vertAlign w:val="baseline"/>
          <w:lang w:val="en-US" w:eastAsia="zh-CN"/>
        </w:rPr>
        <w:t>31.14</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，低于国际上40%的警戒线。</w:t>
      </w:r>
    </w:p>
    <w:p w14:paraId="6899D3FF">
      <w:pPr>
        <w:ind w:left="0" w:leftChars="0" w:firstLine="480" w:firstLineChars="200"/>
        <w:rPr>
          <w:rFonts w:hint="eastAsia" w:cs="Times New Roman"/>
          <w:highlight w:val="none"/>
          <w:vertAlign w:val="baseline"/>
          <w:lang w:val="en-US" w:eastAsia="zh-CN"/>
        </w:rPr>
      </w:pPr>
    </w:p>
    <w:p w14:paraId="2369809C">
      <w:pPr>
        <w:ind w:left="0" w:leftChars="0" w:firstLine="480" w:firstLineChars="200"/>
        <w:rPr>
          <w:rFonts w:hint="default" w:cs="Times New Roman"/>
          <w:highlight w:val="none"/>
          <w:vertAlign w:val="baseline"/>
          <w:lang w:val="en-US" w:eastAsia="zh-CN"/>
        </w:rPr>
      </w:pPr>
      <w:r>
        <w:rPr>
          <w:rFonts w:hint="default" w:cs="Times New Roman"/>
          <w:highlight w:val="none"/>
          <w:vertAlign w:val="baseline"/>
          <w:lang w:val="en-US" w:eastAsia="zh-CN"/>
        </w:rPr>
        <w:t>总体来看，在</w:t>
      </w:r>
      <w:r>
        <w:rPr>
          <w:rFonts w:hint="eastAsia" w:cs="Times New Roman"/>
          <w:highlight w:val="none"/>
          <w:vertAlign w:val="baseline"/>
          <w:lang w:val="en-US" w:eastAsia="zh-CN"/>
        </w:rPr>
        <w:t>冷龙沟</w:t>
      </w:r>
      <w:r>
        <w:rPr>
          <w:rFonts w:hint="default" w:cs="Times New Roman"/>
          <w:highlight w:val="none"/>
          <w:vertAlign w:val="baseline"/>
          <w:lang w:val="en-US" w:eastAsia="zh-CN"/>
        </w:rPr>
        <w:t>综合规划逐步实施后，得益于采用节水措施， 流域内用于社会生产生活的耗水量有所降低，随着经济发展，工业用水增加，流域水资源开发利用率</w:t>
      </w:r>
      <w:r>
        <w:rPr>
          <w:rFonts w:hint="eastAsia" w:cs="Times New Roman"/>
          <w:highlight w:val="none"/>
          <w:vertAlign w:val="baseline"/>
          <w:lang w:val="en-US" w:eastAsia="zh-CN"/>
        </w:rPr>
        <w:t>为31.14</w:t>
      </w:r>
      <w:r>
        <w:rPr>
          <w:rFonts w:hint="default" w:cs="Times New Roman"/>
          <w:highlight w:val="none"/>
          <w:vertAlign w:val="baseline"/>
          <w:lang w:val="en-US" w:eastAsia="zh-CN"/>
        </w:rPr>
        <w:t>%，低于国际上40%的警戒线。</w:t>
      </w:r>
    </w:p>
    <w:p w14:paraId="72F2CDA5">
      <w:pPr>
        <w:pStyle w:val="4"/>
        <w:bidi w:val="0"/>
        <w:rPr>
          <w:rFonts w:hint="default"/>
          <w:highlight w:val="none"/>
          <w:lang w:val="en-US" w:eastAsia="zh-CN"/>
        </w:rPr>
      </w:pPr>
      <w:bookmarkStart w:id="64" w:name="_Toc1989"/>
      <w:r>
        <w:rPr>
          <w:rFonts w:hint="default"/>
          <w:highlight w:val="none"/>
          <w:lang w:val="en-US" w:eastAsia="zh-CN"/>
        </w:rPr>
        <w:t>对河道水文情势的影响</w:t>
      </w:r>
      <w:bookmarkEnd w:id="64"/>
    </w:p>
    <w:p w14:paraId="7E60F35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冷龙沟流域面积79.0km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规划在流域中上游处建设水库一座。水库建成后由于水库筑坝蓄引水，将在水库坝址至硕曲河口形成约10km的减水河段。因此，结合流域工程分布及干支流情况，选取有代表性的断面分析规划实施对流域水文情势的影响。</w:t>
      </w:r>
    </w:p>
    <w:p w14:paraId="4CED1039">
      <w:pPr>
        <w:numPr>
          <w:ilvl w:val="0"/>
          <w:numId w:val="50"/>
        </w:numP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断面选择</w:t>
      </w:r>
    </w:p>
    <w:p w14:paraId="3F9F21B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在考虑冷龙沟水资源开发利用布局规划对水文情势的影响后，典型断面选取原则如下：选择规划的重点工程断面作为分析的控制断面；选择流域水资源分区节点作为分析的控制断面。</w:t>
      </w:r>
    </w:p>
    <w:p w14:paraId="7F984DEB">
      <w:pPr>
        <w:numPr>
          <w:ilvl w:val="0"/>
          <w:numId w:val="50"/>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断面的确定</w:t>
      </w:r>
    </w:p>
    <w:p w14:paraId="34CE072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根据综合规划，流域内新建尼色拥水库对径流过程影响较大，结合流域水资源分区成果，综合各方面因素影响，本次控制断面选取成果如下表：</w:t>
      </w:r>
    </w:p>
    <w:p w14:paraId="1793917E">
      <w:pPr>
        <w:pStyle w:val="11"/>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冷龙沟水文情势分析断面选取</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2658"/>
        <w:gridCol w:w="2484"/>
        <w:gridCol w:w="2336"/>
      </w:tblGrid>
      <w:tr w14:paraId="372D0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dxa"/>
          </w:tcPr>
          <w:p w14:paraId="62BBF88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2658" w:type="dxa"/>
          </w:tcPr>
          <w:p w14:paraId="769BAAD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断面位置</w:t>
            </w:r>
          </w:p>
        </w:tc>
        <w:tc>
          <w:tcPr>
            <w:tcW w:w="2484" w:type="dxa"/>
          </w:tcPr>
          <w:p w14:paraId="3761580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节点属性</w:t>
            </w:r>
          </w:p>
        </w:tc>
        <w:tc>
          <w:tcPr>
            <w:tcW w:w="2336" w:type="dxa"/>
          </w:tcPr>
          <w:p w14:paraId="586CAF2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集雨面积</w:t>
            </w:r>
          </w:p>
        </w:tc>
      </w:tr>
      <w:tr w14:paraId="3C9A7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dxa"/>
          </w:tcPr>
          <w:p w14:paraId="626D66B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2658" w:type="dxa"/>
          </w:tcPr>
          <w:p w14:paraId="56D4C9C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尼色拥水库</w:t>
            </w:r>
            <w:r>
              <w:rPr>
                <w:rFonts w:hint="eastAsia" w:cs="Times New Roman"/>
                <w:highlight w:val="none"/>
                <w:lang w:val="en-US" w:eastAsia="zh-CN"/>
              </w:rPr>
              <w:t>下</w:t>
            </w:r>
            <w:r>
              <w:rPr>
                <w:rFonts w:hint="default" w:ascii="Times New Roman" w:hAnsi="Times New Roman" w:cs="Times New Roman"/>
                <w:highlight w:val="none"/>
                <w:lang w:val="en-US" w:eastAsia="zh-CN"/>
              </w:rPr>
              <w:t>坝址</w:t>
            </w:r>
          </w:p>
        </w:tc>
        <w:tc>
          <w:tcPr>
            <w:tcW w:w="2484" w:type="dxa"/>
          </w:tcPr>
          <w:p w14:paraId="06E723D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重点工程控制断面</w:t>
            </w:r>
          </w:p>
        </w:tc>
        <w:tc>
          <w:tcPr>
            <w:tcW w:w="2336" w:type="dxa"/>
          </w:tcPr>
          <w:p w14:paraId="078932C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27.5km</w:t>
            </w:r>
            <w:r>
              <w:rPr>
                <w:rFonts w:hint="default" w:ascii="Times New Roman" w:hAnsi="Times New Roman" w:cs="Times New Roman"/>
                <w:highlight w:val="none"/>
                <w:vertAlign w:val="superscript"/>
                <w:lang w:val="en-US" w:eastAsia="zh-CN"/>
              </w:rPr>
              <w:t>2</w:t>
            </w:r>
          </w:p>
        </w:tc>
      </w:tr>
      <w:tr w14:paraId="13F78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980" w:type="dxa"/>
          </w:tcPr>
          <w:p w14:paraId="79B21D2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2658" w:type="dxa"/>
          </w:tcPr>
          <w:p w14:paraId="52F81C1B">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硕曲河汇入口</w:t>
            </w:r>
          </w:p>
        </w:tc>
        <w:tc>
          <w:tcPr>
            <w:tcW w:w="2484" w:type="dxa"/>
          </w:tcPr>
          <w:p w14:paraId="07D55E1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流域水资源节点</w:t>
            </w:r>
          </w:p>
        </w:tc>
        <w:tc>
          <w:tcPr>
            <w:tcW w:w="2336" w:type="dxa"/>
          </w:tcPr>
          <w:p w14:paraId="5821F19E">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51.88km</w:t>
            </w:r>
            <w:r>
              <w:rPr>
                <w:rFonts w:hint="default" w:ascii="Times New Roman" w:hAnsi="Times New Roman" w:cs="Times New Roman"/>
                <w:highlight w:val="none"/>
                <w:vertAlign w:val="superscript"/>
                <w:lang w:val="en-US" w:eastAsia="zh-CN"/>
              </w:rPr>
              <w:t>2</w:t>
            </w:r>
          </w:p>
        </w:tc>
      </w:tr>
    </w:tbl>
    <w:p w14:paraId="650120CB">
      <w:pPr>
        <w:pStyle w:val="5"/>
        <w:bidi w:val="0"/>
        <w:rPr>
          <w:rFonts w:hint="default"/>
          <w:highlight w:val="none"/>
          <w:lang w:val="en-US" w:eastAsia="zh-CN"/>
        </w:rPr>
      </w:pPr>
      <w:bookmarkStart w:id="65" w:name="_Toc27948"/>
      <w:r>
        <w:rPr>
          <w:rFonts w:hint="default"/>
          <w:highlight w:val="none"/>
          <w:lang w:val="en-US" w:eastAsia="zh-CN"/>
        </w:rPr>
        <w:t>对重点工程断面水文情势影响</w:t>
      </w:r>
      <w:bookmarkEnd w:id="65"/>
    </w:p>
    <w:p w14:paraId="347089C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尼色拥水库坝址以上集雨面积27.5km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，多年平均流量0.21</w:t>
      </w:r>
      <w:r>
        <w:rPr>
          <w:rFonts w:hint="eastAsia" w:cs="Times New Roman"/>
          <w:highlight w:val="none"/>
          <w:lang w:val="en-US" w:eastAsia="zh-CN"/>
        </w:rPr>
        <w:t>6</w:t>
      </w: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/s，多年平均来水量676.91m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；水库多年平均需水量398.58万m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，占水库坝址来水量的58.9%。尼色拥水库正常蓄水位为3530.00m，死水位为3501.00m，正常蓄水位对应库容130.59万m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，死库容14.87万m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，兴利库容115.72万m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1A3E78C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尼色拥水库建成运行后，水库回水长度约0.6km，平均水面宽115m，正常蓄水位时水面面积为6.9hm²，水库库容较小，水域环境整体呈河道型水库。水库蓄水后，库区水面面积增大，水深增加，库内流速减缓，水域环境由原小型沟道转为缓流型水库。水库年调度运行时，水位在正常蓄水位3530.00m与死水位3501.00m之间变化，水库最大消落深度29.0m。</w:t>
      </w:r>
    </w:p>
    <w:p w14:paraId="308E9A02">
      <w:pPr>
        <w:pStyle w:val="5"/>
        <w:bidi w:val="0"/>
        <w:rPr>
          <w:rFonts w:hint="default"/>
          <w:highlight w:val="none"/>
          <w:lang w:val="en-US" w:eastAsia="zh-CN"/>
        </w:rPr>
      </w:pPr>
      <w:bookmarkStart w:id="66" w:name="_Toc22756"/>
      <w:r>
        <w:rPr>
          <w:rFonts w:hint="default"/>
          <w:highlight w:val="none"/>
          <w:lang w:val="en-US" w:eastAsia="zh-CN"/>
        </w:rPr>
        <w:t>对硕曲河断面水文情势影响</w:t>
      </w:r>
      <w:bookmarkEnd w:id="66"/>
    </w:p>
    <w:p w14:paraId="24ECC3E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中上游尼色拥水库建成后，会导致下水径流量减少，对下游河段的水深、流速等均造成一定影响，尼色拥水库至冷龙沟与硕曲河汇口处之间11.17km河道将成为季节性减水河段，在下泄一定的生态流量后，可保持下游河道内常年处于流水状态；同时，在水库坝址下游5.82km处左岸有较大支沟巨美沟汇入，河道左右两岸有地下水及小支沟汇入，减水河段水深及河宽逐渐增加，在减水河段末端基本恢复至天然情况，取水造成的影响较小。</w:t>
      </w:r>
    </w:p>
    <w:p w14:paraId="11899D70">
      <w:pPr>
        <w:pStyle w:val="3"/>
        <w:bidi w:val="0"/>
        <w:rPr>
          <w:rFonts w:hint="default"/>
          <w:highlight w:val="none"/>
          <w:lang w:val="en-US" w:eastAsia="zh-CN"/>
        </w:rPr>
      </w:pPr>
      <w:bookmarkStart w:id="67" w:name="_Toc27397"/>
      <w:r>
        <w:rPr>
          <w:rFonts w:hint="default"/>
          <w:highlight w:val="none"/>
          <w:lang w:val="en-US" w:eastAsia="zh-CN"/>
        </w:rPr>
        <w:t>水环境影响预测与评价</w:t>
      </w:r>
      <w:bookmarkEnd w:id="67"/>
    </w:p>
    <w:p w14:paraId="3A9DD77E">
      <w:pPr>
        <w:pStyle w:val="4"/>
        <w:bidi w:val="0"/>
        <w:rPr>
          <w:rFonts w:hint="default"/>
          <w:highlight w:val="none"/>
          <w:lang w:val="en-US" w:eastAsia="zh-CN"/>
        </w:rPr>
      </w:pPr>
      <w:r>
        <w:rPr>
          <w:rFonts w:hint="default"/>
          <w:highlight w:val="none"/>
          <w:lang w:val="en-US" w:eastAsia="zh-CN"/>
        </w:rPr>
        <w:t>对地表水温影响</w:t>
      </w:r>
    </w:p>
    <w:p w14:paraId="1FEF09A4">
      <w:pPr>
        <w:bidi w:val="0"/>
        <w:rPr>
          <w:rFonts w:hint="default" w:ascii="Times New Roman" w:hAnsi="Times New Roman" w:cs="Times New Roman"/>
          <w:highlight w:val="none"/>
        </w:rPr>
      </w:pPr>
      <w:r>
        <w:rPr>
          <w:rFonts w:hint="default" w:ascii="Times New Roman" w:hAnsi="Times New Roman" w:cs="Times New Roman"/>
          <w:highlight w:val="none"/>
        </w:rPr>
        <w:t>根据分析，防洪减灾规划、水资源保护与生态修复规划、水土保持规划、流域综合管理规划组成基本不会对流域水温造成影响；水资源综合利用规划中的水库</w:t>
      </w:r>
      <w:r>
        <w:rPr>
          <w:rFonts w:hint="default" w:ascii="Times New Roman" w:hAnsi="Times New Roman" w:cs="Times New Roman"/>
          <w:highlight w:val="none"/>
          <w:lang w:val="en-US" w:eastAsia="zh-CN"/>
        </w:rPr>
        <w:t>建成</w:t>
      </w:r>
      <w:r>
        <w:rPr>
          <w:rFonts w:hint="default" w:ascii="Times New Roman" w:hAnsi="Times New Roman" w:cs="Times New Roman"/>
          <w:highlight w:val="none"/>
        </w:rPr>
        <w:t>后可能对河流水温造成影响。故本节仅评价规划的</w:t>
      </w:r>
      <w:r>
        <w:rPr>
          <w:rFonts w:hint="default" w:ascii="Times New Roman" w:hAnsi="Times New Roman" w:cs="Times New Roman"/>
          <w:highlight w:val="none"/>
          <w:lang w:val="en-US" w:eastAsia="zh-CN"/>
        </w:rPr>
        <w:t>水库建</w:t>
      </w:r>
      <w:r>
        <w:rPr>
          <w:rFonts w:hint="default" w:ascii="Times New Roman" w:hAnsi="Times New Roman" w:cs="Times New Roman"/>
          <w:highlight w:val="none"/>
        </w:rPr>
        <w:t>成后对</w:t>
      </w: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水温的影响。</w:t>
      </w:r>
    </w:p>
    <w:p w14:paraId="0E386EE3">
      <w:pPr>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1、水温影响的初步判断</w:t>
      </w:r>
    </w:p>
    <w:p w14:paraId="48F7D996">
      <w:pPr>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highlight w:val="none"/>
          <w:lang w:val="en-US" w:eastAsia="zh-CN"/>
        </w:rPr>
        <w:t>根据规划，尼色拥水库</w:t>
      </w:r>
      <w:r>
        <w:rPr>
          <w:rFonts w:hint="default" w:ascii="Times New Roman" w:hAnsi="Times New Roman" w:cs="Times New Roman"/>
          <w:color w:val="000000" w:themeColor="text1"/>
          <w:sz w:val="24"/>
          <w:highlight w:val="none"/>
          <w14:textFill>
            <w14:solidFill>
              <w14:schemeClr w14:val="tx1"/>
            </w14:solidFill>
          </w14:textFill>
        </w:rPr>
        <w:t>正常蓄水位库容142.52m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属于年调节水库，水位高差达29m</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highlight w:val="none"/>
          <w:lang w:val="en-US" w:eastAsia="zh-CN"/>
        </w:rPr>
        <w:t>坝址断面多年平均年径流量为678.83万m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/a，由此计算库区水体替换指数α值为4.76﹤10，坝前库区水温属于分层型。</w:t>
      </w:r>
      <w:r>
        <w:rPr>
          <w:rFonts w:hint="default" w:ascii="Times New Roman" w:hAnsi="Times New Roman" w:cs="Times New Roman"/>
          <w:color w:val="000000" w:themeColor="text1"/>
          <w:highlight w:val="none"/>
          <w14:textFill>
            <w14:solidFill>
              <w14:schemeClr w14:val="tx1"/>
            </w14:solidFill>
          </w14:textFill>
        </w:rPr>
        <w:t>如不采取分层取水措施，底部取水放流将会形成明显的低温水，对下游一定范围内的水生生态环境造成影响。</w:t>
      </w:r>
    </w:p>
    <w:p w14:paraId="58EF4931">
      <w:pPr>
        <w:numPr>
          <w:ilvl w:val="0"/>
          <w:numId w:val="0"/>
        </w:numPr>
        <w:bidi w:val="0"/>
        <w:ind w:leftChars="200"/>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2、水温影响分析</w:t>
      </w:r>
    </w:p>
    <w:p w14:paraId="79489A67">
      <w:pPr>
        <w:spacing w:line="360" w:lineRule="auto"/>
        <w:ind w:firstLine="480"/>
        <w:rPr>
          <w:rFonts w:hint="default" w:ascii="Times New Roman" w:hAnsi="Times New Roman" w:cs="Times New Roman"/>
          <w:color w:val="000000" w:themeColor="text1"/>
          <w:sz w:val="24"/>
          <w:szCs w:val="30"/>
          <w:highlight w:val="none"/>
          <w14:textFill>
            <w14:solidFill>
              <w14:schemeClr w14:val="tx1"/>
            </w14:solidFill>
          </w14:textFill>
        </w:rPr>
      </w:pPr>
      <w:r>
        <w:rPr>
          <w:rFonts w:hint="default" w:ascii="Times New Roman" w:hAnsi="Times New Roman" w:cs="Times New Roman"/>
          <w:highlight w:val="none"/>
          <w:lang w:val="en-US" w:eastAsia="zh-CN"/>
        </w:rPr>
        <w:t>规划水库正常蓄水位库容142.52m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r>
        <w:rPr>
          <w:rFonts w:hint="default" w:ascii="Times New Roman" w:hAnsi="Times New Roman" w:cs="Times New Roman"/>
          <w:color w:val="000000" w:themeColor="text1"/>
          <w:sz w:val="24"/>
          <w:szCs w:val="30"/>
          <w:highlight w:val="none"/>
          <w14:textFill>
            <w14:solidFill>
              <w14:schemeClr w14:val="tx1"/>
            </w14:solidFill>
          </w14:textFill>
        </w:rPr>
        <w:t>水库不具有调节性能，坝址年径流总量与总库容比为460，结合密度佛汝德数综合判断水库水温结构为分层型。坝前水深较深，最低取水口（3509m）距离各月运行水位22.4～26.6m，距库底约8m，供水任务指导下的年调度方式让水库水位波动较小，从5月开始降水位，至11月底升至正常蓄水位，最低水位距离库底达29m，入库径流不易扰动库底水体，库底水温在汛期来临前较为稳定。</w:t>
      </w:r>
    </w:p>
    <w:p w14:paraId="04E2E0CA">
      <w:pPr>
        <w:spacing w:line="360" w:lineRule="auto"/>
        <w:ind w:firstLine="480"/>
        <w:rPr>
          <w:rFonts w:hint="default" w:ascii="Times New Roman" w:hAnsi="Times New Roman" w:cs="Times New Roman"/>
          <w:color w:val="000000" w:themeColor="text1"/>
          <w:sz w:val="24"/>
          <w:szCs w:val="30"/>
          <w:highlight w:val="none"/>
          <w14:textFill>
            <w14:solidFill>
              <w14:schemeClr w14:val="tx1"/>
            </w14:solidFill>
          </w14:textFill>
        </w:rPr>
      </w:pPr>
      <w:r>
        <w:rPr>
          <w:rFonts w:hint="default" w:ascii="Times New Roman" w:hAnsi="Times New Roman" w:cs="Times New Roman"/>
          <w:color w:val="000000" w:themeColor="text1"/>
          <w:sz w:val="24"/>
          <w:szCs w:val="30"/>
          <w:highlight w:val="none"/>
          <w14:textFill>
            <w14:solidFill>
              <w14:schemeClr w14:val="tx1"/>
            </w14:solidFill>
          </w14:textFill>
        </w:rPr>
        <w:t>库区气温在1月达到了全年最低，为-14.4℃，入库水温为0℃，但库区坝前留存有前期12月初的高温水，来流在库尾下潜，沿库底前行，因而水温继续降低。入库水温在2月继续降至8.6℃，库区水温整体降至12.6℃。3月太阳辐射仍偏低，库区水温维持在12.2℃。</w:t>
      </w:r>
      <w:r>
        <w:rPr>
          <w:rFonts w:hint="default" w:ascii="Times New Roman" w:hAnsi="Times New Roman" w:cs="Times New Roman"/>
          <w:color w:val="000000" w:themeColor="text1"/>
          <w:sz w:val="24"/>
          <w:highlight w:val="none"/>
          <w14:textFill>
            <w14:solidFill>
              <w14:schemeClr w14:val="tx1"/>
            </w14:solidFill>
          </w14:textFill>
        </w:rPr>
        <w:t>4月受气象条件和来流水温影响库区水温开始回升，表层水温升为14.5℃，表层有形成温跃层趋势。</w:t>
      </w:r>
      <w:r>
        <w:rPr>
          <w:rFonts w:hint="default" w:ascii="Times New Roman" w:hAnsi="Times New Roman" w:cs="Times New Roman"/>
          <w:color w:val="000000" w:themeColor="text1"/>
          <w:sz w:val="24"/>
          <w:szCs w:val="30"/>
          <w:highlight w:val="none"/>
          <w14:textFill>
            <w14:solidFill>
              <w14:schemeClr w14:val="tx1"/>
            </w14:solidFill>
          </w14:textFill>
        </w:rPr>
        <w:t>5月气温和入流温度大幅上升，使表层水温在来流基础上升高为17.8℃，库底低温水层厚度为20m。</w:t>
      </w:r>
    </w:p>
    <w:p w14:paraId="62CD26F1">
      <w:pPr>
        <w:spacing w:line="360" w:lineRule="auto"/>
        <w:ind w:firstLine="480"/>
        <w:rPr>
          <w:rFonts w:hint="default" w:ascii="Times New Roman" w:hAnsi="Times New Roman" w:cs="Times New Roman"/>
          <w:color w:val="000000" w:themeColor="text1"/>
          <w:sz w:val="24"/>
          <w:szCs w:val="30"/>
          <w:highlight w:val="none"/>
          <w14:textFill>
            <w14:solidFill>
              <w14:schemeClr w14:val="tx1"/>
            </w14:solidFill>
          </w14:textFill>
        </w:rPr>
      </w:pPr>
      <w:r>
        <w:rPr>
          <w:rFonts w:hint="default" w:ascii="Times New Roman" w:hAnsi="Times New Roman" w:cs="Times New Roman"/>
          <w:color w:val="000000" w:themeColor="text1"/>
          <w:sz w:val="24"/>
          <w:szCs w:val="30"/>
          <w:highlight w:val="none"/>
          <w14:textFill>
            <w14:solidFill>
              <w14:schemeClr w14:val="tx1"/>
            </w14:solidFill>
          </w14:textFill>
        </w:rPr>
        <w:t>6月~8月，来流水温和气温等继续升高，辐射强度在150W/m</w:t>
      </w:r>
      <w:r>
        <w:rPr>
          <w:rFonts w:hint="default" w:ascii="Times New Roman" w:hAnsi="Times New Roman" w:cs="Times New Roman"/>
          <w:color w:val="000000" w:themeColor="text1"/>
          <w:sz w:val="24"/>
          <w:szCs w:val="30"/>
          <w:highlight w:val="none"/>
          <w:vertAlign w:val="superscript"/>
          <w14:textFill>
            <w14:solidFill>
              <w14:schemeClr w14:val="tx1"/>
            </w14:solidFill>
          </w14:textFill>
        </w:rPr>
        <w:t>2</w:t>
      </w:r>
      <w:r>
        <w:rPr>
          <w:rFonts w:hint="default" w:ascii="Times New Roman" w:hAnsi="Times New Roman" w:cs="Times New Roman"/>
          <w:color w:val="000000" w:themeColor="text1"/>
          <w:sz w:val="24"/>
          <w:szCs w:val="30"/>
          <w:highlight w:val="none"/>
          <w14:textFill>
            <w14:solidFill>
              <w14:schemeClr w14:val="tx1"/>
            </w14:solidFill>
          </w14:textFill>
        </w:rPr>
        <w:t>以上；7月来流温度为全年最高的25.0℃，太阳辐射为197.5W/m</w:t>
      </w:r>
      <w:r>
        <w:rPr>
          <w:rFonts w:hint="default" w:ascii="Times New Roman" w:hAnsi="Times New Roman" w:cs="Times New Roman"/>
          <w:color w:val="000000" w:themeColor="text1"/>
          <w:sz w:val="24"/>
          <w:szCs w:val="30"/>
          <w:highlight w:val="none"/>
          <w:vertAlign w:val="superscript"/>
          <w14:textFill>
            <w14:solidFill>
              <w14:schemeClr w14:val="tx1"/>
            </w14:solidFill>
          </w14:textFill>
        </w:rPr>
        <w:t>2</w:t>
      </w:r>
      <w:r>
        <w:rPr>
          <w:rFonts w:hint="default" w:ascii="Times New Roman" w:hAnsi="Times New Roman" w:cs="Times New Roman"/>
          <w:color w:val="000000" w:themeColor="text1"/>
          <w:sz w:val="24"/>
          <w:szCs w:val="30"/>
          <w:highlight w:val="none"/>
          <w14:textFill>
            <w14:solidFill>
              <w14:schemeClr w14:val="tx1"/>
            </w14:solidFill>
          </w14:textFill>
        </w:rPr>
        <w:t>，气温为全年最高的28.7℃，坝前表层水温与入流水温同温，库底水温略升至12.5℃；8月的气象条件与7月基本相当，持续的高温天气和高温来流使得库区水温达到了全年的最高值，表层水温为25.8℃，底层水温为14.2℃，库底低温层已消失。</w:t>
      </w:r>
    </w:p>
    <w:p w14:paraId="3F913C6B">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9月辐射水平、来流水温和气温进入快速下降期，由于密度和热交换的影响，来流水温远低于库区水温，入库后迅速下沉沿库底前行，库区水温整体开始下降。收汛期大流量影响，水库225m高程以上主流动层内大范围同温。</w:t>
      </w:r>
    </w:p>
    <w:p w14:paraId="2253EBCD">
      <w:pPr>
        <w:bidi w:val="0"/>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10月~12月气温与来流水温均大幅下降，库区水温继续降低，坝前水体在10月完成秋季反转。</w:t>
      </w:r>
    </w:p>
    <w:p w14:paraId="701BB0BE">
      <w:pPr>
        <w:pStyle w:val="4"/>
        <w:bidi w:val="0"/>
        <w:rPr>
          <w:rFonts w:hint="default"/>
          <w:highlight w:val="none"/>
          <w:lang w:val="en-US" w:eastAsia="zh-CN"/>
        </w:rPr>
      </w:pPr>
      <w:r>
        <w:rPr>
          <w:rFonts w:hint="default"/>
          <w:highlight w:val="none"/>
          <w:lang w:val="en-US" w:eastAsia="zh-CN"/>
        </w:rPr>
        <w:t>对地表水水质影响</w:t>
      </w:r>
    </w:p>
    <w:p w14:paraId="73EA84D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冷龙沟流域仅涉及4个行政村，流域范围内污染源包括生活污水源、农业污染源及畜禽养殖污染源。污染源分析见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_Ref18590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污染源</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_Ref18743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水环境现状调查与评价</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章节。</w:t>
      </w:r>
    </w:p>
    <w:p w14:paraId="16AF45E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现状调查及数据分析，冷龙沟流域范围内不涉及工业企业，上游居民均完成搬迁安置，仅下游涉及农户生活源及畜禽散养源及流域沿线农业面源。流域规划工程的建设不设计搬迁、流域范围内居民生产生活方式基本不发生改变。</w:t>
      </w:r>
      <w:r>
        <w:rPr>
          <w:rFonts w:hint="default" w:ascii="Times New Roman" w:hAnsi="Times New Roman" w:cs="Times New Roman"/>
          <w:b w:val="0"/>
          <w:bCs w:val="0"/>
          <w:spacing w:val="-8"/>
          <w:sz w:val="24"/>
          <w:szCs w:val="24"/>
          <w:highlight w:val="none"/>
        </w:rPr>
        <w:t>生活污水入河量，农业面源入河量</w:t>
      </w:r>
      <w:r>
        <w:rPr>
          <w:rFonts w:hint="default" w:ascii="Times New Roman" w:hAnsi="Times New Roman" w:cs="Times New Roman"/>
          <w:b w:val="0"/>
          <w:bCs w:val="0"/>
          <w:spacing w:val="-9"/>
          <w:sz w:val="24"/>
          <w:szCs w:val="24"/>
          <w:highlight w:val="none"/>
        </w:rPr>
        <w:t>，畜禽养</w:t>
      </w:r>
      <w:r>
        <w:rPr>
          <w:rFonts w:hint="default" w:ascii="Times New Roman" w:hAnsi="Times New Roman" w:cs="Times New Roman"/>
          <w:b w:val="0"/>
          <w:bCs w:val="0"/>
          <w:spacing w:val="-1"/>
          <w:sz w:val="24"/>
          <w:szCs w:val="24"/>
          <w:highlight w:val="none"/>
        </w:rPr>
        <w:t>殖面源入河量</w:t>
      </w:r>
      <w:r>
        <w:rPr>
          <w:rFonts w:hint="default" w:ascii="Times New Roman" w:hAnsi="Times New Roman" w:cs="Times New Roman"/>
          <w:b w:val="0"/>
          <w:bCs w:val="0"/>
          <w:spacing w:val="-1"/>
          <w:sz w:val="24"/>
          <w:szCs w:val="24"/>
          <w:highlight w:val="none"/>
          <w:lang w:val="en-US" w:eastAsia="zh-CN"/>
        </w:rPr>
        <w:t>基本变动不大。总体来看污染源入河总量呈下降趋势，基本做到了增产不增污，对流域内水质的影响很小。</w:t>
      </w:r>
    </w:p>
    <w:p w14:paraId="7BCE1DC6">
      <w:pPr>
        <w:pStyle w:val="4"/>
        <w:bidi w:val="0"/>
        <w:rPr>
          <w:rFonts w:hint="default"/>
          <w:highlight w:val="none"/>
          <w:lang w:val="en-US" w:eastAsia="zh-CN"/>
        </w:rPr>
      </w:pPr>
      <w:r>
        <w:rPr>
          <w:rFonts w:hint="default"/>
          <w:highlight w:val="none"/>
          <w:lang w:val="en-US" w:eastAsia="zh-CN"/>
        </w:rPr>
        <w:t>对地下水环境的影响</w:t>
      </w:r>
    </w:p>
    <w:p w14:paraId="17672F2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规划实施后，主要考虑规划的尼色拥水库渗漏、水库蓄水对地下水水位的影响。</w:t>
      </w:r>
    </w:p>
    <w:p w14:paraId="44379E8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成后正常蓄水后，水库库区地质条件较好，库区地形封闭条件总体较好，两岸地下水分水岭远高于水库正常蓄水位，不存在向库外渗漏的可能。在对枢纽区采取防渗处理后，将有效避免或控制水库渗漏问题，对地下水水位影响很小。因此工程运行期水库蓄水对地下水的影响范围限于水库库区内，且影响程度有限。</w:t>
      </w:r>
    </w:p>
    <w:p w14:paraId="5B7254C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同时，尼色拥水库具有饮用水工程功能，通过上游及周边污染控制、削减等措施，可有效保证水库水质满足相应的标准要求。因此，少量渗漏的水库水对地下水水质影响不明显。</w:t>
      </w:r>
    </w:p>
    <w:p w14:paraId="0410757D">
      <w:pPr>
        <w:pStyle w:val="3"/>
        <w:bidi w:val="0"/>
        <w:rPr>
          <w:rFonts w:hint="default"/>
          <w:highlight w:val="none"/>
          <w:lang w:val="en-US" w:eastAsia="zh-CN"/>
        </w:rPr>
      </w:pPr>
      <w:bookmarkStart w:id="68" w:name="_Toc17180"/>
      <w:r>
        <w:rPr>
          <w:rFonts w:hint="default"/>
          <w:highlight w:val="none"/>
          <w:lang w:val="en-US" w:eastAsia="zh-CN"/>
        </w:rPr>
        <w:t>生态影响预测与评价</w:t>
      </w:r>
      <w:bookmarkEnd w:id="68"/>
    </w:p>
    <w:p w14:paraId="667D3C8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实施项目中防洪减灾工程、水资源保护于生态修复规划对生态环境将产生较大影响，主要以施工期暂时性影响为主；水资源综合利用规划工程、水土保持规划的实施对生态环境具有正效应，各工程均在近期开始实施，因此规划各工程产生的生态影响均统一做预测分析。</w:t>
      </w:r>
    </w:p>
    <w:p w14:paraId="57A9389F">
      <w:pPr>
        <w:pStyle w:val="4"/>
        <w:bidi w:val="0"/>
        <w:rPr>
          <w:rFonts w:hint="default"/>
          <w:highlight w:val="none"/>
          <w:lang w:val="en-US" w:eastAsia="zh-CN"/>
        </w:rPr>
      </w:pPr>
      <w:r>
        <w:rPr>
          <w:rFonts w:hint="default"/>
          <w:highlight w:val="none"/>
          <w:lang w:val="en-US" w:eastAsia="zh-CN"/>
        </w:rPr>
        <w:t>对生态系统的影响</w:t>
      </w:r>
    </w:p>
    <w:p w14:paraId="5D88B43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冷龙沟流域的生态系统类型包括森林生态系统、灌丛及灌草丛生态系统、农田生态系统。</w:t>
      </w:r>
    </w:p>
    <w:p w14:paraId="76989F1E">
      <w:pPr>
        <w:pStyle w:val="5"/>
        <w:bidi w:val="0"/>
        <w:rPr>
          <w:rFonts w:hint="default"/>
          <w:highlight w:val="none"/>
          <w:lang w:val="en-US" w:eastAsia="zh-CN"/>
        </w:rPr>
      </w:pPr>
      <w:r>
        <w:rPr>
          <w:rFonts w:hint="default"/>
          <w:highlight w:val="none"/>
          <w:lang w:val="en-US" w:eastAsia="zh-CN"/>
        </w:rPr>
        <w:t>森林生生态系统</w:t>
      </w:r>
    </w:p>
    <w:p w14:paraId="6F0DC9F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对森林生态系统以有利影响为主，主要表现在水土保持规划的实施将提高流域林草覆盖率，提高土壤涵养能力，有利于减少水土资源流失；防洪减灾规划和水土保持规划实施后，将有效减少洪涝灾害及过度放牧对植被的影响；水资源利用规划将增加流域水域面积和有效灌溉面积，有利于改善局地小气候，增加空气湿度，有利于森林和灌草丛的正向演替。不利的环境影响主要体现在规划工程占地会引起植被扰动，造成植被生物量的生产力的下降。</w:t>
      </w:r>
    </w:p>
    <w:p w14:paraId="53850975">
      <w:pPr>
        <w:pStyle w:val="5"/>
        <w:bidi w:val="0"/>
        <w:rPr>
          <w:rFonts w:hint="default"/>
          <w:highlight w:val="none"/>
          <w:lang w:val="en-US" w:eastAsia="zh-CN"/>
        </w:rPr>
      </w:pPr>
      <w:r>
        <w:rPr>
          <w:rFonts w:hint="default"/>
          <w:highlight w:val="none"/>
          <w:lang w:val="en-US" w:eastAsia="zh-CN"/>
        </w:rPr>
        <w:t>灌丛和灌草丛生态系统</w:t>
      </w:r>
    </w:p>
    <w:p w14:paraId="40F5283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对灌丛及灌草丛生态系统的影响以有利影响为主，主要不利影响主要在于：①工程占地将对评价范围灌丛生态系统产生直接的破坏，引起的灌丛植被面积减少，动物生境萎缩，灌丛生态系统内植物个体损失，植被生物量减少；②施工活动中机械施工碾压、施工人员踩踏、施工活动产生的扬尘、废水、废气、生活垃圾等会影响灌丛生态系统内动植物生命活动；③水土流失亦会对评价范围灌丛生态系统产生影响。总的来看，水资源利用规划造成的灌丛损失影响较小；而水土保持规划、水资源保护和生态修复规划的实施会增加流域灌丛植被，有利于植物的生长也有利于灌丛生态系统的正向演替。</w:t>
      </w:r>
    </w:p>
    <w:p w14:paraId="16291843">
      <w:pPr>
        <w:pStyle w:val="5"/>
        <w:bidi w:val="0"/>
        <w:rPr>
          <w:rFonts w:hint="default"/>
          <w:highlight w:val="none"/>
          <w:lang w:val="en-US" w:eastAsia="zh-CN"/>
        </w:rPr>
      </w:pPr>
      <w:r>
        <w:rPr>
          <w:rFonts w:hint="default"/>
          <w:highlight w:val="none"/>
          <w:lang w:val="en-US" w:eastAsia="zh-CN"/>
        </w:rPr>
        <w:t>对农业生态系统的影响</w:t>
      </w:r>
    </w:p>
    <w:p w14:paraId="07AC3DF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对农业生态系统的有利影响较为显著。不利影响主要在于，规划工程会占用一定的耕地，对农业生态系统造成影响，但规划工程占用耕地面积较小。有利影响主要表现在规划实施后至水资源利用规划工程全部建成，流域灌溉条件改善后将又利于提高灌区土地生产力，改善种植结构，改善农田生态系统质量和生物多样性。防洪规划的实施将减少洪涝灾害造成的农作物损失，有利于提高粮食产量。水土保持规划实施将减少水土资源流失，为农业发展保存重要的水土资源。总体来看，规划建设对农业生态系统有利。</w:t>
      </w:r>
    </w:p>
    <w:p w14:paraId="3DD30C10">
      <w:pPr>
        <w:pStyle w:val="5"/>
        <w:bidi w:val="0"/>
        <w:rPr>
          <w:rFonts w:hint="default"/>
          <w:highlight w:val="none"/>
          <w:lang w:val="en-US" w:eastAsia="zh-CN"/>
        </w:rPr>
      </w:pPr>
      <w:r>
        <w:rPr>
          <w:rFonts w:hint="default"/>
          <w:highlight w:val="none"/>
          <w:lang w:val="en-US" w:eastAsia="zh-CN"/>
        </w:rPr>
        <w:t>对生态系统影响的完整性评价</w:t>
      </w:r>
    </w:p>
    <w:p w14:paraId="4DE98E4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冷龙沟流域生态系统主要包括森林生态系统、灌丛和灌草丛生态系统、农业生态系统</w:t>
      </w:r>
      <w:r>
        <w:rPr>
          <w:rFonts w:hint="eastAsia" w:cs="Times New Roman"/>
          <w:highlight w:val="none"/>
          <w:lang w:val="en-US" w:eastAsia="zh-CN"/>
        </w:rPr>
        <w:t>。</w:t>
      </w:r>
      <w:r>
        <w:rPr>
          <w:rFonts w:hint="default" w:ascii="Times New Roman" w:hAnsi="Times New Roman" w:cs="Times New Roman"/>
          <w:highlight w:val="none"/>
          <w:lang w:val="en-US" w:eastAsia="zh-CN"/>
        </w:rPr>
        <w:t>对生态系统完整性产生的影响主要为水资源利用规划、水资源保护与生态修复规划、水土保持规划。水资源利用规划实施后区域内水资源供给稳定性区域内生态系统的稳定性有所增强。水土保持规划实施后区域内水源涵养能力将有所提升，有利于减少水土资源流失。防洪减灾规划实施后，将减少洪涝灾害及过度放牧对植被的影响。水资源规划的实施将有效改善区域内农业灌溉现状，实现持续有效的灌溉供给。对湿地生态系统的影响主要表现为，水资源规划实施后，水库库区及下游湿地面积会有一定程度的减少，但通过保证足量的生态流量下泄、水生态保护，以稳定改善湿地生态系统。</w:t>
      </w:r>
    </w:p>
    <w:p w14:paraId="1B6BA0B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上所述，冷龙沟流域综合规划不会对区域内生态系统完整性产生实质性影响，各类生态系统依然具有维持良性发展的潜力，且水土保持规划、防洪减灾规划、水资源保护与生态修复规划对维持区域生态系统稳定性具有正向促进作用。因此，冷龙沟流域综合规划对评价区域生态系统影响总体呈现出积极的正效应，能够加强生态系统结构和功能的完整性。</w:t>
      </w:r>
    </w:p>
    <w:p w14:paraId="2216EC3A">
      <w:pPr>
        <w:pStyle w:val="4"/>
        <w:bidi w:val="0"/>
        <w:rPr>
          <w:rFonts w:hint="default"/>
          <w:highlight w:val="none"/>
          <w:lang w:val="en-US" w:eastAsia="zh-CN"/>
        </w:rPr>
      </w:pPr>
      <w:r>
        <w:rPr>
          <w:rFonts w:hint="default"/>
          <w:highlight w:val="none"/>
          <w:lang w:val="en-US" w:eastAsia="zh-CN"/>
        </w:rPr>
        <w:t>对陆生生态的影响</w:t>
      </w:r>
    </w:p>
    <w:p w14:paraId="297509D6">
      <w:pPr>
        <w:pStyle w:val="5"/>
        <w:bidi w:val="0"/>
        <w:rPr>
          <w:rFonts w:hint="default"/>
          <w:highlight w:val="none"/>
          <w:lang w:val="en-US" w:eastAsia="zh-CN"/>
        </w:rPr>
      </w:pPr>
      <w:r>
        <w:rPr>
          <w:rFonts w:hint="default"/>
          <w:highlight w:val="none"/>
          <w:lang w:val="en-US" w:eastAsia="zh-CN"/>
        </w:rPr>
        <w:t>对陆生植物的影响</w:t>
      </w:r>
    </w:p>
    <w:p w14:paraId="63FE60FE">
      <w:pPr>
        <w:numPr>
          <w:ilvl w:val="0"/>
          <w:numId w:val="51"/>
        </w:numP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对植物多样性的影响</w:t>
      </w:r>
    </w:p>
    <w:p w14:paraId="0E32DBF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主要任务是：防洪、供水、灌溉、水土保持、生态修复等，主要专项规划包括防洪减灾规划、水资源开发规划、水资源保护与生态修复规划、水土保持规划及综合管理规划。规划实施对陆生植被的不利影响主要在于：①工程占地直接导致植被和植物生物量的减少；②施工活动中机械施工碾压、施工人员踩踏、施工活动产生的扬尘、废水、废气、生活垃圾等会影响植物生命活动。水资源保护与生态修复规划和水土保持规划的实施有利于区域植被和植物的恢复。</w:t>
      </w:r>
    </w:p>
    <w:p w14:paraId="51F7EF25">
      <w:pPr>
        <w:numPr>
          <w:ilvl w:val="0"/>
          <w:numId w:val="52"/>
        </w:numPr>
        <w:bidi w:val="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水资源开发规划对植被的影响</w:t>
      </w:r>
    </w:p>
    <w:p w14:paraId="56946567">
      <w:pPr>
        <w:bidi w:val="0"/>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lang w:val="en-US" w:eastAsia="zh-CN"/>
        </w:rPr>
        <w:t>本次规划在冷龙沟流域规划集供水、灌溉、调蓄于一体的水库一座，水库坝址上游集水面积27.5km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vertAlign w:val="baseline"/>
          <w:lang w:val="en-US" w:eastAsia="zh-CN"/>
        </w:rPr>
        <w:t>，坝址以下集水面积51.5km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vertAlign w:val="baseline"/>
          <w:lang w:val="en-US" w:eastAsia="zh-CN"/>
        </w:rPr>
        <w:t>，采用筑坝成库方案，水库于2025年建成。项目实施期间，工程占地将对地表植被带来破坏，包括植被分布面积的减少，植被生物量和生产力降低。故规划要求在规划项目的环境影响评价阶段开展详细调查，采取优化施工布置、经济补偿、移栽等措施减少对植被的影响，但水库工程总占地不大，整个库区占用面积（包含淹没区及输水工程区）约430亩（0.287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vertAlign w:val="baseline"/>
          <w:lang w:val="en-US" w:eastAsia="zh-CN"/>
        </w:rPr>
        <w:t>）在整个流域内占比很小，因此，不存在因局部植物物种损失而导致植物物种多样性减少或种群消失的现象，对评价范围内植物区系组成变化不会造成明显影响，不会对区域生态系统稳定性构成威胁。</w:t>
      </w:r>
    </w:p>
    <w:p w14:paraId="1AA5224A">
      <w:pPr>
        <w:bidi w:val="0"/>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vertAlign w:val="baseline"/>
          <w:lang w:val="en-US" w:eastAsia="zh-CN"/>
        </w:rPr>
        <w:t>此外，永久占用植被虽然将导致规划区内植被生物量的损失，但由于规划实施期间的永久占地面积相对于整个评价范围面积很小，生物量损失占总生物量的比例也很小，规划实施后可通过异地种树等措施弥补一部分生物量损失。</w:t>
      </w:r>
    </w:p>
    <w:p w14:paraId="66757E9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vertAlign w:val="baseline"/>
          <w:lang w:val="en-US" w:eastAsia="zh-CN"/>
        </w:rPr>
        <w:t>施工活动对水环境、大气环境的负面影响也会间接对植物的生长带来不利影响。如施工废水排放不当，生活垃圾处理不当等，会引起施工区内水环境、土壤环境的变化，进而影响植物的生长。这种影响是潜在的也是缓慢的，影响的程度较小，是规划实施期间加强管理，严格执行各类污染物治理措施，可以将此类影响程度降至最低。</w:t>
      </w:r>
    </w:p>
    <w:p w14:paraId="2D073F6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成蓄水后，其中永久占地335.12亩（枢纽部分264.87亩，淹没区93.1亩），淹没区植被类型以林草地为主。林地和灌丛占用主要面积，约为251.827亩和83.076亩。其中，输水工程区对植被的影响因素主要为灌区水湿条件改变，水源条件得到改善，有利于农业植被的生长繁殖，对于输水工程区内的生态系统的稳定起到积极作用。</w:t>
      </w:r>
    </w:p>
    <w:p w14:paraId="6A4E3E57">
      <w:pPr>
        <w:numPr>
          <w:ilvl w:val="0"/>
          <w:numId w:val="52"/>
        </w:numPr>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防洪减灾规划对植物的影响</w:t>
      </w:r>
    </w:p>
    <w:p w14:paraId="3FD97FD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共规划防洪堤防3km，建设监测、通信及预警系统，制定防灾预案与救灾措施。防洪规划主要影响河堤两侧植被，主要为草地和农田。防洪规划实施后，防洪堤防和护岸工程的拦挡作用，能有效抵御洪水对植被的影响，可减少因崩岸、淹没导致的植物生物量损失，也可为河流两岸农田的丰收、植物生境的稳定起到良好的生态效应，对改善河段生态环境具有积极意义。</w:t>
      </w:r>
    </w:p>
    <w:p w14:paraId="513C0A8C">
      <w:pPr>
        <w:numPr>
          <w:ilvl w:val="0"/>
          <w:numId w:val="52"/>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水土保持规划对植物的影响</w:t>
      </w:r>
    </w:p>
    <w:p w14:paraId="4B41E84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是水土流失较为严重的区域，区域内耕地、疏林、和荒草地相对较多，水土流失较为严重。规划综合治理水土流失面积2004.43hm²，水土保持率达到90%以上，规划工程实施后区域内植被覆盖率将增加，水土流失治理区水源涵养能力将进一步增强，有利于陆生植被的生长。</w:t>
      </w:r>
    </w:p>
    <w:p w14:paraId="6BC23DEC">
      <w:pPr>
        <w:numPr>
          <w:ilvl w:val="0"/>
          <w:numId w:val="51"/>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对重要野生植被的影响</w:t>
      </w:r>
    </w:p>
    <w:p w14:paraId="4A966C2F">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评价区域内无重点保护植物及濒危植物</w:t>
      </w:r>
      <w:r>
        <w:rPr>
          <w:rFonts w:hint="default" w:ascii="Times New Roman" w:hAnsi="Times New Roman" w:cs="Times New Roman"/>
          <w:b w:val="0"/>
          <w:bCs w:val="0"/>
          <w:highlight w:val="none"/>
          <w:lang w:eastAsia="zh-CN"/>
        </w:rPr>
        <w:t>、极小种群</w:t>
      </w:r>
      <w:r>
        <w:rPr>
          <w:rFonts w:hint="default" w:ascii="Times New Roman" w:hAnsi="Times New Roman" w:cs="Times New Roman"/>
          <w:b w:val="0"/>
          <w:bCs w:val="0"/>
          <w:highlight w:val="none"/>
          <w:lang w:val="en-US" w:eastAsia="zh-CN"/>
        </w:rPr>
        <w:t>。但区域内有特有野生植物。</w:t>
      </w:r>
    </w:p>
    <w:p w14:paraId="1B01605A">
      <w:pPr>
        <w:bidi w:val="0"/>
        <w:rPr>
          <w:rFonts w:hint="default" w:ascii="Times New Roman" w:hAnsi="Times New Roman" w:cs="Times New Roman"/>
          <w:b w:val="0"/>
          <w:bCs w:val="0"/>
          <w:highlight w:val="none"/>
          <w:lang w:eastAsia="zh-CN"/>
        </w:rPr>
      </w:pPr>
      <w:r>
        <w:rPr>
          <w:rFonts w:hint="default" w:ascii="Times New Roman" w:hAnsi="Times New Roman" w:cs="Times New Roman"/>
          <w:b w:val="0"/>
          <w:bCs w:val="0"/>
          <w:highlight w:val="none"/>
          <w:lang w:val="en-US" w:eastAsia="zh-CN"/>
        </w:rPr>
        <w:t>根据调查，区域范围内有特有</w:t>
      </w:r>
      <w:r>
        <w:rPr>
          <w:rFonts w:hint="default" w:ascii="Times New Roman" w:hAnsi="Times New Roman" w:cs="Times New Roman"/>
          <w:b w:val="0"/>
          <w:bCs w:val="0"/>
          <w:highlight w:val="none"/>
          <w:lang w:eastAsia="zh-CN"/>
        </w:rPr>
        <w:t>植物</w:t>
      </w:r>
      <w:r>
        <w:rPr>
          <w:rFonts w:hint="eastAsia" w:cs="Times New Roman"/>
          <w:b w:val="0"/>
          <w:bCs w:val="0"/>
          <w:highlight w:val="none"/>
          <w:lang w:eastAsia="zh-CN"/>
        </w:rPr>
        <w:t>19</w:t>
      </w:r>
      <w:r>
        <w:rPr>
          <w:rFonts w:hint="default" w:ascii="Times New Roman" w:hAnsi="Times New Roman" w:cs="Times New Roman"/>
          <w:b w:val="0"/>
          <w:bCs w:val="0"/>
          <w:highlight w:val="none"/>
          <w:lang w:eastAsia="zh-CN"/>
        </w:rPr>
        <w:t>种，这些特有物种多适应四川盆地亚热带湿润气候，在四川盆地广泛分布，它们可能受到规划工程的直接侵占影响，主要是占用植物个体，不会导致特有植物物种在评价区内消失，不会导致特有植物种群植株数量大幅波动。</w:t>
      </w:r>
    </w:p>
    <w:p w14:paraId="1CD2E15F">
      <w:pPr>
        <w:numPr>
          <w:ilvl w:val="0"/>
          <w:numId w:val="51"/>
        </w:numPr>
        <w:bidi w:val="0"/>
        <w:ind w:left="0" w:leftChars="0" w:firstLine="480" w:firstLineChars="20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总结</w:t>
      </w:r>
    </w:p>
    <w:p w14:paraId="087BBDB7">
      <w:pPr>
        <w:bidi w:val="0"/>
        <w:rPr>
          <w:rFonts w:hint="default" w:ascii="Times New Roman" w:hAnsi="Times New Roman" w:cs="Times New Roman"/>
          <w:b/>
          <w:bCs/>
          <w:highlight w:val="none"/>
          <w:lang w:eastAsia="zh-CN"/>
        </w:rPr>
      </w:pPr>
      <w:r>
        <w:rPr>
          <w:rFonts w:hint="default" w:ascii="Times New Roman" w:hAnsi="Times New Roman" w:cs="Times New Roman"/>
          <w:highlight w:val="none"/>
          <w:lang w:eastAsia="zh-CN"/>
        </w:rPr>
        <w:t>规划实施后对植物的影响主要为水库蓄水淹没的影响。规划实施后，水库正常蓄水位以下的植被将被淹没。淹没影响区土地利用类型主要为乔木林地、灌丛和灌草地，根据现场调查，均为常见物种。蓄水后，这些植被将会被淹没，从而对库区植被及植物资源产生不利影响。这种影响虽不可逆，但是由于淹没线以下的植物种类均为区域常见种，分布较为广泛，不存在因局部植物物种损失而导致物种多样性减少或种群消失或灭绝的情况，且本规划实施产生的淹没面积也较小，因此，本规划实施后对植物和植被的影响较小。同时，规划实施后，库区周围的生态环境发生改变，增加库区周围土壤的湿度，改变空气湿度，使库区周围局地气候向潮湿的方向转变，有利于植被类型的恢复、演替和更新，丰富植物种类。</w:t>
      </w:r>
    </w:p>
    <w:p w14:paraId="05CA7C20">
      <w:pPr>
        <w:pStyle w:val="5"/>
        <w:bidi w:val="0"/>
        <w:rPr>
          <w:rFonts w:hint="default"/>
          <w:highlight w:val="none"/>
          <w:lang w:val="en-US" w:eastAsia="zh-CN"/>
        </w:rPr>
      </w:pPr>
      <w:r>
        <w:rPr>
          <w:rFonts w:hint="default"/>
          <w:highlight w:val="none"/>
          <w:lang w:val="en-US" w:eastAsia="zh-CN"/>
        </w:rPr>
        <w:t>对陆生动物的影响</w:t>
      </w:r>
    </w:p>
    <w:p w14:paraId="0C08307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规划包括防洪减灾规划、水资源综合利用规划、水资源保护与生态修复规划、水土保持规划、流域综合管理规划组成。水资源保护生态保护与修复规划和水土保持规划的实施有利于区域生态环境的恢复，为陆生动物提供更合适的生境。防洪减灾规划及水资源综合利用规划实施会对陆生动物的不利影响，主要在于：①工程占地侵占陆生动物的栖息地，主要为两栖动物，使该区域两栖动物的栖息地减少；②施工活动对陆生动物的侵扰影响。</w:t>
      </w:r>
    </w:p>
    <w:p w14:paraId="36B27EFD">
      <w:pPr>
        <w:numPr>
          <w:ilvl w:val="0"/>
          <w:numId w:val="53"/>
        </w:numPr>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规划实施期间对陆生动物的影响</w:t>
      </w:r>
    </w:p>
    <w:p w14:paraId="405A8C4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冷龙沟所在流域海拔高、陆生动物分布较少，工程区动物群落分布与生境分化有着密切关系，主要两栖爬行以陆栖型、树栖型以及林栖傍水型为主。</w:t>
      </w:r>
      <w:r>
        <w:rPr>
          <w:rFonts w:hint="eastAsia" w:cs="Times New Roman"/>
          <w:highlight w:val="none"/>
          <w:lang w:val="en-US" w:eastAsia="zh-CN"/>
        </w:rPr>
        <w:t>规划</w:t>
      </w:r>
      <w:r>
        <w:rPr>
          <w:rFonts w:hint="default" w:ascii="Times New Roman" w:hAnsi="Times New Roman" w:cs="Times New Roman"/>
          <w:highlight w:val="none"/>
          <w:lang w:val="en-US" w:eastAsia="zh-CN"/>
        </w:rPr>
        <w:t>工程永久占地面积较小，评价区外相似的适宜生境丰富，两爬类有一定的趋避能力，因此工程永久占地的影响较为有限。</w:t>
      </w:r>
    </w:p>
    <w:p w14:paraId="5D9AE65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陆生动物的影响主要集中在以下方面：工程施工、土石方开挖及弃渣堆放等活动造成对陆生动物生境的占用和破坏；施工人员及施工机械设备噪声、震动等对动物的惊吓、驱赶、摄食及休息等日常活动造成影响；施工期该区域的陆生脊椎动物的种类和数量将出现暂时的波动。</w:t>
      </w:r>
    </w:p>
    <w:p w14:paraId="46AF3AF1">
      <w:pPr>
        <w:numPr>
          <w:ilvl w:val="0"/>
          <w:numId w:val="54"/>
        </w:numPr>
        <w:bidi w:val="0"/>
        <w:rPr>
          <w:rFonts w:hint="default"/>
          <w:highlight w:val="none"/>
          <w:lang w:val="en-US" w:eastAsia="zh-CN"/>
        </w:rPr>
      </w:pPr>
      <w:r>
        <w:rPr>
          <w:rFonts w:hint="default"/>
          <w:highlight w:val="none"/>
          <w:lang w:val="en-US" w:eastAsia="zh-CN"/>
        </w:rPr>
        <w:t>对两栖类、爬行类动物的影响</w:t>
      </w:r>
    </w:p>
    <w:p w14:paraId="3D3402A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工程占地将直接占用和破坏两栖爬行类的部分栖息地，使其生境片段化，缩小其生存空间，迫使这些动物迁往其他干扰较小的区域。施工期的生产废水、含油废水及生活污水等若事故排放至冷龙沟中，会对工程附近的两栖类栖息动物的活动生境造成污染。施工噪声及施工人员的活动会驱赶区域内的两栖爬行类，使其离开原有生存环境，同时，施工活动产生的废气、粉尘、扬尘等对其也会产生一定负面影响。规划工程在两栖爬行类 动物冬眠期施工也会对其造成直接的个体伤亡。除此之外，施工人员可能对施工区域内有食用价值和经济价值的两栖爬行类动物（主要是蛙类、蛇类）进行捕杀，这会直接减少其个体数量，但该影响可以通过规范施工活动、教育施工人员得到有效的缓解。</w:t>
      </w:r>
    </w:p>
    <w:p w14:paraId="62EA4EF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规划项目实施期间，施工活动等会导致部分两栖爬行类动物个体伤亡，使其向周边相似生境转移，造成规划项目实施范围及周边区域的两栖爬行类动物的分布和种群 数量发生改变，但这种影响是暂时的，并且不会改变其区系组成，也不会造成物种消 失，在规划项目施工结束后这种影响会逐渐减小。</w:t>
      </w:r>
    </w:p>
    <w:p w14:paraId="09CAF196">
      <w:pPr>
        <w:numPr>
          <w:ilvl w:val="0"/>
          <w:numId w:val="54"/>
        </w:numPr>
        <w:bidi w:val="0"/>
        <w:rPr>
          <w:rFonts w:hint="default"/>
          <w:highlight w:val="none"/>
          <w:lang w:val="en-US" w:eastAsia="zh-CN"/>
        </w:rPr>
      </w:pPr>
      <w:r>
        <w:rPr>
          <w:rFonts w:hint="default"/>
          <w:highlight w:val="none"/>
          <w:lang w:val="en-US" w:eastAsia="zh-CN"/>
        </w:rPr>
        <w:t>对鸟类的影响</w:t>
      </w:r>
    </w:p>
    <w:p w14:paraId="0603A461">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实施期间施工占地占用其生境，对其有一定的影响，但由于施工占用面积相对较小，且周围相似生境较多，鸟类多善于飞翔，因此对其影响不大，但规划实施期间的施工噪声及人为干扰将对其造成一定影响。鸟类对噪声及人类的活动较为敏感，规划实施期间，受施工噪声及人为干扰影响，部分机警胆怯的森林鸟类会远离施工区。另外，规划项目施工带来的局部水体污染与噪声将驱赶这些鸟类到其它河段活动。</w:t>
      </w:r>
    </w:p>
    <w:p w14:paraId="4222EFB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总的来说，规划工程施工期对鸟类的直接影响主要是占地、噪声及人为猎捕的影响，间接影响主要是施工活动造成工程区部分鸟类食物的变化，进而对其觅食产生影响。</w:t>
      </w:r>
    </w:p>
    <w:p w14:paraId="692FE70B">
      <w:pPr>
        <w:numPr>
          <w:ilvl w:val="0"/>
          <w:numId w:val="54"/>
        </w:numPr>
        <w:bidi w:val="0"/>
        <w:rPr>
          <w:rFonts w:hint="default"/>
          <w:highlight w:val="none"/>
          <w:lang w:val="en-US" w:eastAsia="zh-CN"/>
        </w:rPr>
      </w:pPr>
      <w:r>
        <w:rPr>
          <w:rFonts w:hint="default"/>
          <w:highlight w:val="none"/>
          <w:lang w:val="en-US" w:eastAsia="zh-CN"/>
        </w:rPr>
        <w:t>对兽类的影响</w:t>
      </w:r>
    </w:p>
    <w:p w14:paraId="10C36DB5">
      <w:pPr>
        <w:bidi w:val="0"/>
        <w:rPr>
          <w:rFonts w:hint="default" w:ascii="Times New Roman" w:hAnsi="Times New Roman" w:cs="Times New Roman"/>
          <w:highlight w:val="none"/>
          <w:lang w:val="en-US" w:eastAsia="zh-CN"/>
        </w:rPr>
      </w:pPr>
      <w:r>
        <w:rPr>
          <w:rFonts w:hint="default"/>
          <w:highlight w:val="none"/>
          <w:lang w:val="en-US" w:eastAsia="zh-CN"/>
        </w:rPr>
        <w:t>规划范围内兽类以森林、灌丛等生境中分布的物种如野猪、岩松鼠和高原鼠兔等为主，</w:t>
      </w:r>
      <w:r>
        <w:rPr>
          <w:rFonts w:hint="default" w:ascii="Times New Roman" w:hAnsi="Times New Roman" w:cs="Times New Roman"/>
          <w:highlight w:val="none"/>
          <w:lang w:val="en-US" w:eastAsia="zh-CN"/>
        </w:rPr>
        <w:t>规划实施对小型兽类的主要影响是工程占地对栖息地的破坏，破坏它们的地下巢穴，机械振动和人员活动影响其活动范围。施工噪声会使习惯于在此区域活动的哺乳类受到惊扰而远离该区域，迁往它处生活，导致该区域哺乳类多样性降低，施工开挖动土会侵占部分小型鼠类和属兔类的栖息环境，但小型兽类都具有较强的适应能力、繁殖快，施工不会使它们的种群数量发生明显波动。</w:t>
      </w:r>
    </w:p>
    <w:p w14:paraId="245F390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总体来说，规划实施期间，对兽类的主要影响体现为驱赶效应，驱使其避开工程影响较为严重的区域，造成局部区域种内、种间竞争加剧。</w:t>
      </w:r>
    </w:p>
    <w:p w14:paraId="109F33A7">
      <w:pPr>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2、规划实施后对陆生动物的影响</w:t>
      </w:r>
    </w:p>
    <w:p w14:paraId="71E560C4">
      <w:pPr>
        <w:bidi w:val="0"/>
        <w:rPr>
          <w:rFonts w:hint="default"/>
          <w:highlight w:val="none"/>
          <w:lang w:val="en-US" w:eastAsia="zh-CN"/>
        </w:rPr>
      </w:pPr>
      <w:r>
        <w:rPr>
          <w:rFonts w:hint="default"/>
          <w:highlight w:val="none"/>
          <w:lang w:val="en-US" w:eastAsia="zh-CN"/>
        </w:rPr>
        <w:t>（1）对两栖动物的影响</w:t>
      </w:r>
    </w:p>
    <w:p w14:paraId="5A4E08E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开发利用规划实施后，水库蓄水占用林地及灌草丛，原栖息于此的部分野生动物生境减少，使其栖息活动受到一定影响，主要是半地下生活型和地面生活型哺乳类。大多数野生动物都会随着水库蓄水水位的逐步抬升，向水库周边的高海拔区域迁移，规避水库蓄水带来的不利影响。加上评价区内相似的生境较多，它们会向周围相似生境顺利转移，因此水库蓄水淹没对陆生动物栖息和觅食影响较小。</w:t>
      </w:r>
    </w:p>
    <w:p w14:paraId="629AB38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成蓄水后，库区水域面积增加较大，为静水型两栖动物提供了适宜的生境。库区周边潮湿的环境有利于植物的生长，岸边生境的改善对适应这一区域的动物的栖息和觅食有利。此外对游禽、涉禽等类型的鸟类，有一定的招引作用。爬行类和小型哺乳动物，受水库淹没影响，在蓄水初期他们会向其他合适的生境中迁移，经过一段时间的调节后，其种群密度将达到新的平衡状态。</w:t>
      </w:r>
    </w:p>
    <w:p w14:paraId="3D909E8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水库大坝蓄水形成一定面积的水域，成为人工湿地，为湿地动物如水鸟等提供了生存条件，在库区和库周会增加多种适合湿地环境的动物物种，提高局部区域的生物多样性价值，增加了水域的综合功能。</w:t>
      </w:r>
    </w:p>
    <w:p w14:paraId="322C0EEA">
      <w:pPr>
        <w:bidi w:val="0"/>
        <w:rPr>
          <w:rFonts w:hint="default"/>
          <w:highlight w:val="none"/>
          <w:lang w:val="en-US" w:eastAsia="zh-CN"/>
        </w:rPr>
      </w:pPr>
      <w:r>
        <w:rPr>
          <w:rFonts w:hint="default"/>
          <w:highlight w:val="none"/>
          <w:lang w:val="en-US" w:eastAsia="zh-CN"/>
        </w:rPr>
        <w:t>（2）对鸟类的影响</w:t>
      </w:r>
    </w:p>
    <w:p w14:paraId="25A038C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成后，水库淹没对陆禽、攀禽、鸣禽等鸟类存在栖息地淹没影响，这些鸟类因栖息地丧失将向流域范围内其它区域迁移，但水域面积增加，将吸引涉禽、水禽，在水库蓄水后，这些类型的种类和数量也将会有明显地增加。猛禽活动范围大，飞翔能力强，即使受到占地或淹没影响，一般也很快逃避不利环境，因此规划实施对猛禽的影响较小。防洪规划实施后，能有效防治洪水，保护动物生境，其生态正效应大于负效应。</w:t>
      </w:r>
    </w:p>
    <w:p w14:paraId="2FAED6EF">
      <w:pPr>
        <w:bidi w:val="0"/>
        <w:rPr>
          <w:rFonts w:hint="default"/>
          <w:highlight w:val="none"/>
          <w:lang w:val="en-US" w:eastAsia="zh-CN"/>
        </w:rPr>
      </w:pPr>
      <w:r>
        <w:rPr>
          <w:rFonts w:hint="default"/>
          <w:highlight w:val="none"/>
          <w:lang w:val="en-US" w:eastAsia="zh-CN"/>
        </w:rPr>
        <w:t>（3）对兽类的影响</w:t>
      </w:r>
    </w:p>
    <w:p w14:paraId="5A95277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随着防洪减灾规划、水资源综合利用规划、水资源保护与生态修复规划、水土保持规划、流域综合管理规划的实施，能够改善评价区域的总体生态环境，为兽类动物提供良好的生存环境，增加评价区域的兽类动物数量。</w:t>
      </w:r>
    </w:p>
    <w:p w14:paraId="79A1DD93">
      <w:pPr>
        <w:pStyle w:val="4"/>
        <w:bidi w:val="0"/>
        <w:rPr>
          <w:rFonts w:hint="default"/>
          <w:highlight w:val="none"/>
          <w:lang w:val="en-US" w:eastAsia="zh-CN"/>
        </w:rPr>
      </w:pPr>
      <w:r>
        <w:rPr>
          <w:rFonts w:hint="default"/>
          <w:highlight w:val="none"/>
          <w:lang w:val="en-US" w:eastAsia="zh-CN"/>
        </w:rPr>
        <w:t>对水生生态的影响</w:t>
      </w:r>
    </w:p>
    <w:p w14:paraId="5556390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规划对水生生态的主要影响途径为：防洪规划中的堤防建设施工期扰动影响及河道沿岸带基质变化产生的影响。堤防建设施工期扰动影响属于短期影响，运行期堤防工程和护岸工程虽然对水域的水位和流速产生影响，但影响较小。</w:t>
      </w:r>
    </w:p>
    <w:p w14:paraId="4FAE97B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与生态修复规划实施后，对冷龙沟流域提出了保护措施，并对流域下泄生态水量提出了要求，以保障为河道内生态环境、重要湿地提供一定的水资源条件，对流域内水生生境产生有利影响。冷龙沟流域不涉及鱼类，对水生生态影响主要是对底栖生物和浮游生物的影响。</w:t>
      </w:r>
    </w:p>
    <w:p w14:paraId="5D5015FB">
      <w:pPr>
        <w:pStyle w:val="5"/>
        <w:bidi w:val="0"/>
        <w:rPr>
          <w:rFonts w:hint="default"/>
          <w:highlight w:val="none"/>
          <w:lang w:val="en-US" w:eastAsia="zh-CN"/>
        </w:rPr>
      </w:pPr>
      <w:r>
        <w:rPr>
          <w:rFonts w:hint="default"/>
          <w:highlight w:val="none"/>
          <w:lang w:val="en-US" w:eastAsia="zh-CN"/>
        </w:rPr>
        <w:t>对水生生境的影响</w:t>
      </w:r>
    </w:p>
    <w:p w14:paraId="0451623A">
      <w:pPr>
        <w:numPr>
          <w:ilvl w:val="0"/>
          <w:numId w:val="55"/>
        </w:numPr>
        <w:bidi w:val="0"/>
        <w:rPr>
          <w:rFonts w:hint="default"/>
          <w:highlight w:val="none"/>
          <w:lang w:val="en-US" w:eastAsia="zh-CN"/>
        </w:rPr>
      </w:pPr>
      <w:r>
        <w:rPr>
          <w:rFonts w:hint="default"/>
          <w:highlight w:val="none"/>
          <w:lang w:val="en-US" w:eastAsia="zh-CN"/>
        </w:rPr>
        <w:t>防洪减灾工程</w:t>
      </w:r>
    </w:p>
    <w:p w14:paraId="52BB7BA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规划防洪减灾工程约3.45公里，建设实施过程中，涉水工程施工期将扰动施工水域，使施工区局部边坡硬化，影响浮游动物河启底栖动物的，但其影响是暂时性、可逆影响。工程施工完成后初期阶段，局部河床底质将会发生改变，底栖动物、水生植物等的着生空间减少，栖息环境的稳定性将降低，但随着时间的推移，沿岸带生物群落的不断演替，预计经历2~3个洪水期后其不利影响将得到缓解。</w:t>
      </w:r>
    </w:p>
    <w:p w14:paraId="609D550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堤防工程实施后将改变原有沿岸带岸坡结构，河岸基底条件发生改变，沿岸带水生生境多样性降低；河道硬化后使原有河流与洪泛区的横向连通性降低，汛期水生生境空间将有所减少，水生生物的索饵空间有所减少。</w:t>
      </w:r>
    </w:p>
    <w:p w14:paraId="7B22F88F">
      <w:pPr>
        <w:bidi w:val="0"/>
        <w:rPr>
          <w:rFonts w:hint="default"/>
          <w:highlight w:val="none"/>
          <w:lang w:val="en-US" w:eastAsia="zh-CN"/>
        </w:rPr>
      </w:pPr>
      <w:r>
        <w:rPr>
          <w:rFonts w:hint="default"/>
          <w:highlight w:val="none"/>
          <w:lang w:val="en-US" w:eastAsia="zh-CN"/>
        </w:rPr>
        <w:t>（2）水资源开发利用工程--水库</w:t>
      </w:r>
    </w:p>
    <w:p w14:paraId="012F7C4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冷龙沟流域干流中上游规划集饮水、灌溉、调蓄于一体的水库一座。水库大坝的建设将对水生生境造成不可逆的影响。</w:t>
      </w:r>
    </w:p>
    <w:p w14:paraId="4FEBE34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设期间，施工期间的生产废水、生活污水如不经处理而直接排放，固体废弃物、生活垃圾等如不集中防护和处理，将对水体造成一定程度的污染，主要是具有较高悬浮物浓度而使水体透明度下降，pH值呈弱碱性，并带有少量的油污。施工期间浮游生物的密度和数量将有所下降。施工期间的生产废水集中收集沉淀和除渣后尽量循环使用不排放，生活污水严格处理后达标排放，工程施工产生的弃土合理堆放和处理，生活垃圾等固体废弃物等也集中收集和处置，对工程区河段水质影响较小，对浮游生物的种类不会造成明显的影响。不过，由于施工期间部分区段的临时围堰、开挖等，必然导致局部水域变浑浊或pH改变，这些区域浮游生物的生物量将有所下降，部分种群的密度和数量将下降。但将随施工结束而逐步恢复。</w:t>
      </w:r>
    </w:p>
    <w:p w14:paraId="332F117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成蓄水后，正常运行期间，坝上形成库区河段，流速从库尾向坝前逐渐减小，水体流态由急流态转为缓流态。坝下水文情势受水库补水的影响，虽改变了天然流量过程，但通过合理设置下泄流量，坝下水生生态环境的影响可得到一定程度的缓解。</w:t>
      </w:r>
    </w:p>
    <w:p w14:paraId="6F25578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成后，河段的水体流态、流速、深度、面积、水的理化特性、河床底质等均将发生不同程度的变化。在库区范围内生活的鱼类、底栖等生物的种群、数量分布等都会有所变化，并随着水库的稳定运行逐渐趋于稳定。</w:t>
      </w:r>
    </w:p>
    <w:p w14:paraId="0B390EDD">
      <w:pPr>
        <w:bidi w:val="0"/>
        <w:rPr>
          <w:rFonts w:hint="default"/>
          <w:highlight w:val="none"/>
          <w:lang w:val="en-US" w:eastAsia="zh-CN"/>
        </w:rPr>
      </w:pPr>
      <w:r>
        <w:rPr>
          <w:rFonts w:hint="default"/>
          <w:highlight w:val="none"/>
          <w:lang w:val="en-US" w:eastAsia="zh-CN"/>
        </w:rPr>
        <w:t>（3）水资源保护与水生态修复规划</w:t>
      </w:r>
    </w:p>
    <w:p w14:paraId="0E7A87B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与水生态修复规划的实施将对流域水生生境产生有利影响，具体表现为：水资源保护规划实施后将改善水质，满足重要河流的生态基流要求，维护河道水生生境条件的稳定；水生态保护规划实施后将维护冷龙沟流域的纵向连通性，保护流水型水生生境，减缓水资源开发利用对鱼类重要生境的影响，维护流域水生态系统的完整性，促进水资源利用、保护和水生态系统的良性循环，因此对水生生境具有促进作用。</w:t>
      </w:r>
    </w:p>
    <w:p w14:paraId="6BEFA60C">
      <w:pPr>
        <w:pStyle w:val="5"/>
        <w:bidi w:val="0"/>
        <w:rPr>
          <w:rFonts w:hint="default"/>
          <w:highlight w:val="none"/>
          <w:lang w:val="en-US" w:eastAsia="zh-CN"/>
        </w:rPr>
      </w:pPr>
      <w:r>
        <w:rPr>
          <w:rFonts w:hint="default"/>
          <w:highlight w:val="none"/>
          <w:lang w:val="en-US" w:eastAsia="zh-CN"/>
        </w:rPr>
        <w:t>对浮游生物的影响</w:t>
      </w:r>
    </w:p>
    <w:p w14:paraId="561A1623">
      <w:pP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1、对浮游植物的影响</w:t>
      </w:r>
    </w:p>
    <w:p w14:paraId="6D25CBDD">
      <w:pPr>
        <w:bidi w:val="0"/>
        <w:rPr>
          <w:rFonts w:hint="default"/>
          <w:highlight w:val="none"/>
          <w:lang w:val="en-US" w:eastAsia="zh-CN"/>
        </w:rPr>
      </w:pPr>
      <w:r>
        <w:rPr>
          <w:rFonts w:hint="default"/>
          <w:highlight w:val="none"/>
          <w:lang w:val="en-US" w:eastAsia="zh-CN"/>
        </w:rPr>
        <w:t>（1）防洪减灾工程</w:t>
      </w:r>
    </w:p>
    <w:p w14:paraId="7BED092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期生产废水、混凝土拌和系统冲洗废水、机修保养废水、基坑排水和施工人员的生活污水若不经处理而直接排放，将会使施工区附近河段的水体具有较高浓度的悬浮物而使水体透明度下降、pH值呈弱碱性并带有少量的油污，对水体造成一定程度的污染，从而使得局部水域中硅藻、绿藻等喜洁净水体种类的密度和数量将下降，蓝藻等的种类和数量增加。</w:t>
      </w:r>
    </w:p>
    <w:p w14:paraId="7AA3D41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涉水工程施工将会对河流水体造成一定的扰动，导致悬浮物浓度增加，水体透明度下降，影响浮游藻类的光合作用，从而导致浮游藻类的生物量及种类数量的降低。</w:t>
      </w:r>
    </w:p>
    <w:p w14:paraId="1CB6362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工程施工结束后，浮游植物的种类和密度逐渐恢复。</w:t>
      </w:r>
    </w:p>
    <w:p w14:paraId="36C2353B">
      <w:pPr>
        <w:numPr>
          <w:ilvl w:val="0"/>
          <w:numId w:val="55"/>
        </w:numPr>
        <w:bidi w:val="0"/>
        <w:rPr>
          <w:rFonts w:hint="default"/>
          <w:highlight w:val="none"/>
          <w:lang w:val="en-US" w:eastAsia="zh-CN"/>
        </w:rPr>
      </w:pPr>
      <w:r>
        <w:rPr>
          <w:rFonts w:hint="default"/>
          <w:highlight w:val="none"/>
          <w:lang w:val="en-US" w:eastAsia="zh-CN"/>
        </w:rPr>
        <w:t>水资源开发利用工程</w:t>
      </w:r>
    </w:p>
    <w:p w14:paraId="1CA78F2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期间的生产废水、生活污水如不经处理而直接排放，固体废弃物、生活垃圾等如不集中防护和处理，将对水体造成一定程度的污染，主要是具有较高悬浮物浓度而使水体透明度下降，pH值呈弱碱性，并带有少量的油污。这将使施工期间浮游植物的密度和数量下降。施工期间的生产废水集中收集沉淀和除渣后尽量循环使用不排放，生活污水严格处理后达标排放，工程施工产生的弃土合理堆放和处理，生活垃圾等固体废弃物等也集中收集和处置，对工程区河段水质影响较小，对浮游植物的种类不会造成明显的影响。不过，由于施工期间部分区段的临时围堰、开挖等，必然导致局部水域变浑浊或pH改变，这些区域浮游植物的生物量将有所下降，硅藻门、绿藻门等喜洁净水体的种类的密度和数量将下降，而蓝藻等种类的密度和数量将有所上升，水体中浮游植物的 生物量总体下降 。但将随施工结束而逐步恢复。</w:t>
      </w:r>
    </w:p>
    <w:p w14:paraId="164C09AF">
      <w:pPr>
        <w:numPr>
          <w:ilvl w:val="0"/>
          <w:numId w:val="53"/>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浮游动物的影响</w:t>
      </w:r>
    </w:p>
    <w:p w14:paraId="10ABB45E">
      <w:pPr>
        <w:numPr>
          <w:ilvl w:val="0"/>
          <w:numId w:val="56"/>
        </w:numPr>
        <w:bidi w:val="0"/>
        <w:rPr>
          <w:rFonts w:hint="default"/>
          <w:highlight w:val="none"/>
          <w:lang w:val="en-US" w:eastAsia="zh-CN"/>
        </w:rPr>
      </w:pPr>
      <w:r>
        <w:rPr>
          <w:rFonts w:hint="default"/>
          <w:highlight w:val="none"/>
          <w:lang w:val="en-US" w:eastAsia="zh-CN"/>
        </w:rPr>
        <w:t>防洪减灾工程</w:t>
      </w:r>
    </w:p>
    <w:p w14:paraId="180C7E0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减灾工程中的堤防建设围堰和其他涉水工程的施工、基础开挖、堤身填筑等涉水规模较小，会对河流水体的扰动，造成施工区附近河段水体的浑浊，这些区域浮游动物的生物量将有所下降，但将随施工结束而恢复。</w:t>
      </w:r>
    </w:p>
    <w:p w14:paraId="1A98CF6E">
      <w:pPr>
        <w:numPr>
          <w:ilvl w:val="0"/>
          <w:numId w:val="56"/>
        </w:numPr>
        <w:bidi w:val="0"/>
        <w:rPr>
          <w:rFonts w:hint="default"/>
          <w:highlight w:val="none"/>
          <w:lang w:val="en-US" w:eastAsia="zh-CN"/>
        </w:rPr>
      </w:pPr>
      <w:r>
        <w:rPr>
          <w:rFonts w:hint="default"/>
          <w:highlight w:val="none"/>
          <w:lang w:val="en-US" w:eastAsia="zh-CN"/>
        </w:rPr>
        <w:t>水资源开发利用工程</w:t>
      </w:r>
    </w:p>
    <w:p w14:paraId="342CBF0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大坝等工程施工期间会产生大量生产和生活废水，按照环保要求严格处理达标排放，其对河流水质的影响不大。施工期间，施工活动对水体的扰动使施工河段及其下游水体透明度降低及溶解氧下降，短期内可造成施工河段部分水体和下游部分水体水质变差，使适应性强、耐污性及耐低氧浮游动物种类增加，但整体浮游动物的生物量有所下降，随施工结束而逐步恢复。</w:t>
      </w:r>
    </w:p>
    <w:p w14:paraId="6DB4431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蓄水后，库区河段水体环境由河流生态型向水库生态型转化，深度增加、水面扩大、透明度提高。淹没区植被、土壤内营养物质渗出，导致库区水体有机物质及营养盐增加，加上流速减缓，泥沙沉降，滞留时间长，导致营养物质的滞留和积累，这些条件的改变都有利于浮游动物的生长与繁殖。随着浮游植物总量和水体总的初级生产力升高，浮游动物的变化趋势是：浮游类的原生动物和轮虫类的种类与数量将逐渐增加，在浅水近岸带将出现一部分喜有机质的种类，原微流水生态的河道中枝角类和桡足类在种类上变化不大，生物量会有一定程度地增加。而坝下河段由于水流量减小，水体浅，但水质的变化在运行期间不会太大，浮游动物的数量和种类的变化不明显。</w:t>
      </w:r>
    </w:p>
    <w:p w14:paraId="009C534A">
      <w:pPr>
        <w:numPr>
          <w:ilvl w:val="0"/>
          <w:numId w:val="53"/>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底栖动物的影响</w:t>
      </w:r>
    </w:p>
    <w:p w14:paraId="0ACEA062">
      <w:pPr>
        <w:bidi w:val="0"/>
        <w:rPr>
          <w:rFonts w:hint="default"/>
          <w:highlight w:val="none"/>
          <w:lang w:val="en-US" w:eastAsia="zh-CN"/>
        </w:rPr>
      </w:pPr>
      <w:r>
        <w:rPr>
          <w:rFonts w:hint="default"/>
          <w:highlight w:val="none"/>
          <w:lang w:val="en-US" w:eastAsia="zh-CN"/>
        </w:rPr>
        <w:t>（1）防洪减灾工程</w:t>
      </w:r>
    </w:p>
    <w:p w14:paraId="5CC0C60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工程的施工活动会导致水体混浊和可能的水体污染，使那些喜洁净水体的蜉蝣等逃离施工水域，其种群密度将大大降低。施工引起的水体扰动也可能使沿岸缓流水滩上的砾石被污泥覆盖，直接影响水生底栖无脊椎动物的生存和繁衍。与浮游植物、浮游动物不同，除固着于岩石等坚硬的基体上和埋没于泥沙等松软的基底中定居的底栖动物以外，活动生活的种类会因为水环境的污染而发生驱离。</w:t>
      </w:r>
    </w:p>
    <w:p w14:paraId="57BD709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工程竣工后，经过一定时间的自然恢复，如果不出现新的危险因素，底栖生物的物种多样性和种群规模将逐步得到恢复。而硬化的河岸边坡将永久占用底栖动物栖息环境。</w:t>
      </w:r>
    </w:p>
    <w:p w14:paraId="6E0DC43C">
      <w:pPr>
        <w:bidi w:val="0"/>
        <w:rPr>
          <w:rFonts w:hint="default"/>
          <w:highlight w:val="none"/>
          <w:lang w:val="en-US" w:eastAsia="zh-CN"/>
        </w:rPr>
      </w:pPr>
      <w:r>
        <w:rPr>
          <w:rFonts w:hint="default"/>
          <w:highlight w:val="none"/>
          <w:lang w:val="en-US" w:eastAsia="zh-CN"/>
        </w:rPr>
        <w:t>（2）水资源开发利用工程</w:t>
      </w:r>
    </w:p>
    <w:p w14:paraId="7024DFD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期间，水库工程施工会造成施工区河段底质发生变动，底栖动物原有的栖息地破坏，生境缩小，生物量减少，但是工程竣工后，经过一定时间的自然恢复，如果不出现新的致危因素，底栖生物的资源将逐步得到恢复。</w:t>
      </w:r>
    </w:p>
    <w:p w14:paraId="2B74583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库区河段现存底栖动物以蜉蝣目的四节蜉，襀翅目的短尾石蝇、大石蝇为主。水库蓄水后，库区河段水位抬升，水体流速变缓，泥沙沉积加剧，坝前和库中区域表现为湖泊特征，库尾区域接近自然河流状态，预计随着水文情势的改变，在坝前和库中水域，原有的喜流水性种类如蜉蝣目将消失，寡毛类将出现，并成为明显优势种群，底栖动物密度和生物量较前将大幅提升。库尾浅滩砾石上的着生藻类生长，使生活在石底、缝隙间的底栖动物有较多的食物来源和隐蔽场所，因此，库尾底栖动物数量也有上升的趋势。整体而言，由于水深较大，底栖动物增加的幅度不会太大。受水深和流速的影响，底栖动物的分布不均匀，预计在库湾、入库支流等较浅的地方，底栖生物量会比较丰富，同时，坝前和库中适应于缓流水和静水的软体动物和摇蚊幼虫的种类和生物量将增加。</w:t>
      </w:r>
    </w:p>
    <w:p w14:paraId="5BC9439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减水河段底栖动物种类组成原本就比较简单。同时，由于水流量小，水体浅，但水质的变化在运行期间不会太大，底栖动物的数量和种类的也不会发生明显变化。</w:t>
      </w:r>
    </w:p>
    <w:p w14:paraId="5A2D30CF">
      <w:pPr>
        <w:pStyle w:val="5"/>
        <w:bidi w:val="0"/>
        <w:rPr>
          <w:rFonts w:hint="default"/>
          <w:highlight w:val="none"/>
          <w:lang w:val="en-US" w:eastAsia="zh-CN"/>
        </w:rPr>
      </w:pPr>
      <w:r>
        <w:rPr>
          <w:rFonts w:hint="default"/>
          <w:highlight w:val="none"/>
          <w:lang w:val="en-US" w:eastAsia="zh-CN"/>
        </w:rPr>
        <w:t>对鱼类的影响分析</w:t>
      </w:r>
    </w:p>
    <w:p w14:paraId="5C59E105">
      <w:pPr>
        <w:numPr>
          <w:ilvl w:val="0"/>
          <w:numId w:val="57"/>
        </w:numPr>
        <w:bidi w:val="0"/>
        <w:rPr>
          <w:rFonts w:hint="default"/>
          <w:highlight w:val="none"/>
          <w:lang w:val="en-US" w:eastAsia="zh-CN"/>
        </w:rPr>
      </w:pPr>
      <w:r>
        <w:rPr>
          <w:rFonts w:hint="default"/>
          <w:highlight w:val="none"/>
          <w:lang w:val="en-US" w:eastAsia="zh-CN"/>
        </w:rPr>
        <w:t>防洪减灾工程</w:t>
      </w:r>
    </w:p>
    <w:p w14:paraId="462EBC1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期间临时围堰的施工、拆除以及边坡的开挖等活动，加上施工机械噪音等，将使这一评价河段的鱼类远离施工区域。项目工程涉水施工中，水体搅动、噪声及震动等将使施工点及附近一定范围内的鱼类消失，造成惊吓而逃离，游向水的更深处或其他区域，造成该区域内物种在短时间内有所减少。施工结束后，施工干扰消除，其种群数量会趋于恢复，回到原来的栖息地中生活。</w:t>
      </w:r>
    </w:p>
    <w:p w14:paraId="24829BC5">
      <w:pPr>
        <w:numPr>
          <w:ilvl w:val="0"/>
          <w:numId w:val="57"/>
        </w:numPr>
        <w:bidi w:val="0"/>
        <w:rPr>
          <w:rFonts w:hint="default"/>
          <w:highlight w:val="none"/>
          <w:lang w:val="en-US" w:eastAsia="zh-CN"/>
        </w:rPr>
      </w:pPr>
      <w:r>
        <w:rPr>
          <w:rFonts w:hint="default"/>
          <w:highlight w:val="none"/>
          <w:lang w:val="en-US" w:eastAsia="zh-CN"/>
        </w:rPr>
        <w:t>水资源开发利用工程</w:t>
      </w:r>
    </w:p>
    <w:p w14:paraId="6471B9EF">
      <w:pPr>
        <w:numPr>
          <w:ilvl w:val="0"/>
          <w:numId w:val="0"/>
        </w:numPr>
        <w:bidi w:val="0"/>
        <w:ind w:left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1、蓄水期影响</w:t>
      </w:r>
    </w:p>
    <w:p w14:paraId="27DAC5A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初期蓄水会造成坝下河段短期减水和鱼类栖息生境缩减，形成减水河段，使下游河段水量减少，导致下游河段浮游植物、浮游动物、底栖动物的种类和密度等可能下降，因而坝下河段鱼类的分布将可能发生改变，一些较大个体可能向下游迁移，坝下河段鱼类的资源量也将减少。但是本次调查中，在坝址至汇合口的干流区段均未采集到鱼类，因此水库的蓄水对鱼类的影响较小。</w:t>
      </w:r>
    </w:p>
    <w:p w14:paraId="51872A9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2、大坝阻隔影响</w:t>
      </w:r>
    </w:p>
    <w:p w14:paraId="505A034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大坝修建后，原生态系统的连续性和完整性被破坏。水库将破坏原有河流的生态连续体系，不仅阻隔鱼类的通道，对短距离洄游或非洄游性鱼类也有很强的阻隔效应。有研究和事实证明，由于水库坝址的修建，完整河流的水生环境被分割成不同的片段，鱼类的生境的片断化和破碎化导致形成大小不同的异质种群，种群之间的基因交流困难，使得鱼类的各个群落受到不同程度的影响。种群数量较大的鱼类种群之间出现遗传分化，种群数量相对较小的鱼类将逐步丧失遗传多样性，危及物种长期生存，导致地域性种群灭绝的概率增加。</w:t>
      </w:r>
    </w:p>
    <w:p w14:paraId="32A5F81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显示，乡城县附近河段的鱼类主要为一些鳅科及裂腹鱼等中小型种类，无长距离洄游习性。仅裂腹鱼鱼类具有短距离洄游习性。但是在坝址上游未发现裂腹鱼的三场。而且由于坝址上游均为小溪沟，水体较小，本次也未在冷龙沟流域采集到鱼类，因此基本不存在对鱼类的上溯阻隔效应。</w:t>
      </w:r>
    </w:p>
    <w:p w14:paraId="13BAE5E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即使坝址上存在着的一些鱼类，可在库尾流水河段、库区支流汇口河段完成生活史；或阻隔于坝下的鱼类，由于坝下仍是流水生境，具备河段原分布鱼类生存的基本条件。因此，水库大坝的阻隔影响，不会导致原分布于该河段的鱼类完成生活史的基本条件丧失，坝址下游鱼类可往下游寻找合适的三场。但是水生调查中，在坝址至汇合口的干流区段均未采集到鱼类。因此，预测工程建设对鱼类的影响相对较小。</w:t>
      </w:r>
    </w:p>
    <w:p w14:paraId="0C715C8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3、库区、坝下水文情势变化对鱼类的影响</w:t>
      </w:r>
    </w:p>
    <w:p w14:paraId="4CB6C52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目前，水库库区在枯水季节河道天然生境主要是流水浅滩为主，其间分布少量凼、湾、沱环境。该河段分布鱼类经过长期的生活史已经适应山间溪流生境。水库建成后，坝址以上的库区河段流速均不同程度的减缓，越靠近坝址减缓程度越明显。建库后库区河段水位较原有水位有不同程度的抬升，越靠近坝址抬升程度越大。库区坝前及库中水位抬高，水深增加，水面增大，水流变缓，水文情势变化幅度较大。坝前水域水深面阔，水流缓慢甚至是静水，呈现湖泊特征，为水库湖泊段。水库库尾附近水域介于河流段和湖泊段之间，属于过渡段。</w:t>
      </w:r>
    </w:p>
    <w:p w14:paraId="3472E8F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建成后，库区河段水体环境由河流生态型向水库生态型转化，水面扩大，容量增加，饵料生物得以发展，适应缓流水生境的浮游动植物、底栖动物等种群数量将会明显增加。但由于水生调查中，在坝址至汇合口的干流区段均未发现到鱼类。因此，水库建成后库区中可能没有鱼类或鱼类数量很少，水库建成后对鱼类的影响相对较小。</w:t>
      </w:r>
    </w:p>
    <w:p w14:paraId="6C9204E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运行后，其主要功能为蓄水引水，并兼顾灌溉、饮用水功能，尤其在枯水季节和供水量大的时期将使水库下游河道的流量较少，尼色拥水库至冷龙沟与硕曲河汇口处之间11.17km河道将成为季节性减水河段。但在下泄一定的生态流量后，可保持下游河道内常年处于流水状态；同时，在水库坝址下游5.82km处左岸有较大支沟巨美</w:t>
      </w:r>
      <w:r>
        <w:rPr>
          <w:rFonts w:hint="eastAsia" w:cs="Times New Roman"/>
          <w:highlight w:val="none"/>
          <w:lang w:val="en-US" w:eastAsia="zh-CN"/>
        </w:rPr>
        <w:t>拥</w:t>
      </w:r>
      <w:r>
        <w:rPr>
          <w:rFonts w:hint="default" w:ascii="Times New Roman" w:hAnsi="Times New Roman" w:cs="Times New Roman"/>
          <w:highlight w:val="none"/>
          <w:lang w:val="en-US" w:eastAsia="zh-CN"/>
        </w:rPr>
        <w:t>汇入，河道左右两岸有地下水及小支沟汇入，减水河段水深及河宽逐渐增加，在减水河段末端基本恢复至天然情况。水库生态流量下泄，一定程度上能满足该河段鱼类栖息的流量要求，该河段仍然保持流水特征，不会出现脱水河段，喜流水的种类仍然能在此河段栖息。同时库区、坝下并未发现鱼类调查中未发现鱼类，因此库区、坝下水文情势变化对鱼类的影响较小。</w:t>
      </w:r>
    </w:p>
    <w:p w14:paraId="5B41A6DE">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4、水温变化对鱼类的影响</w:t>
      </w:r>
    </w:p>
    <w:p w14:paraId="041A4D2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水温预测影响分析中，库区水温呈现夏季表层水温高与库底水温，冬季表层水温低于库底水温。下泄水温将改变天然河道的水温年内变化过程，而鱼类属于变温动物，水温是影响鱼类生长与繁殖的重要环境因子之一，水温适宜时鱼类生长速度加快，当水温降低时鱼类生长变得缓慢，而且鱼类的繁殖时间也会受到水温的影响，受精卵的发育也有一定的积温要求。</w:t>
      </w:r>
      <w:r>
        <w:rPr>
          <w:rFonts w:hint="eastAsia" w:cs="Times New Roman"/>
          <w:highlight w:val="none"/>
          <w:lang w:val="en-US" w:eastAsia="zh-CN"/>
        </w:rPr>
        <w:t>冷龙沟流域未发现鱼类，水库建设对鱼类影响可不做详细分析。但</w:t>
      </w:r>
      <w:r>
        <w:rPr>
          <w:rFonts w:hint="default" w:ascii="Times New Roman" w:hAnsi="Times New Roman" w:cs="Times New Roman"/>
          <w:highlight w:val="none"/>
          <w:lang w:val="en-US" w:eastAsia="zh-CN"/>
        </w:rPr>
        <w:t>尼色拥水库属于年调节水库，水位高差达29m，库区水温分层明显，如不采取分层取水措施，底部取水放流将会形成明显的低温水，对下游一定范围内的水生</w:t>
      </w:r>
      <w:r>
        <w:rPr>
          <w:rFonts w:hint="eastAsia" w:cs="Times New Roman"/>
          <w:highlight w:val="none"/>
          <w:lang w:val="en-US" w:eastAsia="zh-CN"/>
        </w:rPr>
        <w:t>生物的</w:t>
      </w:r>
      <w:r>
        <w:rPr>
          <w:rFonts w:hint="default" w:ascii="Times New Roman" w:hAnsi="Times New Roman" w:cs="Times New Roman"/>
          <w:highlight w:val="none"/>
          <w:lang w:val="en-US" w:eastAsia="zh-CN"/>
        </w:rPr>
        <w:t>生态环境</w:t>
      </w:r>
      <w:r>
        <w:rPr>
          <w:rFonts w:hint="eastAsia" w:cs="Times New Roman"/>
          <w:highlight w:val="none"/>
          <w:lang w:val="en-US" w:eastAsia="zh-CN"/>
        </w:rPr>
        <w:t>会</w:t>
      </w:r>
      <w:r>
        <w:rPr>
          <w:rFonts w:hint="default" w:ascii="Times New Roman" w:hAnsi="Times New Roman" w:cs="Times New Roman"/>
          <w:highlight w:val="none"/>
          <w:lang w:val="en-US" w:eastAsia="zh-CN"/>
        </w:rPr>
        <w:t>造成</w:t>
      </w:r>
      <w:r>
        <w:rPr>
          <w:rFonts w:hint="eastAsia" w:cs="Times New Roman"/>
          <w:highlight w:val="none"/>
          <w:lang w:val="en-US" w:eastAsia="zh-CN"/>
        </w:rPr>
        <w:t>一定</w:t>
      </w:r>
      <w:r>
        <w:rPr>
          <w:rFonts w:hint="default" w:ascii="Times New Roman" w:hAnsi="Times New Roman" w:cs="Times New Roman"/>
          <w:highlight w:val="none"/>
          <w:lang w:val="en-US" w:eastAsia="zh-CN"/>
        </w:rPr>
        <w:t>影响。</w:t>
      </w:r>
    </w:p>
    <w:p w14:paraId="7237ACB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采用坝身取水塔取水，共分5层取水，采用叠梁门形式，每层叠梁门高6.6m。运行过程中，根据不同的坝前水位，提升相应高度以上的叠梁门，可保证取用表层水。尼色拥水库库容相对较大，取水过程中不会出现水位急剧下降的情况，可有效避免低温水对坝址以下的水生生态环境的影响。此外，坝址下游的冷龙沟干流河段至硕曲河干流汇合口河段，具有小型的溪流进行流量的补充，这可以缓解水温降低的现象。并且本次在冷龙沟干流河段未调查到鱼类分布，因此水温变化对鱼类的影响较小。</w:t>
      </w:r>
    </w:p>
    <w:p w14:paraId="05523E2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5、大坝放水总溶解气体过饱和的影响</w:t>
      </w:r>
    </w:p>
    <w:p w14:paraId="690A64F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利工程泄流过程汇总，高速下泄的水流将空气以气泡的形式带至水体深处，即掺气过程；同时，由于水压的作用，致使气泡周围水体TDG含量迅速升高，即加压过程。之后在水流掺混作用下，生成的含高浓度溶解气体的水流被带入到下游水较浅处（水压较小），相对于当地压力而言，就出现了TDG水体过饱和现象。气体过饱和，可直接导致坝下河段内鱼类气泡病的发生。本次调查在坝址未发现鱼类分布，即使在洪水期存在一些上溯的鱼类，但是数量较小，主要也是鳅科鱼类。因此，总体来说，尼色拥水库放水总溶解气体过饱和对下游河道鱼类影响不大。</w:t>
      </w:r>
    </w:p>
    <w:p w14:paraId="420C5230">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6、对鱼类三场的影响分析</w:t>
      </w:r>
    </w:p>
    <w:p w14:paraId="53E10AB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鱼类的产卵场、索饵场和越冬场是鱼类完成整个生活史必不可少的重要的场所，在库区及减水河段内水文情势的巨大变化将使适应原环境中生活繁衍的鱼类失去或减少摄食、生长和繁殖的场所。</w:t>
      </w:r>
    </w:p>
    <w:p w14:paraId="231DABD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调查在冷龙沟干流河段未采集到鱼类及发现鱼类三场。即使假设此区段有鱼类分布，水库蓄水后，由于水位的抬升和流速的减缓，库区的水面积和体积将会变大，库尾水域深度将会加深，饵料生物得以发展，各种浮游动植物、水生维管束植物、底栖动物等的种群数量将会明显增加，适合缓静水的鳅科鱼类造成良好的生活环境，而适应流水的裂腹鱼类将会继续迁徙到库尾区域。</w:t>
      </w:r>
    </w:p>
    <w:p w14:paraId="1BB87D8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减水河段将引起水生藻类植物、浮游动物和底栖生物饵料生物生存空间减少。在该河段生活的鱼类等主要以水生藻类和底栖生物为主要食物，它们饵料生物量的减少将直接引起这些鱼类饵料生物的不足，对鱼类索饵有一定影响。实际调查发现减水河段未发现鱼类三场。且目前由于取水工程的存在，取水坝下游的减水河段水量锐减，水量较小，不适合鱼类的分布。鱼类主要在硕曲河干流寻找三场。在该工程的施工和运行期，基本不会对鱼类三场造成影响。</w:t>
      </w:r>
    </w:p>
    <w:p w14:paraId="48B1AF18">
      <w:pPr>
        <w:pStyle w:val="3"/>
        <w:bidi w:val="0"/>
        <w:rPr>
          <w:rFonts w:hint="default"/>
          <w:highlight w:val="none"/>
          <w:lang w:val="en-US" w:eastAsia="zh-CN"/>
        </w:rPr>
      </w:pPr>
      <w:bookmarkStart w:id="69" w:name="_Toc13509"/>
      <w:r>
        <w:rPr>
          <w:rFonts w:hint="default"/>
          <w:highlight w:val="none"/>
          <w:lang w:val="en-US" w:eastAsia="zh-CN"/>
        </w:rPr>
        <w:t>生态风险评价</w:t>
      </w:r>
      <w:bookmarkEnd w:id="69"/>
    </w:p>
    <w:p w14:paraId="45E179B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评价区存在外来物质入侵风险。入侵物种由于缺少天故而大量繁殖对当地生态造成了很大的危害。而且随着工程车辆的进入，可能将新的外来物种带进该区域，或者将入侵物种带出该区域，从而在新的地点形成新的分布区域。外来物种适应性、耐性强、繁殖力强，易占据本地物种生态位，对土著物种产生一定的排斥，改变区域种群、群落或生态系统的结构和功能，导致生态系统的单一或退化，破坏当地生态。在工程实施植被恢复措施过程中，禁止使用易引起入侵的植物种类，优先选择乡土种、本地种或已被证明无入侵风险的物种；加强管理，不允许任何人将未知种类植物种植于工程区。</w:t>
      </w:r>
    </w:p>
    <w:p w14:paraId="04398CD9">
      <w:pPr>
        <w:pStyle w:val="3"/>
        <w:bidi w:val="0"/>
        <w:rPr>
          <w:rFonts w:hint="default"/>
          <w:highlight w:val="none"/>
          <w:lang w:val="en-US" w:eastAsia="zh-CN"/>
        </w:rPr>
      </w:pPr>
      <w:bookmarkStart w:id="70" w:name="_Toc28141"/>
      <w:r>
        <w:rPr>
          <w:rFonts w:hint="default"/>
          <w:highlight w:val="none"/>
          <w:lang w:val="en-US" w:eastAsia="zh-CN"/>
        </w:rPr>
        <w:t>资源环境承载状况评估</w:t>
      </w:r>
      <w:bookmarkEnd w:id="70"/>
    </w:p>
    <w:p w14:paraId="43EDBBDE">
      <w:pPr>
        <w:pStyle w:val="4"/>
        <w:bidi w:val="0"/>
        <w:rPr>
          <w:rFonts w:hint="default"/>
          <w:highlight w:val="none"/>
          <w:lang w:val="en-US" w:eastAsia="zh-CN"/>
        </w:rPr>
      </w:pPr>
      <w:r>
        <w:rPr>
          <w:rFonts w:hint="default"/>
          <w:highlight w:val="none"/>
          <w:lang w:val="en-US" w:eastAsia="zh-CN"/>
        </w:rPr>
        <w:t>水资源承载能力分析</w:t>
      </w:r>
    </w:p>
    <w:p w14:paraId="0ADC68B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冷龙沟流域79.0km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，流域多年平均水资源量1280万m³，近期、远期水资源主要为水库蓄水用于城区水资源供给及周边农业灌溉。水库建成后，预计2026年正常运行，正常运行年平均配置水资源量261.81万m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，其中农业灌溉需水107.44万m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，城乡需水163.44万m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14:paraId="6C2BED8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流域水资源开发利用满足最严格水资源管理制度要求，满足流域水资源承载力要求。总体来讲，流域内水资源丰富，现状基本未开发，流域内人口较少，天然植被覆盖较好，水质较好。</w:t>
      </w:r>
    </w:p>
    <w:p w14:paraId="01EFC0DF">
      <w:pPr>
        <w:pStyle w:val="4"/>
        <w:bidi w:val="0"/>
        <w:rPr>
          <w:rFonts w:hint="default"/>
          <w:highlight w:val="none"/>
          <w:lang w:val="en-US" w:eastAsia="zh-CN"/>
        </w:rPr>
      </w:pPr>
      <w:r>
        <w:rPr>
          <w:rFonts w:hint="default"/>
          <w:highlight w:val="none"/>
          <w:lang w:val="en-US" w:eastAsia="zh-CN"/>
        </w:rPr>
        <w:t>水环境承载力分析</w:t>
      </w:r>
    </w:p>
    <w:p w14:paraId="4487336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至2025年，在水库建库蓄水期间，水库至冷龙沟与硕曲河汇口处之间11.17km河道将成为季节性减水河段，流域内无新增污染源，冷龙沟流域下游河段的水质基本不会受到影响，仍能维持现状的Ⅱ类水质。</w:t>
      </w:r>
    </w:p>
    <w:p w14:paraId="1CE208A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至2035年，水库建成后，流域内无新增工业企业、居民分布，工程上、下水库集水范围内无工业污染源、生活污染源、农业污染源。库区水面面积增大、流速变缓，且水库为多年调节水库，水体交换缓慢，水体自净能力将减弱。坝址库区上游居民已完成搬迁，有机污染负荷较小，水温较低，根据该区域污染源结构分析，地区污染负荷不会产生较大增长，在此污染负荷情况下，库区出现富营养化的可能性极小。水库坝址建成后，坝下河段将出现一定程度的减水，河道环境容量和纳污能力也相应减少，在保证坝址处下泄多年平均流量的10%作为生态流量前提下，坝下河道水流常年呈小溪流状，基本不会降低该河段的水域环境功能。因此，总体看来，在水库坝址建成后，对坝下河段的水质影响较小。</w:t>
      </w:r>
    </w:p>
    <w:p w14:paraId="421C9FA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水资源保护与水生态修复规划、水土保持规划实施后，将控制流域污染总量，减少面源污染，促进流域水环境良性发展。</w:t>
      </w:r>
    </w:p>
    <w:p w14:paraId="380FEBD3">
      <w:pPr>
        <w:pStyle w:val="4"/>
        <w:bidi w:val="0"/>
        <w:rPr>
          <w:rFonts w:hint="default"/>
          <w:highlight w:val="none"/>
          <w:lang w:val="en-US" w:eastAsia="zh-CN"/>
        </w:rPr>
      </w:pPr>
      <w:r>
        <w:rPr>
          <w:rFonts w:hint="default"/>
          <w:highlight w:val="none"/>
          <w:lang w:val="en-US" w:eastAsia="zh-CN"/>
        </w:rPr>
        <w:t>生态环境承载力分析</w:t>
      </w:r>
    </w:p>
    <w:p w14:paraId="7D62E39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实施后，流域生态系统结构不会发生较大变化，主要影响体现在规划工程占地和水库淹没引起森林植被面积的减少，造成植被生物量和生产力下降。规划水库实施后，水库的形成间接导致库区库周生态环境的改变，在一定程度上影响了野生动植物的生存环境，原来生活于库区陆生环境中的脊椎动物失去赖以生存的环境被迫向高处转移，使其生境受到压缩，这种影响对兽类、爬行类和两栖类动物较为明显，对鸟类的影响不明显。水库蓄水淹没对动植物造成的不利影响具有明显的局限性，这主要是由于生活在淹没区的野生动植物在水库淹没线以上的库周地带仍有广泛分布，水库淹没不会改变库区库周陆生动植物区系特征及类型结构。水土保持规划实施后，将改善流域陆生动植物的生存环境，促进生物多样性发展。</w:t>
      </w:r>
    </w:p>
    <w:p w14:paraId="4D1DD03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至远期规划水平年2035年，水库蓄水形成的静水、缓流区域对广布性鱼类的种群增长有利，但水库分成形成的水库的水温在坝前将出现分层现象，水库下泄水温呈现出“冬高春低”的现象。水生态保护规划主要包括恢复和改善河流连通性、保障下泄流量等措施，通过对新建工程提高环境保护措施，将有效改善流域内水生生境破坏、鱼类资源下降等现存生态环境问题，对维护冷龙沟的生物多样性和生态完整性，促进生态持续发展有重要意义。</w:t>
      </w:r>
    </w:p>
    <w:p w14:paraId="3C9D9936">
      <w:pPr>
        <w:rPr>
          <w:rFonts w:hint="default" w:ascii="Times New Roman" w:hAnsi="Times New Roman" w:cs="Times New Roman"/>
          <w:highlight w:val="none"/>
          <w:lang w:val="en-US" w:eastAsia="zh-CN"/>
        </w:rPr>
      </w:pPr>
    </w:p>
    <w:p w14:paraId="0BC03EBC">
      <w:pPr>
        <w:rPr>
          <w:rFonts w:hint="default" w:ascii="Times New Roman" w:hAnsi="Times New Roman" w:cs="Times New Roman"/>
          <w:highlight w:val="none"/>
          <w:lang w:val="en-US" w:eastAsia="zh-CN"/>
        </w:rPr>
      </w:pPr>
    </w:p>
    <w:p w14:paraId="5D0627AD">
      <w:pPr>
        <w:rPr>
          <w:rFonts w:hint="default" w:ascii="Times New Roman" w:hAnsi="Times New Roman" w:cs="Times New Roman"/>
          <w:highlight w:val="none"/>
          <w:lang w:val="en-US" w:eastAsia="zh-CN"/>
        </w:rPr>
      </w:pPr>
    </w:p>
    <w:p w14:paraId="6059DDB3">
      <w:pPr>
        <w:rPr>
          <w:rFonts w:hint="default" w:ascii="Times New Roman" w:hAnsi="Times New Roman" w:cs="Times New Roman"/>
          <w:highlight w:val="none"/>
          <w:lang w:val="en-US" w:eastAsia="zh-CN"/>
        </w:rPr>
      </w:pPr>
    </w:p>
    <w:p w14:paraId="172C133C">
      <w:pPr>
        <w:rPr>
          <w:rFonts w:hint="default" w:ascii="Times New Roman" w:hAnsi="Times New Roman" w:cs="Times New Roman"/>
          <w:highlight w:val="none"/>
          <w:lang w:val="en-US" w:eastAsia="zh-CN"/>
        </w:rPr>
      </w:pPr>
    </w:p>
    <w:p w14:paraId="4CE0F29B">
      <w:pPr>
        <w:rPr>
          <w:rFonts w:hint="default" w:ascii="Times New Roman" w:hAnsi="Times New Roman" w:cs="Times New Roman"/>
          <w:highlight w:val="none"/>
          <w:lang w:val="en-US" w:eastAsia="zh-CN"/>
        </w:rPr>
        <w:sectPr>
          <w:footerReference r:id="rId11" w:type="default"/>
          <w:pgSz w:w="11906" w:h="16838"/>
          <w:pgMar w:top="1440" w:right="1800" w:bottom="1440" w:left="1800" w:header="851" w:footer="992" w:gutter="0"/>
          <w:pgNumType w:fmt="decimal"/>
          <w:cols w:space="425" w:num="1"/>
          <w:docGrid w:type="lines" w:linePitch="312" w:charSpace="0"/>
        </w:sectPr>
      </w:pPr>
    </w:p>
    <w:p w14:paraId="7958485C">
      <w:pPr>
        <w:pStyle w:val="2"/>
        <w:bidi w:val="0"/>
        <w:rPr>
          <w:rFonts w:hint="default"/>
          <w:highlight w:val="none"/>
          <w:lang w:val="en-US" w:eastAsia="zh-CN"/>
        </w:rPr>
      </w:pPr>
      <w:bookmarkStart w:id="71" w:name="_Toc25654"/>
      <w:r>
        <w:rPr>
          <w:rFonts w:hint="default"/>
          <w:highlight w:val="none"/>
          <w:lang w:val="en-US" w:eastAsia="zh-CN"/>
        </w:rPr>
        <w:t>规划方案环境合理性论证和优化调整建议</w:t>
      </w:r>
      <w:bookmarkEnd w:id="71"/>
    </w:p>
    <w:p w14:paraId="09BC3282">
      <w:pPr>
        <w:pStyle w:val="3"/>
        <w:bidi w:val="0"/>
        <w:rPr>
          <w:rFonts w:hint="default"/>
          <w:highlight w:val="none"/>
          <w:lang w:val="en-US" w:eastAsia="zh-CN"/>
        </w:rPr>
      </w:pPr>
      <w:bookmarkStart w:id="72" w:name="_Toc30604"/>
      <w:r>
        <w:rPr>
          <w:rFonts w:hint="default"/>
          <w:highlight w:val="none"/>
          <w:lang w:val="en-US" w:eastAsia="zh-CN"/>
        </w:rPr>
        <w:t>规划方案环境合理性论证</w:t>
      </w:r>
      <w:bookmarkEnd w:id="72"/>
    </w:p>
    <w:p w14:paraId="534BB9AA">
      <w:pPr>
        <w:pStyle w:val="4"/>
        <w:bidi w:val="0"/>
        <w:rPr>
          <w:rFonts w:hint="default"/>
          <w:highlight w:val="none"/>
          <w:lang w:val="en-US" w:eastAsia="zh-CN"/>
        </w:rPr>
      </w:pPr>
      <w:r>
        <w:rPr>
          <w:rFonts w:hint="default"/>
          <w:highlight w:val="none"/>
          <w:lang w:val="en-US" w:eastAsia="zh-CN"/>
        </w:rPr>
        <w:t>规划开发任务及功能定位的环境合理性</w:t>
      </w:r>
    </w:p>
    <w:p w14:paraId="781AF97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冷龙沟流域开发、治理与保护现状、存在问题河经济社会发展需要、治理开发与保护的总体部署，确定流域开发、治理与保护的主要任务为：防洪减灾、水土保持、水资源综合利用与水资源保护与生态修复等。</w:t>
      </w:r>
    </w:p>
    <w:p w14:paraId="622A4B9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防洪减灾：通过建设和完善防洪设施，提高流域的防洪标准，减少洪水灾害对城乡居民和农业生产的影响。</w:t>
      </w:r>
    </w:p>
    <w:p w14:paraId="4BE6A94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水资源综合利用：增强水利基础设施建设，提升灌溉和供水能力，确保农业生产用水和城乡居民生活用水的稳定供应。推广节水技术和措施，提高水资源利用效率，促进农业、工业和生活用水的节约与合理分配。</w:t>
      </w:r>
    </w:p>
    <w:p w14:paraId="7D80A9F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水资源保护和生态修复：保护水源地，维持河流自然形态，实施生态修复工程，改善水环境质量，提升河流的自净和自我修复能力。</w:t>
      </w:r>
    </w:p>
    <w:p w14:paraId="394CD37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水土保持综合治理：通过植被恢复、坡地绿化和水土保持工程，防止水土流失，保护土地资源，维护流域生态系统的稳定和健康。</w:t>
      </w:r>
    </w:p>
    <w:p w14:paraId="3BFE1AD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综合管理：综合运用法律、行政、市场和技术等手段，加强流域管理，提高依法行政能力和社会服务水平，推动流域保护、治理与开发活动的顺利进行，为促进经济社会高质量发展和生态环境的有效保护提供有力支撑。</w:t>
      </w:r>
    </w:p>
    <w:p w14:paraId="4845069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通过这些综合措施，冷龙沟流域将实现防洪安全、供水保障、节约用水、生态保护和水土保持的协调发展，为区域经济社会的可持续发展奠定坚实基础。同时，各项规划内容与相关规划成果及批复要求中对冷龙沟流域功能定位及发展方向相协调，具有环境合理性。</w:t>
      </w:r>
    </w:p>
    <w:p w14:paraId="35F3CF55">
      <w:pPr>
        <w:pStyle w:val="4"/>
        <w:bidi w:val="0"/>
        <w:rPr>
          <w:rFonts w:hint="default"/>
          <w:highlight w:val="none"/>
          <w:lang w:val="en-US" w:eastAsia="zh-CN"/>
        </w:rPr>
      </w:pPr>
      <w:r>
        <w:rPr>
          <w:rFonts w:hint="default"/>
          <w:highlight w:val="none"/>
          <w:lang w:val="en-US" w:eastAsia="zh-CN"/>
        </w:rPr>
        <w:t>与“三线一单”的复合性</w:t>
      </w:r>
    </w:p>
    <w:p w14:paraId="296DA31E">
      <w:pPr>
        <w:pStyle w:val="5"/>
        <w:bidi w:val="0"/>
        <w:rPr>
          <w:rFonts w:hint="default"/>
          <w:highlight w:val="none"/>
          <w:lang w:val="en-US" w:eastAsia="zh-CN"/>
        </w:rPr>
      </w:pPr>
      <w:r>
        <w:rPr>
          <w:rFonts w:hint="default"/>
          <w:highlight w:val="none"/>
          <w:lang w:val="en-US" w:eastAsia="zh-CN"/>
        </w:rPr>
        <w:t>生态保护红线</w:t>
      </w:r>
    </w:p>
    <w:p w14:paraId="1620BC0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根据调查，冷龙沟流域不在乡城县生态红线分布范围内，不涉及《四川省生态保护红线方案》划定的生态保护红线区域，经与甘孜州生态保护红线叠图分析，本次流域规划涉及</w:t>
      </w:r>
      <w:r>
        <w:rPr>
          <w:rFonts w:hint="eastAsia" w:cs="Times New Roman"/>
          <w:highlight w:val="none"/>
          <w:lang w:val="en-US" w:eastAsia="zh-CN"/>
        </w:rPr>
        <w:t>饮用水源地</w:t>
      </w:r>
      <w:r>
        <w:rPr>
          <w:rFonts w:hint="default" w:ascii="Times New Roman" w:hAnsi="Times New Roman" w:cs="Times New Roman"/>
          <w:highlight w:val="none"/>
          <w:lang w:val="en-US" w:eastAsia="zh-CN"/>
        </w:rPr>
        <w:t>生态保护红线</w:t>
      </w:r>
      <w:r>
        <w:rPr>
          <w:rFonts w:hint="eastAsia" w:cs="Times New Roman"/>
          <w:highlight w:val="none"/>
          <w:lang w:val="en-US" w:eastAsia="zh-CN"/>
        </w:rPr>
        <w:t>，但规划建设工程属于供水工程，本次规划工程与生态保护红线要求基本符合。</w:t>
      </w:r>
    </w:p>
    <w:p w14:paraId="241242F7">
      <w:pPr>
        <w:pStyle w:val="5"/>
        <w:bidi w:val="0"/>
        <w:rPr>
          <w:rFonts w:hint="default"/>
          <w:highlight w:val="none"/>
          <w:lang w:val="en-US" w:eastAsia="zh-CN"/>
        </w:rPr>
      </w:pPr>
      <w:r>
        <w:rPr>
          <w:rFonts w:hint="default"/>
          <w:highlight w:val="none"/>
          <w:lang w:val="en-US" w:eastAsia="zh-CN"/>
        </w:rPr>
        <w:t>环境质量底线</w:t>
      </w:r>
    </w:p>
    <w:p w14:paraId="7826442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根据《全国重要江河湖泊水功能区划（2011</w:t>
      </w:r>
      <w:r>
        <w:rPr>
          <w:rFonts w:hint="eastAsia" w:cs="Times New Roman"/>
          <w:highlight w:val="none"/>
          <w:lang w:val="en-US" w:eastAsia="zh-CN"/>
        </w:rPr>
        <w:t>-</w:t>
      </w:r>
      <w:r>
        <w:rPr>
          <w:rFonts w:hint="default" w:ascii="Times New Roman" w:hAnsi="Times New Roman" w:cs="Times New Roman"/>
          <w:highlight w:val="none"/>
          <w:lang w:val="en-US" w:eastAsia="zh-CN"/>
        </w:rPr>
        <w:t>2030年）》和《四川省水功能区划报告》（2020年10月），冷龙沟流域尚未划分水功能区，冷龙沟为硕曲右岸一级支流，根据《四川省水功能区划》，硕曲共划分四个一级水功能区，冷龙沟河口位于硕曲河理塘乡城保留区。结合上述核准结果结合流域水环境现状及规划工程布局，提出流域的环境质量底线，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_Ref27710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 11</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3B92667D">
      <w:pPr>
        <w:pStyle w:val="11"/>
        <w:ind w:left="0" w:lef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冷龙沟流域环境质量底线</w:t>
      </w:r>
    </w:p>
    <w:tbl>
      <w:tblPr>
        <w:tblStyle w:val="24"/>
        <w:tblW w:w="89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78"/>
        <w:gridCol w:w="1250"/>
        <w:gridCol w:w="1129"/>
        <w:gridCol w:w="596"/>
        <w:gridCol w:w="641"/>
        <w:gridCol w:w="1839"/>
        <w:gridCol w:w="2440"/>
      </w:tblGrid>
      <w:tr w14:paraId="73951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0" w:hRule="atLeast"/>
        </w:trPr>
        <w:tc>
          <w:tcPr>
            <w:tcW w:w="1078" w:type="dxa"/>
            <w:vAlign w:val="center"/>
          </w:tcPr>
          <w:p w14:paraId="1BF8574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流域名称</w:t>
            </w:r>
          </w:p>
        </w:tc>
        <w:tc>
          <w:tcPr>
            <w:tcW w:w="1250" w:type="dxa"/>
            <w:vAlign w:val="center"/>
          </w:tcPr>
          <w:p w14:paraId="5D9FB139">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rPr>
              <w:t>环境管控</w:t>
            </w:r>
            <w:r>
              <w:rPr>
                <w:rFonts w:hint="default" w:ascii="Times New Roman" w:hAnsi="Times New Roman" w:cs="Times New Roman"/>
                <w:highlight w:val="none"/>
                <w:lang w:val="en-US" w:eastAsia="zh-CN"/>
              </w:rPr>
              <w:t>单元编码</w:t>
            </w:r>
          </w:p>
        </w:tc>
        <w:tc>
          <w:tcPr>
            <w:tcW w:w="1129" w:type="dxa"/>
            <w:vAlign w:val="center"/>
          </w:tcPr>
          <w:p w14:paraId="471D6C5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环境要素管控分区名称</w:t>
            </w:r>
          </w:p>
        </w:tc>
        <w:tc>
          <w:tcPr>
            <w:tcW w:w="596" w:type="dxa"/>
            <w:vAlign w:val="center"/>
          </w:tcPr>
          <w:p w14:paraId="0D882B5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行政区</w:t>
            </w:r>
          </w:p>
        </w:tc>
        <w:tc>
          <w:tcPr>
            <w:tcW w:w="641" w:type="dxa"/>
            <w:vAlign w:val="center"/>
          </w:tcPr>
          <w:p w14:paraId="5DA31BC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管控单 元分类</w:t>
            </w:r>
          </w:p>
        </w:tc>
        <w:tc>
          <w:tcPr>
            <w:tcW w:w="1839" w:type="dxa"/>
            <w:vAlign w:val="center"/>
          </w:tcPr>
          <w:p w14:paraId="2DEFBA7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管控要求</w:t>
            </w:r>
          </w:p>
        </w:tc>
        <w:tc>
          <w:tcPr>
            <w:tcW w:w="2440" w:type="dxa"/>
            <w:vAlign w:val="center"/>
          </w:tcPr>
          <w:p w14:paraId="50D39B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符合性分析</w:t>
            </w:r>
          </w:p>
        </w:tc>
      </w:tr>
      <w:tr w14:paraId="76091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6" w:hRule="atLeast"/>
        </w:trPr>
        <w:tc>
          <w:tcPr>
            <w:tcW w:w="1078" w:type="dxa"/>
            <w:vAlign w:val="center"/>
          </w:tcPr>
          <w:p w14:paraId="7D50C8C4">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冷龙沟流域</w:t>
            </w:r>
          </w:p>
        </w:tc>
        <w:tc>
          <w:tcPr>
            <w:tcW w:w="1250" w:type="dxa"/>
            <w:vAlign w:val="center"/>
          </w:tcPr>
          <w:p w14:paraId="3B470F7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YS5133363210004</w:t>
            </w:r>
          </w:p>
        </w:tc>
        <w:tc>
          <w:tcPr>
            <w:tcW w:w="1129" w:type="dxa"/>
            <w:vAlign w:val="center"/>
          </w:tcPr>
          <w:p w14:paraId="7DCD075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硕曲河（东旺河）香巴拉镇控制单元</w:t>
            </w:r>
          </w:p>
        </w:tc>
        <w:tc>
          <w:tcPr>
            <w:tcW w:w="596" w:type="dxa"/>
            <w:vAlign w:val="center"/>
          </w:tcPr>
          <w:p w14:paraId="5874664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甘孜藏族自治州</w:t>
            </w:r>
          </w:p>
        </w:tc>
        <w:tc>
          <w:tcPr>
            <w:tcW w:w="641" w:type="dxa"/>
            <w:vAlign w:val="center"/>
          </w:tcPr>
          <w:p w14:paraId="2B8AA79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水环境 一般管 控区</w:t>
            </w:r>
          </w:p>
        </w:tc>
        <w:tc>
          <w:tcPr>
            <w:tcW w:w="1839" w:type="dxa"/>
            <w:vAlign w:val="center"/>
          </w:tcPr>
          <w:p w14:paraId="5BE64BEF">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强化乡镇场镇生活污水收集、处理设施建设、运行；合理控制畜禽养殖规模，完善粪污收集处理设施，提高资源化利用率</w:t>
            </w:r>
          </w:p>
        </w:tc>
        <w:tc>
          <w:tcPr>
            <w:tcW w:w="2440" w:type="dxa"/>
            <w:vAlign w:val="center"/>
          </w:tcPr>
          <w:p w14:paraId="088C300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冷龙沟流域无工业企业，仅有沿线面源及</w:t>
            </w:r>
            <w:r>
              <w:rPr>
                <w:rFonts w:hint="default" w:ascii="Times New Roman" w:hAnsi="Times New Roman" w:cs="Times New Roman"/>
                <w:highlight w:val="none"/>
              </w:rPr>
              <w:t>畜禽养殖</w:t>
            </w:r>
            <w:r>
              <w:rPr>
                <w:rFonts w:hint="default" w:ascii="Times New Roman" w:hAnsi="Times New Roman" w:cs="Times New Roman"/>
                <w:highlight w:val="none"/>
                <w:lang w:val="en-US" w:eastAsia="zh-CN"/>
              </w:rPr>
              <w:t>散养排污</w:t>
            </w:r>
            <w:r>
              <w:rPr>
                <w:rFonts w:hint="default" w:ascii="Times New Roman" w:hAnsi="Times New Roman" w:cs="Times New Roman"/>
                <w:highlight w:val="none"/>
              </w:rPr>
              <w:t>，且流域综合规划要求严格限制污染物排放入河，符合“三线一单”的要求</w:t>
            </w:r>
          </w:p>
        </w:tc>
      </w:tr>
    </w:tbl>
    <w:p w14:paraId="73C3632D">
      <w:pPr>
        <w:ind w:left="0" w:leftChars="0" w:firstLine="0" w:firstLineChars="0"/>
        <w:rPr>
          <w:rFonts w:hint="default" w:ascii="Times New Roman" w:hAnsi="Times New Roman" w:cs="Times New Roman"/>
          <w:highlight w:val="none"/>
          <w:lang w:val="en-US" w:eastAsia="zh-CN"/>
        </w:rPr>
      </w:pPr>
    </w:p>
    <w:p w14:paraId="47D8499C">
      <w:pPr>
        <w:pStyle w:val="5"/>
        <w:bidi w:val="0"/>
        <w:rPr>
          <w:rFonts w:hint="default"/>
          <w:highlight w:val="none"/>
          <w:lang w:val="en-US" w:eastAsia="zh-CN"/>
        </w:rPr>
      </w:pPr>
      <w:r>
        <w:rPr>
          <w:rFonts w:hint="default"/>
          <w:highlight w:val="none"/>
          <w:lang w:val="en-US" w:eastAsia="zh-CN"/>
        </w:rPr>
        <w:t>资源利用上限</w:t>
      </w:r>
    </w:p>
    <w:p w14:paraId="133D379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综合规划以水为核心，其主要目标是实现水资源的合理配置和高效利用。规划应按照实行最严格水资源管理制度的要求，将国家和地方确定的冷龙沟流域水资源开发利用红线和用水总量控制指标作为流域的水资源利用上线。</w:t>
      </w:r>
    </w:p>
    <w:p w14:paraId="4F5E365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根据《实行最严格水资源管理制度考核工作实施方案》</w:t>
      </w:r>
      <w:r>
        <w:rPr>
          <w:rFonts w:hint="eastAsia" w:cs="Times New Roman"/>
          <w:highlight w:val="none"/>
          <w:lang w:val="en-US" w:eastAsia="zh-CN"/>
        </w:rPr>
        <w:t>（</w:t>
      </w:r>
      <w:r>
        <w:rPr>
          <w:rFonts w:hint="default" w:ascii="Times New Roman" w:hAnsi="Times New Roman" w:cs="Times New Roman"/>
          <w:highlight w:val="none"/>
          <w:lang w:val="en-US" w:eastAsia="zh-CN"/>
        </w:rPr>
        <w:t>水资源</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2014</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61号</w:t>
      </w:r>
      <w:r>
        <w:rPr>
          <w:rFonts w:hint="eastAsia" w:cs="Times New Roman"/>
          <w:highlight w:val="none"/>
          <w:lang w:val="en-US" w:eastAsia="zh-CN"/>
        </w:rPr>
        <w:t>）</w:t>
      </w:r>
      <w:r>
        <w:rPr>
          <w:rFonts w:hint="default" w:ascii="Times New Roman" w:hAnsi="Times New Roman" w:cs="Times New Roman"/>
          <w:highlight w:val="none"/>
          <w:lang w:val="en-US" w:eastAsia="zh-CN"/>
        </w:rPr>
        <w:t>、《四川省节水行动实施方案》《乡城县“十四五”水安全保障规划（2021年-2035年）》《尼色拥水库水资源论证报告书》，冷龙沟2021年用水总量控制为0.201亿立方米，近期规划水平年多年平均取用水量298.74万m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，远期规划取水398.63万m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r>
        <w:rPr>
          <w:rFonts w:hint="default" w:ascii="Times New Roman" w:hAnsi="Times New Roman" w:cs="Times New Roman"/>
          <w:color w:val="auto"/>
          <w:highlight w:val="none"/>
          <w:lang w:val="en-US" w:eastAsia="zh-CN"/>
        </w:rPr>
        <w:t>冷龙沟流域2025年和2035年水资源开发利用分别达到23.34%与31.14%</w:t>
      </w:r>
      <w:r>
        <w:rPr>
          <w:rFonts w:hint="eastAsia" w:ascii="Times New Roman" w:hAnsi="Times New Roman" w:cs="Times New Roman"/>
          <w:color w:val="auto"/>
          <w:highlight w:val="none"/>
          <w:lang w:val="en-US" w:eastAsia="zh-CN"/>
        </w:rPr>
        <w:t>。</w:t>
      </w:r>
    </w:p>
    <w:p w14:paraId="6881D61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冷龙沟综合规划在维护河流健康和流域生态系统良性循环、保障生态安全的前提下提出了水资源开发利用规划方案，主要包括生活供水、农业、工业、生态、水能资源开发工程。</w:t>
      </w:r>
    </w:p>
    <w:p w14:paraId="43B32D11">
      <w:pPr>
        <w:rPr>
          <w:rFonts w:hint="default" w:ascii="Times New Roman" w:hAnsi="Times New Roman" w:cs="Times New Roman"/>
          <w:highlight w:val="none"/>
          <w:lang w:val="en-US" w:eastAsia="zh-CN"/>
        </w:rPr>
      </w:pPr>
      <w:r>
        <w:rPr>
          <w:rFonts w:hint="default" w:ascii="Times New Roman" w:hAnsi="Times New Roman" w:cs="Times New Roman"/>
          <w:color w:val="auto"/>
          <w:highlight w:val="none"/>
          <w:lang w:val="en-US" w:eastAsia="zh-CN"/>
        </w:rPr>
        <w:t>根据冷龙沟水文预测可知，冷龙沟地表水水资源总量为1280万m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/年，规划水平年2030年地表水总用水量最大298.74万m³，规划水平年2035年总用水量最大398.63万m³。冷龙沟流域20</w:t>
      </w:r>
      <w:r>
        <w:rPr>
          <w:rFonts w:hint="eastAsia" w:cs="Times New Roman"/>
          <w:color w:val="auto"/>
          <w:highlight w:val="none"/>
          <w:lang w:val="en-US" w:eastAsia="zh-CN"/>
        </w:rPr>
        <w:t>30</w:t>
      </w:r>
      <w:r>
        <w:rPr>
          <w:rFonts w:hint="default" w:ascii="Times New Roman" w:hAnsi="Times New Roman" w:cs="Times New Roman"/>
          <w:color w:val="auto"/>
          <w:highlight w:val="none"/>
          <w:lang w:val="en-US" w:eastAsia="zh-CN"/>
        </w:rPr>
        <w:t>年和2035年水资源开发利用分别达到23.34%与31.14%</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乡城县多年平均当地水资源量为15.8亿m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，当地水资源可利用量为1.62亿m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，2020年实际利用量0.168726亿m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，占当地水资源可开发利用量的10.42%。远期用水总量仅占乡城县多年平均水资源量的0.25%，占当地水资源可开发利用量的2.46%。</w:t>
      </w:r>
    </w:p>
    <w:p w14:paraId="569BE49B">
      <w:pPr>
        <w:pStyle w:val="5"/>
        <w:bidi w:val="0"/>
        <w:rPr>
          <w:rFonts w:hint="default"/>
          <w:highlight w:val="none"/>
          <w:lang w:val="en-US" w:eastAsia="zh-CN"/>
        </w:rPr>
      </w:pPr>
      <w:r>
        <w:rPr>
          <w:rFonts w:hint="default"/>
          <w:highlight w:val="none"/>
          <w:lang w:val="en-US" w:eastAsia="zh-CN"/>
        </w:rPr>
        <w:t>与环境准入负面清单的符合性分析</w:t>
      </w:r>
    </w:p>
    <w:p w14:paraId="476E6B2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流域规划中，主要包括防洪减灾规划、城乡供水规划、灌溉规划、水资源及水生态保护规划、水土保持规划和其他规划。项目所在乡城县生态环境准入清单详见下表，经分析，本次流域规划涉及的规划项目均不属于乡城县管控单元环境准入负面清单中的项目详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_Ref10111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表 49</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10BB15A0">
      <w:pPr>
        <w:pStyle w:val="11"/>
        <w:ind w:left="0" w:leftChars="0" w:firstLine="0" w:firstLineChars="0"/>
        <w:jc w:val="center"/>
        <w:rPr>
          <w:rFonts w:hint="default" w:ascii="Times New Roman" w:hAnsi="Times New Roman" w:eastAsia="黑体" w:cs="Times New Roman"/>
          <w:highlight w:val="none"/>
          <w:lang w:val="en-US" w:eastAsia="zh-CN"/>
        </w:rPr>
      </w:pPr>
      <w:bookmarkStart w:id="73" w:name="_Ref10111"/>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62</w:t>
      </w:r>
      <w:r>
        <w:rPr>
          <w:rFonts w:hint="default" w:ascii="Times New Roman" w:hAnsi="Times New Roman" w:cs="Times New Roman"/>
          <w:highlight w:val="none"/>
        </w:rPr>
        <w:fldChar w:fldCharType="end"/>
      </w:r>
      <w:bookmarkEnd w:id="73"/>
      <w:r>
        <w:rPr>
          <w:rFonts w:hint="default" w:ascii="Times New Roman" w:hAnsi="Times New Roman" w:cs="Times New Roman"/>
          <w:highlight w:val="none"/>
          <w:lang w:val="en-US" w:eastAsia="zh-CN"/>
        </w:rPr>
        <w:t xml:space="preserve"> 乡城县生态环境准入清单总体管控要求</w:t>
      </w:r>
    </w:p>
    <w:tbl>
      <w:tblPr>
        <w:tblStyle w:val="20"/>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0"/>
        <w:gridCol w:w="681"/>
        <w:gridCol w:w="1201"/>
        <w:gridCol w:w="4531"/>
        <w:gridCol w:w="1276"/>
      </w:tblGrid>
      <w:tr w14:paraId="1154C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611" w:type="dxa"/>
            <w:gridSpan w:val="2"/>
            <w:vAlign w:val="center"/>
          </w:tcPr>
          <w:p w14:paraId="597F491D">
            <w:pPr>
              <w:pStyle w:val="22"/>
              <w:bidi w:val="0"/>
              <w:jc w:val="left"/>
              <w:rPr>
                <w:rFonts w:hint="default"/>
                <w:highlight w:val="none"/>
              </w:rPr>
            </w:pPr>
            <w:r>
              <w:rPr>
                <w:rFonts w:hint="default"/>
                <w:highlight w:val="none"/>
              </w:rPr>
              <w:t>管控类别</w:t>
            </w:r>
          </w:p>
        </w:tc>
        <w:tc>
          <w:tcPr>
            <w:tcW w:w="5732" w:type="dxa"/>
            <w:gridSpan w:val="2"/>
            <w:vAlign w:val="center"/>
          </w:tcPr>
          <w:p w14:paraId="7A3E852C">
            <w:pPr>
              <w:pStyle w:val="22"/>
              <w:bidi w:val="0"/>
              <w:jc w:val="left"/>
              <w:rPr>
                <w:rFonts w:hint="default"/>
                <w:highlight w:val="none"/>
              </w:rPr>
            </w:pPr>
            <w:r>
              <w:rPr>
                <w:rFonts w:hint="default"/>
                <w:highlight w:val="none"/>
                <w:lang w:val="en-US" w:eastAsia="zh-CN"/>
              </w:rPr>
              <w:t>总体</w:t>
            </w:r>
            <w:r>
              <w:rPr>
                <w:rFonts w:hint="default"/>
                <w:highlight w:val="none"/>
              </w:rPr>
              <w:t>管控要求</w:t>
            </w:r>
          </w:p>
        </w:tc>
        <w:tc>
          <w:tcPr>
            <w:tcW w:w="1276" w:type="dxa"/>
            <w:vAlign w:val="center"/>
          </w:tcPr>
          <w:p w14:paraId="5C2761D9">
            <w:pPr>
              <w:pStyle w:val="22"/>
              <w:bidi w:val="0"/>
              <w:jc w:val="left"/>
              <w:rPr>
                <w:rFonts w:hint="default"/>
                <w:highlight w:val="none"/>
                <w:lang w:val="en-US" w:eastAsia="zh-CN"/>
              </w:rPr>
            </w:pPr>
            <w:r>
              <w:rPr>
                <w:rFonts w:hint="eastAsia"/>
                <w:highlight w:val="none"/>
                <w:lang w:val="en-US" w:eastAsia="zh-CN"/>
              </w:rPr>
              <w:t>符合性分析</w:t>
            </w:r>
          </w:p>
        </w:tc>
      </w:tr>
      <w:tr w14:paraId="17A67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9" w:hRule="atLeast"/>
        </w:trPr>
        <w:tc>
          <w:tcPr>
            <w:tcW w:w="1611" w:type="dxa"/>
            <w:gridSpan w:val="2"/>
            <w:vAlign w:val="center"/>
          </w:tcPr>
          <w:p w14:paraId="494616F0">
            <w:pPr>
              <w:pStyle w:val="22"/>
              <w:bidi w:val="0"/>
              <w:jc w:val="left"/>
              <w:rPr>
                <w:rFonts w:hint="default"/>
                <w:highlight w:val="none"/>
                <w:lang w:val="en-US" w:eastAsia="zh-CN"/>
              </w:rPr>
            </w:pPr>
            <w:r>
              <w:rPr>
                <w:rFonts w:hint="default"/>
                <w:highlight w:val="none"/>
                <w:lang w:val="en-US" w:eastAsia="zh-CN"/>
              </w:rPr>
              <w:t>乡城县</w:t>
            </w:r>
          </w:p>
        </w:tc>
        <w:tc>
          <w:tcPr>
            <w:tcW w:w="5732" w:type="dxa"/>
            <w:gridSpan w:val="2"/>
            <w:vAlign w:val="center"/>
          </w:tcPr>
          <w:p w14:paraId="02F82277">
            <w:pPr>
              <w:pStyle w:val="22"/>
              <w:bidi w:val="0"/>
              <w:jc w:val="left"/>
              <w:rPr>
                <w:rFonts w:hint="eastAsia"/>
                <w:highlight w:val="none"/>
                <w:lang w:eastAsia="zh-CN"/>
              </w:rPr>
            </w:pPr>
            <w:r>
              <w:rPr>
                <w:rFonts w:hint="default"/>
                <w:highlight w:val="none"/>
                <w:lang w:val="en-US" w:eastAsia="zh-CN"/>
              </w:rPr>
              <w:t>1</w:t>
            </w:r>
            <w:r>
              <w:rPr>
                <w:rFonts w:hint="eastAsia"/>
                <w:highlight w:val="none"/>
                <w:lang w:val="en-US" w:eastAsia="zh-CN"/>
              </w:rPr>
              <w:t>、</w:t>
            </w:r>
            <w:r>
              <w:rPr>
                <w:rFonts w:hint="default"/>
                <w:highlight w:val="none"/>
              </w:rPr>
              <w:t>强化主体功能区定位，保障沙鲁里山生物多样性维护生态功能</w:t>
            </w:r>
            <w:r>
              <w:rPr>
                <w:rFonts w:hint="eastAsia"/>
                <w:highlight w:val="none"/>
                <w:lang w:eastAsia="zh-CN"/>
              </w:rPr>
              <w:t>。</w:t>
            </w:r>
          </w:p>
          <w:p w14:paraId="31799DD9">
            <w:pPr>
              <w:pStyle w:val="22"/>
              <w:bidi w:val="0"/>
              <w:jc w:val="left"/>
              <w:rPr>
                <w:rFonts w:hint="eastAsia"/>
                <w:highlight w:val="none"/>
                <w:lang w:eastAsia="zh-CN"/>
              </w:rPr>
            </w:pPr>
            <w:r>
              <w:rPr>
                <w:rFonts w:hint="default"/>
                <w:highlight w:val="none"/>
              </w:rPr>
              <w:t>2</w:t>
            </w:r>
            <w:r>
              <w:rPr>
                <w:rFonts w:hint="eastAsia"/>
                <w:highlight w:val="none"/>
                <w:lang w:eastAsia="zh-CN"/>
              </w:rPr>
              <w:t>、</w:t>
            </w:r>
            <w:r>
              <w:rPr>
                <w:rFonts w:hint="default"/>
                <w:highlight w:val="none"/>
              </w:rPr>
              <w:t>严控园区外企业排污，屠宰项目必须配套污水处理设施或进入城市污水管网</w:t>
            </w:r>
            <w:r>
              <w:rPr>
                <w:rFonts w:hint="eastAsia"/>
                <w:highlight w:val="none"/>
                <w:lang w:eastAsia="zh-CN"/>
              </w:rPr>
              <w:t>；</w:t>
            </w:r>
          </w:p>
          <w:p w14:paraId="55ED33D4">
            <w:pPr>
              <w:pStyle w:val="22"/>
              <w:bidi w:val="0"/>
              <w:jc w:val="left"/>
              <w:rPr>
                <w:rFonts w:hint="eastAsia"/>
                <w:highlight w:val="none"/>
                <w:lang w:eastAsia="zh-CN"/>
              </w:rPr>
            </w:pPr>
            <w:r>
              <w:rPr>
                <w:rFonts w:hint="default"/>
                <w:highlight w:val="none"/>
              </w:rPr>
              <w:t>3</w:t>
            </w:r>
            <w:r>
              <w:rPr>
                <w:rFonts w:hint="eastAsia"/>
                <w:highlight w:val="none"/>
                <w:lang w:eastAsia="zh-CN"/>
              </w:rPr>
              <w:t>、</w:t>
            </w:r>
            <w:r>
              <w:rPr>
                <w:rFonts w:hint="default"/>
                <w:highlight w:val="none"/>
              </w:rPr>
              <w:t>控制生活污染源，强化城乡生活污水、垃圾处理、公共厕所等生态环境保护基础设施建设</w:t>
            </w:r>
            <w:r>
              <w:rPr>
                <w:rFonts w:hint="eastAsia"/>
                <w:highlight w:val="none"/>
                <w:lang w:eastAsia="zh-CN"/>
              </w:rPr>
              <w:t>；</w:t>
            </w:r>
          </w:p>
          <w:p w14:paraId="79B24C69">
            <w:pPr>
              <w:pStyle w:val="22"/>
              <w:bidi w:val="0"/>
              <w:jc w:val="left"/>
              <w:rPr>
                <w:rFonts w:hint="default"/>
                <w:highlight w:val="none"/>
              </w:rPr>
            </w:pPr>
            <w:r>
              <w:rPr>
                <w:rFonts w:hint="default"/>
                <w:highlight w:val="none"/>
              </w:rPr>
              <w:t>4</w:t>
            </w:r>
            <w:r>
              <w:rPr>
                <w:rFonts w:hint="eastAsia"/>
                <w:highlight w:val="none"/>
                <w:lang w:eastAsia="zh-CN"/>
              </w:rPr>
              <w:t>、</w:t>
            </w:r>
            <w:r>
              <w:rPr>
                <w:rFonts w:hint="default"/>
                <w:highlight w:val="none"/>
              </w:rPr>
              <w:t>加强过境道路噪音、空气污染治理。</w:t>
            </w:r>
          </w:p>
        </w:tc>
        <w:tc>
          <w:tcPr>
            <w:tcW w:w="1276" w:type="dxa"/>
            <w:vAlign w:val="center"/>
          </w:tcPr>
          <w:p w14:paraId="0FA5A579">
            <w:pPr>
              <w:pStyle w:val="22"/>
              <w:bidi w:val="0"/>
              <w:jc w:val="center"/>
              <w:rPr>
                <w:rFonts w:hint="eastAsia"/>
                <w:highlight w:val="none"/>
                <w:lang w:val="en-US" w:eastAsia="zh-CN"/>
              </w:rPr>
            </w:pPr>
            <w:r>
              <w:rPr>
                <w:rFonts w:hint="eastAsia"/>
                <w:highlight w:val="none"/>
                <w:lang w:val="en-US" w:eastAsia="zh-CN"/>
              </w:rPr>
              <w:t>符合</w:t>
            </w:r>
          </w:p>
        </w:tc>
      </w:tr>
      <w:tr w14:paraId="75CF1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trPr>
        <w:tc>
          <w:tcPr>
            <w:tcW w:w="930" w:type="dxa"/>
            <w:vAlign w:val="center"/>
          </w:tcPr>
          <w:p w14:paraId="342C57FE">
            <w:pPr>
              <w:pStyle w:val="22"/>
              <w:bidi w:val="0"/>
              <w:jc w:val="left"/>
              <w:rPr>
                <w:rFonts w:hint="default"/>
                <w:b/>
                <w:bCs/>
                <w:highlight w:val="none"/>
                <w:lang w:val="en-US" w:eastAsia="zh-CN"/>
              </w:rPr>
            </w:pPr>
            <w:r>
              <w:rPr>
                <w:rFonts w:hint="default"/>
                <w:b/>
                <w:bCs/>
                <w:highlight w:val="none"/>
                <w:lang w:val="en-US" w:eastAsia="zh-CN"/>
              </w:rPr>
              <w:t>环境管控单元名称</w:t>
            </w:r>
          </w:p>
        </w:tc>
        <w:tc>
          <w:tcPr>
            <w:tcW w:w="681" w:type="dxa"/>
            <w:vAlign w:val="center"/>
          </w:tcPr>
          <w:p w14:paraId="7CCAA722">
            <w:pPr>
              <w:pStyle w:val="22"/>
              <w:bidi w:val="0"/>
              <w:jc w:val="left"/>
              <w:rPr>
                <w:rFonts w:hint="default"/>
                <w:b/>
                <w:bCs/>
                <w:highlight w:val="none"/>
                <w:lang w:val="en-US" w:eastAsia="zh-CN"/>
              </w:rPr>
            </w:pPr>
            <w:r>
              <w:rPr>
                <w:rFonts w:hint="default"/>
                <w:b/>
                <w:bCs/>
                <w:highlight w:val="none"/>
                <w:lang w:val="en-US" w:eastAsia="zh-CN"/>
              </w:rPr>
              <w:t>管控单元类别</w:t>
            </w:r>
          </w:p>
        </w:tc>
        <w:tc>
          <w:tcPr>
            <w:tcW w:w="5732" w:type="dxa"/>
            <w:gridSpan w:val="2"/>
            <w:vAlign w:val="center"/>
          </w:tcPr>
          <w:p w14:paraId="32580BD1">
            <w:pPr>
              <w:pStyle w:val="22"/>
              <w:bidi w:val="0"/>
              <w:jc w:val="center"/>
              <w:rPr>
                <w:rFonts w:hint="default"/>
                <w:b/>
                <w:bCs/>
                <w:highlight w:val="none"/>
              </w:rPr>
            </w:pPr>
            <w:r>
              <w:rPr>
                <w:rFonts w:hint="default"/>
                <w:b/>
                <w:bCs/>
                <w:highlight w:val="none"/>
              </w:rPr>
              <w:t>管控要求</w:t>
            </w:r>
          </w:p>
        </w:tc>
        <w:tc>
          <w:tcPr>
            <w:tcW w:w="1276" w:type="dxa"/>
            <w:vAlign w:val="center"/>
          </w:tcPr>
          <w:p w14:paraId="29E1D837">
            <w:pPr>
              <w:pStyle w:val="22"/>
              <w:bidi w:val="0"/>
              <w:jc w:val="center"/>
              <w:rPr>
                <w:rFonts w:hint="eastAsia"/>
                <w:b/>
                <w:bCs/>
                <w:highlight w:val="none"/>
                <w:lang w:val="en-US" w:eastAsia="zh-CN"/>
              </w:rPr>
            </w:pPr>
            <w:r>
              <w:rPr>
                <w:rFonts w:hint="eastAsia"/>
                <w:b/>
                <w:bCs/>
                <w:highlight w:val="none"/>
                <w:lang w:val="en-US" w:eastAsia="zh-CN"/>
              </w:rPr>
              <w:t>符合性分析</w:t>
            </w:r>
          </w:p>
        </w:tc>
      </w:tr>
      <w:tr w14:paraId="6508E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611" w:type="dxa"/>
            <w:gridSpan w:val="2"/>
            <w:vMerge w:val="restart"/>
            <w:vAlign w:val="center"/>
          </w:tcPr>
          <w:p w14:paraId="63F1DC79">
            <w:pPr>
              <w:pStyle w:val="22"/>
              <w:bidi w:val="0"/>
              <w:jc w:val="left"/>
              <w:rPr>
                <w:rFonts w:hint="default"/>
                <w:highlight w:val="none"/>
                <w:lang w:val="en-US" w:eastAsia="zh-CN"/>
              </w:rPr>
            </w:pPr>
            <w:r>
              <w:rPr>
                <w:rFonts w:hint="eastAsia"/>
                <w:highlight w:val="none"/>
                <w:lang w:val="en-US" w:eastAsia="zh-CN"/>
              </w:rPr>
              <w:t>生态保护红线</w:t>
            </w:r>
          </w:p>
        </w:tc>
        <w:tc>
          <w:tcPr>
            <w:tcW w:w="1201" w:type="dxa"/>
            <w:vAlign w:val="center"/>
          </w:tcPr>
          <w:p w14:paraId="624DC462">
            <w:pPr>
              <w:pStyle w:val="22"/>
              <w:bidi w:val="0"/>
              <w:jc w:val="center"/>
              <w:rPr>
                <w:rFonts w:hint="default"/>
                <w:highlight w:val="none"/>
                <w:lang w:val="en-US" w:eastAsia="zh-CN"/>
              </w:rPr>
            </w:pPr>
            <w:r>
              <w:rPr>
                <w:rFonts w:hint="eastAsia"/>
                <w:highlight w:val="none"/>
                <w:lang w:val="en-US" w:eastAsia="zh-CN"/>
              </w:rPr>
              <w:t>空间布局约束-禁止开发建设活动的要求</w:t>
            </w:r>
          </w:p>
        </w:tc>
        <w:tc>
          <w:tcPr>
            <w:tcW w:w="4531" w:type="dxa"/>
            <w:vAlign w:val="center"/>
          </w:tcPr>
          <w:p w14:paraId="2BDC5B0A">
            <w:pPr>
              <w:pStyle w:val="22"/>
              <w:bidi w:val="0"/>
              <w:jc w:val="left"/>
              <w:rPr>
                <w:rFonts w:hint="default"/>
                <w:highlight w:val="none"/>
              </w:rPr>
            </w:pPr>
            <w:r>
              <w:rPr>
                <w:rFonts w:hint="default"/>
                <w:highlight w:val="none"/>
              </w:rPr>
              <w:t>1、生态保护红线内自然保护地核心保护区外，禁止开发性、生产性建设活动。2、生态保护红线内零星分布的已有水电、风电、光伏设施，按照相关法律法规规定进行管理，严禁扩大现有规模与范围。</w:t>
            </w:r>
          </w:p>
        </w:tc>
        <w:tc>
          <w:tcPr>
            <w:tcW w:w="1276" w:type="dxa"/>
            <w:vAlign w:val="center"/>
          </w:tcPr>
          <w:p w14:paraId="10ADACC2">
            <w:pPr>
              <w:pStyle w:val="22"/>
              <w:bidi w:val="0"/>
              <w:jc w:val="center"/>
              <w:rPr>
                <w:rFonts w:hint="eastAsia"/>
                <w:highlight w:val="none"/>
                <w:lang w:val="en-US" w:eastAsia="zh-CN"/>
              </w:rPr>
            </w:pPr>
            <w:r>
              <w:rPr>
                <w:rFonts w:hint="eastAsia"/>
                <w:highlight w:val="none"/>
                <w:lang w:val="en-US" w:eastAsia="zh-CN"/>
              </w:rPr>
              <w:t>符合</w:t>
            </w:r>
          </w:p>
        </w:tc>
      </w:tr>
      <w:tr w14:paraId="64D3F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611" w:type="dxa"/>
            <w:gridSpan w:val="2"/>
            <w:vMerge w:val="continue"/>
            <w:vAlign w:val="center"/>
          </w:tcPr>
          <w:p w14:paraId="11120E77">
            <w:pPr>
              <w:pStyle w:val="22"/>
              <w:bidi w:val="0"/>
              <w:jc w:val="left"/>
              <w:rPr>
                <w:rFonts w:hint="default"/>
                <w:highlight w:val="none"/>
              </w:rPr>
            </w:pPr>
          </w:p>
        </w:tc>
        <w:tc>
          <w:tcPr>
            <w:tcW w:w="1201" w:type="dxa"/>
            <w:vAlign w:val="center"/>
          </w:tcPr>
          <w:p w14:paraId="0CB6F8B9">
            <w:pPr>
              <w:pStyle w:val="22"/>
              <w:bidi w:val="0"/>
              <w:jc w:val="center"/>
              <w:rPr>
                <w:rFonts w:hint="default"/>
                <w:highlight w:val="none"/>
              </w:rPr>
            </w:pPr>
            <w:r>
              <w:rPr>
                <w:rFonts w:hint="eastAsia"/>
                <w:highlight w:val="none"/>
                <w:lang w:val="en-US" w:eastAsia="zh-CN"/>
              </w:rPr>
              <w:t>空间布局约束-允许开发建设活动的要求</w:t>
            </w:r>
          </w:p>
        </w:tc>
        <w:tc>
          <w:tcPr>
            <w:tcW w:w="4531" w:type="dxa"/>
            <w:vAlign w:val="center"/>
          </w:tcPr>
          <w:p w14:paraId="65FF093F">
            <w:pPr>
              <w:pStyle w:val="22"/>
              <w:bidi w:val="0"/>
              <w:jc w:val="left"/>
              <w:rPr>
                <w:rFonts w:hint="default"/>
                <w:highlight w:val="none"/>
              </w:rPr>
            </w:pPr>
            <w:r>
              <w:rPr>
                <w:rFonts w:hint="default"/>
                <w:highlight w:val="none"/>
              </w:rPr>
              <w:t>在符合法律法规的前提下</w:t>
            </w:r>
            <w:r>
              <w:rPr>
                <w:rFonts w:hint="eastAsia"/>
                <w:highlight w:val="none"/>
                <w:lang w:eastAsia="zh-CN"/>
              </w:rPr>
              <w:t>，</w:t>
            </w:r>
            <w:r>
              <w:rPr>
                <w:rFonts w:hint="default"/>
                <w:highlight w:val="none"/>
              </w:rPr>
              <w:t>仅允许以下对生态功能不造成破坏的有限人为活动</w:t>
            </w:r>
            <w:r>
              <w:rPr>
                <w:rFonts w:hint="eastAsia"/>
                <w:highlight w:val="none"/>
                <w:lang w:eastAsia="zh-CN"/>
              </w:rPr>
              <w:t>：</w:t>
            </w:r>
            <w:r>
              <w:rPr>
                <w:rFonts w:hint="default"/>
                <w:highlight w:val="none"/>
              </w:rPr>
              <w:t>1、管护巡护、保护执法、科学研究、调查监测、测绘导航、防灾减灾救灾、军事国防等活动及相关的必要设施修筑。2、原住居民和其他合法权益主体，允许在不扩大现有建设用地、耕地、水产养殖规模和放牧强度</w:t>
            </w:r>
            <w:r>
              <w:rPr>
                <w:rFonts w:hint="eastAsia"/>
                <w:highlight w:val="none"/>
                <w:lang w:eastAsia="zh-CN"/>
              </w:rPr>
              <w:t>（</w:t>
            </w:r>
            <w:r>
              <w:rPr>
                <w:rFonts w:hint="default"/>
                <w:highlight w:val="none"/>
              </w:rPr>
              <w:t>符合草畜平管理规定</w:t>
            </w:r>
            <w:r>
              <w:rPr>
                <w:rFonts w:hint="eastAsia"/>
                <w:highlight w:val="none"/>
                <w:lang w:eastAsia="zh-CN"/>
              </w:rPr>
              <w:t>））</w:t>
            </w:r>
            <w:r>
              <w:rPr>
                <w:rFonts w:hint="default"/>
                <w:highlight w:val="none"/>
              </w:rPr>
              <w:t>的前提下，开展种植、放牧、捕捞、养殖</w:t>
            </w:r>
            <w:r>
              <w:rPr>
                <w:rFonts w:hint="eastAsia"/>
                <w:highlight w:val="none"/>
                <w:lang w:eastAsia="zh-CN"/>
              </w:rPr>
              <w:t>（</w:t>
            </w:r>
            <w:r>
              <w:rPr>
                <w:rFonts w:hint="default"/>
                <w:highlight w:val="none"/>
              </w:rPr>
              <w:t>不包括投礁型海洋牧场、围海养殖</w:t>
            </w:r>
            <w:r>
              <w:rPr>
                <w:rFonts w:hint="eastAsia"/>
                <w:highlight w:val="none"/>
                <w:lang w:eastAsia="zh-CN"/>
              </w:rPr>
              <w:t>）</w:t>
            </w:r>
            <w:r>
              <w:rPr>
                <w:rFonts w:hint="default"/>
                <w:highlight w:val="none"/>
              </w:rPr>
              <w:t>等活动，修筑生产生活设施。3、经依法批准的考古调查发掘、古生物化石调查发掘、标本采集和文物保护活动。4、按规定对人工商品林进行抚育采伐或以提升森林质量、优化栖息地、建设生物防火隔离带等为目的的树种更新</w:t>
            </w:r>
            <w:r>
              <w:rPr>
                <w:rFonts w:hint="eastAsia"/>
                <w:highlight w:val="none"/>
                <w:lang w:eastAsia="zh-CN"/>
              </w:rPr>
              <w:t>，</w:t>
            </w:r>
            <w:r>
              <w:rPr>
                <w:rFonts w:hint="default"/>
                <w:highlight w:val="none"/>
              </w:rPr>
              <w:t>依法开展的竹林采伐经营。5、不破坏生态功能的适度参观旅游、科普宣教及符合相关规划的配套性服务设施和相关的必要公共设施建设及维护。6、必须且无法避让、符合县级以上国土空间规划的线性基础设施、通讯和防洪供水设施建设和船舶航行、航道疏浚消淤等活动</w:t>
            </w:r>
            <w:r>
              <w:rPr>
                <w:rFonts w:hint="eastAsia"/>
                <w:highlight w:val="none"/>
                <w:lang w:eastAsia="zh-CN"/>
              </w:rPr>
              <w:t>；</w:t>
            </w:r>
            <w:r>
              <w:rPr>
                <w:rFonts w:hint="default"/>
                <w:highlight w:val="none"/>
              </w:rPr>
              <w:t>已有的合法水利、交通运输等设施运行维护改造。7、地质调查与矿产资源勘查开采。包括:基础地质调查和战略性矿产资源远景调查等公益性工作</w:t>
            </w:r>
            <w:r>
              <w:rPr>
                <w:rFonts w:hint="eastAsia"/>
                <w:highlight w:val="none"/>
                <w:lang w:eastAsia="zh-CN"/>
              </w:rPr>
              <w:t>；</w:t>
            </w:r>
            <w:r>
              <w:rPr>
                <w:rFonts w:hint="default"/>
                <w:highlight w:val="none"/>
              </w:rPr>
              <w:t>铀矿勘查开采活动，可办理矿业权登记</w:t>
            </w:r>
            <w:r>
              <w:rPr>
                <w:rFonts w:hint="eastAsia"/>
                <w:highlight w:val="none"/>
                <w:lang w:eastAsia="zh-CN"/>
              </w:rPr>
              <w:t>；</w:t>
            </w:r>
            <w:r>
              <w:rPr>
                <w:rFonts w:hint="default"/>
                <w:highlight w:val="none"/>
              </w:rPr>
              <w:t>已依法设立的油气探矿权继续勘查活动，可办理探矿权延续、变更</w:t>
            </w:r>
            <w:r>
              <w:rPr>
                <w:rFonts w:hint="eastAsia"/>
                <w:highlight w:val="none"/>
                <w:lang w:eastAsia="zh-CN"/>
              </w:rPr>
              <w:t>（</w:t>
            </w:r>
            <w:r>
              <w:rPr>
                <w:rFonts w:hint="default"/>
                <w:highlight w:val="none"/>
              </w:rPr>
              <w:t>不含扩大勘查区块范围</w:t>
            </w:r>
            <w:r>
              <w:rPr>
                <w:rFonts w:hint="eastAsia"/>
                <w:highlight w:val="none"/>
                <w:lang w:eastAsia="zh-CN"/>
              </w:rPr>
              <w:t>）</w:t>
            </w:r>
            <w:r>
              <w:rPr>
                <w:rFonts w:hint="default"/>
                <w:highlight w:val="none"/>
              </w:rPr>
              <w:t>、保留、注销</w:t>
            </w:r>
            <w:r>
              <w:rPr>
                <w:rFonts w:hint="eastAsia"/>
                <w:highlight w:val="none"/>
                <w:lang w:eastAsia="zh-CN"/>
              </w:rPr>
              <w:t>，</w:t>
            </w:r>
            <w:r>
              <w:rPr>
                <w:rFonts w:hint="default"/>
                <w:highlight w:val="none"/>
              </w:rPr>
              <w:t>当发现可供开采油气资源并探明储量时</w:t>
            </w:r>
            <w:r>
              <w:rPr>
                <w:rFonts w:hint="eastAsia"/>
                <w:highlight w:val="none"/>
                <w:lang w:eastAsia="zh-CN"/>
              </w:rPr>
              <w:t>，</w:t>
            </w:r>
            <w:r>
              <w:rPr>
                <w:rFonts w:hint="default"/>
                <w:highlight w:val="none"/>
              </w:rPr>
              <w:t>可将开采拟占用的地表范围依照国家相关规定调出生态保护红线</w:t>
            </w:r>
            <w:r>
              <w:rPr>
                <w:rFonts w:hint="eastAsia"/>
                <w:highlight w:val="none"/>
                <w:lang w:eastAsia="zh-CN"/>
              </w:rPr>
              <w:t>；</w:t>
            </w:r>
            <w:r>
              <w:rPr>
                <w:rFonts w:hint="default"/>
                <w:highlight w:val="none"/>
              </w:rPr>
              <w:t>已依法设立的油气采矿权不扩大用地范围，继续开采，可办理采矿权延续、变更</w:t>
            </w:r>
            <w:r>
              <w:rPr>
                <w:rFonts w:hint="eastAsia"/>
                <w:highlight w:val="none"/>
                <w:lang w:eastAsia="zh-CN"/>
              </w:rPr>
              <w:t>（</w:t>
            </w:r>
            <w:r>
              <w:rPr>
                <w:rFonts w:hint="default"/>
                <w:highlight w:val="none"/>
              </w:rPr>
              <w:t>不含扩大矿区范围</w:t>
            </w:r>
            <w:r>
              <w:rPr>
                <w:rFonts w:hint="eastAsia"/>
                <w:highlight w:val="none"/>
                <w:lang w:eastAsia="zh-CN"/>
              </w:rPr>
              <w:t>）</w:t>
            </w:r>
            <w:r>
              <w:rPr>
                <w:rFonts w:hint="default"/>
                <w:highlight w:val="none"/>
              </w:rPr>
              <w:t>、注销</w:t>
            </w:r>
            <w:r>
              <w:rPr>
                <w:rFonts w:hint="eastAsia"/>
                <w:highlight w:val="none"/>
                <w:lang w:eastAsia="zh-CN"/>
              </w:rPr>
              <w:t>；</w:t>
            </w:r>
            <w:r>
              <w:rPr>
                <w:rFonts w:hint="default"/>
                <w:highlight w:val="none"/>
              </w:rPr>
              <w:t>已依法设立的矿泉水和地热采矿权</w:t>
            </w:r>
            <w:r>
              <w:rPr>
                <w:rFonts w:hint="eastAsia"/>
                <w:highlight w:val="none"/>
                <w:lang w:eastAsia="zh-CN"/>
              </w:rPr>
              <w:t>，</w:t>
            </w:r>
            <w:r>
              <w:rPr>
                <w:rFonts w:hint="default"/>
                <w:highlight w:val="none"/>
              </w:rPr>
              <w:t>在不超出已经核定的生产规模、不新增生产设施的前提下继续开采，可办理采矿权延续、变更</w:t>
            </w:r>
            <w:r>
              <w:rPr>
                <w:rFonts w:hint="eastAsia"/>
                <w:highlight w:val="none"/>
                <w:lang w:eastAsia="zh-CN"/>
              </w:rPr>
              <w:t>（</w:t>
            </w:r>
            <w:r>
              <w:rPr>
                <w:rFonts w:hint="default"/>
                <w:highlight w:val="none"/>
              </w:rPr>
              <w:t>不含扩大矿区范围</w:t>
            </w:r>
            <w:r>
              <w:rPr>
                <w:rFonts w:hint="eastAsia"/>
                <w:highlight w:val="none"/>
                <w:lang w:eastAsia="zh-CN"/>
              </w:rPr>
              <w:t>）</w:t>
            </w:r>
            <w:r>
              <w:rPr>
                <w:rFonts w:hint="default"/>
                <w:highlight w:val="none"/>
              </w:rPr>
              <w:t>、注销</w:t>
            </w:r>
            <w:r>
              <w:rPr>
                <w:rFonts w:hint="eastAsia"/>
                <w:highlight w:val="none"/>
                <w:lang w:eastAsia="zh-CN"/>
              </w:rPr>
              <w:t>；</w:t>
            </w:r>
            <w:r>
              <w:rPr>
                <w:rFonts w:hint="default"/>
                <w:highlight w:val="none"/>
              </w:rPr>
              <w:t>已依法设立和新立饹、铜、镍、锂、钻、锆、钾盐、</w:t>
            </w:r>
            <w:r>
              <w:rPr>
                <w:rFonts w:hint="eastAsia"/>
                <w:highlight w:val="none"/>
                <w:lang w:eastAsia="zh-CN"/>
              </w:rPr>
              <w:t>（</w:t>
            </w:r>
            <w:r>
              <w:rPr>
                <w:rFonts w:hint="default"/>
                <w:highlight w:val="none"/>
              </w:rPr>
              <w:t>中</w:t>
            </w:r>
            <w:r>
              <w:rPr>
                <w:rFonts w:hint="eastAsia"/>
                <w:highlight w:val="none"/>
                <w:lang w:eastAsia="zh-CN"/>
              </w:rPr>
              <w:t>）</w:t>
            </w:r>
            <w:r>
              <w:rPr>
                <w:rFonts w:hint="default"/>
                <w:highlight w:val="none"/>
              </w:rPr>
              <w:t>重稀土矿等战略性矿产探矿权开展勘查活动，可办理探矿权登记</w:t>
            </w:r>
            <w:r>
              <w:rPr>
                <w:rFonts w:hint="eastAsia"/>
                <w:highlight w:val="none"/>
                <w:lang w:eastAsia="zh-CN"/>
              </w:rPr>
              <w:t>，</w:t>
            </w:r>
            <w:r>
              <w:rPr>
                <w:rFonts w:hint="default"/>
                <w:highlight w:val="none"/>
              </w:rPr>
              <w:t>因国家战略需要开展开采活动的，可办理采矿权登记。上述勘查开采活动,应落实减缓生态环境影响措施，严格执行绿色勘查、开采及矿山环境生态修复相关要求。8、依据县级以上国土空间规划和生态保护修复专项规划开展的生态修复。9、法律法规规定允许的其他人为活动。</w:t>
            </w:r>
          </w:p>
        </w:tc>
        <w:tc>
          <w:tcPr>
            <w:tcW w:w="1276" w:type="dxa"/>
            <w:vAlign w:val="center"/>
          </w:tcPr>
          <w:p w14:paraId="56A628DC">
            <w:pPr>
              <w:pStyle w:val="22"/>
              <w:bidi w:val="0"/>
              <w:jc w:val="center"/>
              <w:rPr>
                <w:rFonts w:hint="eastAsia"/>
                <w:highlight w:val="none"/>
                <w:lang w:val="en-US" w:eastAsia="zh-CN"/>
              </w:rPr>
            </w:pPr>
            <w:r>
              <w:rPr>
                <w:rFonts w:hint="eastAsia"/>
                <w:highlight w:val="none"/>
                <w:lang w:val="en-US" w:eastAsia="zh-CN"/>
              </w:rPr>
              <w:t>符合</w:t>
            </w:r>
          </w:p>
        </w:tc>
      </w:tr>
      <w:tr w14:paraId="49D40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611" w:type="dxa"/>
            <w:gridSpan w:val="2"/>
            <w:vMerge w:val="continue"/>
            <w:vAlign w:val="center"/>
          </w:tcPr>
          <w:p w14:paraId="25734CB5">
            <w:pPr>
              <w:pStyle w:val="22"/>
              <w:bidi w:val="0"/>
              <w:jc w:val="left"/>
              <w:rPr>
                <w:rFonts w:hint="default"/>
                <w:highlight w:val="none"/>
              </w:rPr>
            </w:pPr>
          </w:p>
        </w:tc>
        <w:tc>
          <w:tcPr>
            <w:tcW w:w="1201" w:type="dxa"/>
            <w:vAlign w:val="center"/>
          </w:tcPr>
          <w:p w14:paraId="1695DE5E">
            <w:pPr>
              <w:pStyle w:val="22"/>
              <w:bidi w:val="0"/>
              <w:jc w:val="center"/>
              <w:rPr>
                <w:rFonts w:hint="default"/>
                <w:highlight w:val="none"/>
              </w:rPr>
            </w:pPr>
            <w:r>
              <w:rPr>
                <w:rFonts w:hint="default"/>
                <w:highlight w:val="none"/>
              </w:rPr>
              <w:t>空间布局约束-</w:t>
            </w:r>
            <w:r>
              <w:rPr>
                <w:rFonts w:hint="eastAsia"/>
                <w:highlight w:val="none"/>
                <w:lang w:val="en-US" w:eastAsia="zh-CN"/>
              </w:rPr>
              <w:t>限制</w:t>
            </w:r>
            <w:r>
              <w:rPr>
                <w:rFonts w:hint="default"/>
                <w:highlight w:val="none"/>
              </w:rPr>
              <w:t>开发建设活动的要求</w:t>
            </w:r>
          </w:p>
        </w:tc>
        <w:tc>
          <w:tcPr>
            <w:tcW w:w="4531" w:type="dxa"/>
            <w:vAlign w:val="center"/>
          </w:tcPr>
          <w:p w14:paraId="38EABF9A">
            <w:pPr>
              <w:pStyle w:val="22"/>
              <w:bidi w:val="0"/>
              <w:jc w:val="left"/>
              <w:rPr>
                <w:rFonts w:hint="default"/>
                <w:highlight w:val="none"/>
              </w:rPr>
            </w:pPr>
            <w:r>
              <w:rPr>
                <w:rFonts w:hint="default"/>
                <w:highlight w:val="none"/>
              </w:rPr>
              <w:t>1、上述生态保护红线管控范围内有限人为活动中</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涉及新增建设用地审批的，在报批农用地转用、土地征收时，附省级人民政府出具符合生态保护红线内允许有限人为活动的认定意见。</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不涉及新增建设用地审批的，按有关规定进行管理,无明确规定的由省级人民政府制定具体监管办法。2、上述活动涉及自然保护地的，应征求林业和草原主管部门或自然保护地管理机构意见。3、上述活动和国家重大项目占用生态保护红线涉及临时用地的，按照自然资源邰关于规范临时用地管理的有关要求</w:t>
            </w:r>
            <w:r>
              <w:rPr>
                <w:rFonts w:hint="eastAsia"/>
                <w:highlight w:val="none"/>
                <w:lang w:eastAsia="zh-CN"/>
              </w:rPr>
              <w:t>，</w:t>
            </w:r>
            <w:r>
              <w:rPr>
                <w:rFonts w:hint="default"/>
                <w:highlight w:val="none"/>
              </w:rPr>
              <w:t>参照临时占用永久基木农田规定办理</w:t>
            </w:r>
            <w:r>
              <w:rPr>
                <w:rFonts w:hint="eastAsia"/>
                <w:highlight w:val="none"/>
                <w:lang w:eastAsia="zh-CN"/>
              </w:rPr>
              <w:t>，</w:t>
            </w:r>
            <w:r>
              <w:rPr>
                <w:rFonts w:hint="default"/>
                <w:highlight w:val="none"/>
              </w:rPr>
              <w:t>严格落实恢复责任。4、占用生态保护红线的国家重大项目，应严格落实生态环境分区管控要求</w:t>
            </w:r>
            <w:r>
              <w:rPr>
                <w:rFonts w:hint="eastAsia"/>
                <w:highlight w:val="none"/>
                <w:lang w:eastAsia="zh-CN"/>
              </w:rPr>
              <w:t>，</w:t>
            </w:r>
            <w:r>
              <w:rPr>
                <w:rFonts w:hint="default"/>
                <w:highlight w:val="none"/>
              </w:rPr>
              <w:t>依法开展环境影响评价。</w:t>
            </w:r>
          </w:p>
        </w:tc>
        <w:tc>
          <w:tcPr>
            <w:tcW w:w="1276" w:type="dxa"/>
            <w:vAlign w:val="center"/>
          </w:tcPr>
          <w:p w14:paraId="29A55EB5">
            <w:pPr>
              <w:pStyle w:val="22"/>
              <w:bidi w:val="0"/>
              <w:jc w:val="center"/>
              <w:rPr>
                <w:rFonts w:hint="eastAsia"/>
                <w:highlight w:val="none"/>
                <w:lang w:val="en-US" w:eastAsia="zh-CN"/>
              </w:rPr>
            </w:pPr>
            <w:r>
              <w:rPr>
                <w:rFonts w:hint="eastAsia"/>
                <w:highlight w:val="none"/>
                <w:lang w:val="en-US" w:eastAsia="zh-CN"/>
              </w:rPr>
              <w:t>符合</w:t>
            </w:r>
          </w:p>
        </w:tc>
      </w:tr>
      <w:tr w14:paraId="2A8C5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611" w:type="dxa"/>
            <w:gridSpan w:val="2"/>
            <w:vMerge w:val="continue"/>
            <w:vAlign w:val="center"/>
          </w:tcPr>
          <w:p w14:paraId="7E7CC713">
            <w:pPr>
              <w:pStyle w:val="22"/>
              <w:bidi w:val="0"/>
              <w:jc w:val="left"/>
              <w:rPr>
                <w:rFonts w:hint="default"/>
                <w:highlight w:val="none"/>
              </w:rPr>
            </w:pPr>
          </w:p>
        </w:tc>
        <w:tc>
          <w:tcPr>
            <w:tcW w:w="1201" w:type="dxa"/>
            <w:vAlign w:val="center"/>
          </w:tcPr>
          <w:p w14:paraId="69E70402">
            <w:pPr>
              <w:pStyle w:val="22"/>
              <w:bidi w:val="0"/>
              <w:jc w:val="center"/>
              <w:rPr>
                <w:rFonts w:hint="default"/>
                <w:highlight w:val="none"/>
                <w:lang w:val="en-US" w:eastAsia="zh-CN"/>
              </w:rPr>
            </w:pPr>
            <w:r>
              <w:rPr>
                <w:rFonts w:hint="default"/>
                <w:highlight w:val="none"/>
              </w:rPr>
              <w:t>空间布局约束-</w:t>
            </w:r>
            <w:r>
              <w:rPr>
                <w:rFonts w:hint="eastAsia"/>
                <w:highlight w:val="none"/>
                <w:lang w:val="en-US" w:eastAsia="zh-CN"/>
              </w:rPr>
              <w:t>不符合空间布局要求活动的退出要求</w:t>
            </w:r>
          </w:p>
        </w:tc>
        <w:tc>
          <w:tcPr>
            <w:tcW w:w="4531" w:type="dxa"/>
            <w:vAlign w:val="center"/>
          </w:tcPr>
          <w:p w14:paraId="258D997C">
            <w:pPr>
              <w:pStyle w:val="22"/>
              <w:bidi w:val="0"/>
              <w:jc w:val="left"/>
              <w:rPr>
                <w:rFonts w:hint="default"/>
                <w:highlight w:val="none"/>
              </w:rPr>
            </w:pPr>
            <w:r>
              <w:rPr>
                <w:rFonts w:hint="default"/>
                <w:highlight w:val="none"/>
              </w:rPr>
              <w:t>生态保护红线经国务院批准后，对需逐步有序退出的矿业权等</w:t>
            </w:r>
            <w:r>
              <w:rPr>
                <w:rFonts w:hint="eastAsia"/>
                <w:highlight w:val="none"/>
                <w:lang w:eastAsia="zh-CN"/>
              </w:rPr>
              <w:t>，</w:t>
            </w:r>
            <w:r>
              <w:rPr>
                <w:rFonts w:hint="default"/>
                <w:highlight w:val="none"/>
              </w:rPr>
              <w:t>由省级人民政府按照尊重历史、实事求是的原则，结合实际制定退出计划</w:t>
            </w:r>
            <w:r>
              <w:rPr>
                <w:rFonts w:hint="eastAsia"/>
                <w:highlight w:val="none"/>
                <w:lang w:eastAsia="zh-CN"/>
              </w:rPr>
              <w:t>，</w:t>
            </w:r>
            <w:r>
              <w:rPr>
                <w:rFonts w:hint="default"/>
                <w:highlight w:val="none"/>
              </w:rPr>
              <w:t>明确时序安排、补偿安置、生态修复等要求</w:t>
            </w:r>
            <w:r>
              <w:rPr>
                <w:rFonts w:hint="eastAsia"/>
                <w:highlight w:val="none"/>
                <w:lang w:eastAsia="zh-CN"/>
              </w:rPr>
              <w:t>，</w:t>
            </w:r>
            <w:r>
              <w:rPr>
                <w:rFonts w:hint="default"/>
                <w:highlight w:val="none"/>
              </w:rPr>
              <w:t>确保生态安全和社会稳定。</w:t>
            </w:r>
          </w:p>
        </w:tc>
        <w:tc>
          <w:tcPr>
            <w:tcW w:w="1276" w:type="dxa"/>
            <w:vAlign w:val="center"/>
          </w:tcPr>
          <w:p w14:paraId="0B432797">
            <w:pPr>
              <w:pStyle w:val="22"/>
              <w:bidi w:val="0"/>
              <w:jc w:val="center"/>
              <w:rPr>
                <w:rFonts w:hint="eastAsia"/>
                <w:highlight w:val="none"/>
                <w:lang w:val="en-US" w:eastAsia="zh-CN"/>
              </w:rPr>
            </w:pPr>
            <w:r>
              <w:rPr>
                <w:rFonts w:hint="eastAsia"/>
                <w:highlight w:val="none"/>
                <w:lang w:val="en-US" w:eastAsia="zh-CN"/>
              </w:rPr>
              <w:t>符合</w:t>
            </w:r>
          </w:p>
        </w:tc>
      </w:tr>
    </w:tbl>
    <w:p w14:paraId="5E006DB4">
      <w:pPr>
        <w:ind w:left="0" w:leftChars="0" w:firstLine="0" w:firstLineChars="0"/>
        <w:rPr>
          <w:rFonts w:hint="default" w:ascii="Times New Roman" w:hAnsi="Times New Roman" w:cs="Times New Roman"/>
          <w:highlight w:val="none"/>
          <w:lang w:val="en-US" w:eastAsia="zh-CN"/>
        </w:rPr>
      </w:pPr>
    </w:p>
    <w:p w14:paraId="5D4C7C5E">
      <w:pPr>
        <w:pStyle w:val="4"/>
        <w:bidi w:val="0"/>
        <w:rPr>
          <w:rFonts w:hint="default"/>
          <w:highlight w:val="none"/>
          <w:lang w:val="en-US" w:eastAsia="zh-CN"/>
        </w:rPr>
      </w:pPr>
      <w:r>
        <w:rPr>
          <w:rFonts w:hint="default"/>
          <w:highlight w:val="none"/>
          <w:lang w:val="en-US" w:eastAsia="zh-CN"/>
        </w:rPr>
        <w:t>规划目标和发展定位的环境合理性分析</w:t>
      </w:r>
    </w:p>
    <w:p w14:paraId="5171AAF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的总体目标是完善流域防洪减灾、水资源综合利用、水资源保护和生态修复、水土保持综合治理及流域综合管理五大体系，保障防洪安全、供水安全、粮食安全和生态安全，提高流域管理水平，支撑流域高质量发展。</w:t>
      </w:r>
    </w:p>
    <w:p w14:paraId="70A77D0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规划总体目标符合国家现行产业政策，符合流域主体功能区划、生态功能区划，符合四川省、甘孜州、乡城县国民经济发展规划、土地利用规划、水利建设规划、水资源综合利用规划、生态环境相关规划。因而冷龙沟流域规划目标从环保角度分析是合理的。</w:t>
      </w:r>
    </w:p>
    <w:p w14:paraId="3502A600">
      <w:pPr>
        <w:numPr>
          <w:ilvl w:val="0"/>
          <w:numId w:val="58"/>
        </w:numPr>
        <w:bidi w:val="0"/>
        <w:rPr>
          <w:rFonts w:hint="default"/>
          <w:highlight w:val="none"/>
          <w:lang w:val="en-US" w:eastAsia="zh-CN"/>
        </w:rPr>
      </w:pPr>
      <w:r>
        <w:rPr>
          <w:rFonts w:hint="default"/>
          <w:highlight w:val="none"/>
          <w:lang w:val="en-US" w:eastAsia="zh-CN"/>
        </w:rPr>
        <w:t>防洪减灾</w:t>
      </w:r>
    </w:p>
    <w:p w14:paraId="2814CC4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理安排洪水出路，保障防洪安全，力争常遇洪水不受灾，确保生活有序、生产正常；最大程度减少大洪水期间的灾害损失，控制特大洪水的影响范围与受灾损失程度；加大小流域综合治理力度，加强风险管理，减少山洪灾害损失；不断完善预测预警预报系统，建立防灾减灾风险评估和预警机制。</w:t>
      </w:r>
    </w:p>
    <w:p w14:paraId="49BF144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治理目标将全面提高流域的防洪能力，使流域下游的防洪标准有效提高，基本建立流域防洪减灾体系。山洪灾害防治标准为：县城防洪标准为20年一遇以上，乡镇和农田防护的防洪标准为10年一遇以上，护坡及疏浚符合相关设计要求。本项目工程防洪标准为10-20年一遇，目标设定合理，从环境影响角度来看，规划目标具有一定合理性。</w:t>
      </w:r>
    </w:p>
    <w:p w14:paraId="30D44EC4">
      <w:pPr>
        <w:bidi w:val="0"/>
        <w:rPr>
          <w:rFonts w:hint="default"/>
          <w:highlight w:val="none"/>
          <w:lang w:val="en-US" w:eastAsia="zh-CN"/>
        </w:rPr>
      </w:pPr>
      <w:r>
        <w:rPr>
          <w:rFonts w:hint="default"/>
          <w:highlight w:val="none"/>
          <w:lang w:val="en-US" w:eastAsia="zh-CN"/>
        </w:rPr>
        <w:t>2、水资源开发利用规划</w:t>
      </w:r>
    </w:p>
    <w:p w14:paraId="50B4AF3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规划目标：至规划期末，县城及重点城镇（尼斯镇、青德镇、热打镇、水洼乡</w:t>
      </w:r>
      <w:r>
        <w:rPr>
          <w:rFonts w:hint="eastAsia" w:cs="Times New Roman"/>
          <w:highlight w:val="none"/>
          <w:lang w:val="en-US" w:eastAsia="zh-CN"/>
        </w:rPr>
        <w:t>）</w:t>
      </w:r>
      <w:r>
        <w:rPr>
          <w:rFonts w:hint="default" w:ascii="Times New Roman" w:hAnsi="Times New Roman" w:cs="Times New Roman"/>
          <w:highlight w:val="none"/>
          <w:lang w:val="en-US" w:eastAsia="zh-CN"/>
        </w:rPr>
        <w:t>镇区集中供水普及率达到100%，一般乡镇镇区集中供水普及率达到95%。供水水质全面达到《生活饮用水卫生标准》</w:t>
      </w:r>
      <w:r>
        <w:rPr>
          <w:rFonts w:hint="eastAsia" w:cs="Times New Roman"/>
          <w:highlight w:val="none"/>
          <w:lang w:val="en-US" w:eastAsia="zh-CN"/>
        </w:rPr>
        <w:t>（</w:t>
      </w:r>
      <w:r>
        <w:rPr>
          <w:rFonts w:hint="default" w:ascii="Times New Roman" w:hAnsi="Times New Roman" w:cs="Times New Roman"/>
          <w:highlight w:val="none"/>
          <w:lang w:val="en-US" w:eastAsia="zh-CN"/>
        </w:rPr>
        <w:t>GB5749-2022</w:t>
      </w:r>
      <w:r>
        <w:rPr>
          <w:rFonts w:hint="eastAsia" w:cs="Times New Roman"/>
          <w:highlight w:val="none"/>
          <w:lang w:val="en-US" w:eastAsia="zh-CN"/>
        </w:rPr>
        <w:t>）</w:t>
      </w:r>
      <w:r>
        <w:rPr>
          <w:rFonts w:hint="default" w:ascii="Times New Roman" w:hAnsi="Times New Roman" w:cs="Times New Roman"/>
          <w:highlight w:val="none"/>
          <w:lang w:val="en-US" w:eastAsia="zh-CN"/>
        </w:rPr>
        <w:t>和《城镇供水水质标准》</w:t>
      </w:r>
      <w:r>
        <w:rPr>
          <w:rFonts w:hint="eastAsia" w:cs="Times New Roman"/>
          <w:highlight w:val="none"/>
          <w:lang w:val="en-US" w:eastAsia="zh-CN"/>
        </w:rPr>
        <w:t>（</w:t>
      </w:r>
      <w:r>
        <w:rPr>
          <w:rFonts w:hint="default" w:ascii="Times New Roman" w:hAnsi="Times New Roman" w:cs="Times New Roman"/>
          <w:highlight w:val="none"/>
          <w:lang w:val="en-US" w:eastAsia="zh-CN"/>
        </w:rPr>
        <w:t>CJ/T206-2005</w:t>
      </w:r>
      <w:r>
        <w:rPr>
          <w:rFonts w:hint="eastAsia" w:cs="Times New Roman"/>
          <w:highlight w:val="none"/>
          <w:lang w:val="en-US" w:eastAsia="zh-CN"/>
        </w:rPr>
        <w:t>）</w:t>
      </w:r>
      <w:r>
        <w:rPr>
          <w:rFonts w:hint="default" w:ascii="Times New Roman" w:hAnsi="Times New Roman" w:cs="Times New Roman"/>
          <w:highlight w:val="none"/>
          <w:lang w:val="en-US" w:eastAsia="zh-CN"/>
        </w:rPr>
        <w:t>。</w:t>
      </w:r>
    </w:p>
    <w:p w14:paraId="3D2A5DA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本项目规划目标目标，将促进水资源的高效、稳定供给，使得城镇供水安全的到进一步保障。同时要求城镇供水保证率95%、灌溉设计保证率75%。目标的设定与《乡城县县域村镇体系规划和城市总体规划（2017</w:t>
      </w:r>
      <w:r>
        <w:rPr>
          <w:rFonts w:hint="eastAsia" w:cs="Times New Roman"/>
          <w:highlight w:val="none"/>
          <w:lang w:val="en-US" w:eastAsia="zh-CN"/>
        </w:rPr>
        <w:t>-</w:t>
      </w:r>
      <w:r>
        <w:rPr>
          <w:rFonts w:hint="default" w:ascii="Times New Roman" w:hAnsi="Times New Roman" w:cs="Times New Roman"/>
          <w:highlight w:val="none"/>
          <w:lang w:val="en-US" w:eastAsia="zh-CN"/>
        </w:rPr>
        <w:t>2035年</w:t>
      </w:r>
      <w:r>
        <w:rPr>
          <w:rFonts w:hint="eastAsia" w:cs="Times New Roman"/>
          <w:highlight w:val="none"/>
          <w:lang w:val="en-US" w:eastAsia="zh-CN"/>
        </w:rPr>
        <w:t>）</w:t>
      </w:r>
      <w:r>
        <w:rPr>
          <w:rFonts w:hint="default" w:ascii="Times New Roman" w:hAnsi="Times New Roman" w:cs="Times New Roman"/>
          <w:highlight w:val="none"/>
          <w:lang w:val="en-US" w:eastAsia="zh-CN"/>
        </w:rPr>
        <w:t>》一致，目标设置具有一定的合理性。</w:t>
      </w:r>
    </w:p>
    <w:p w14:paraId="7179ACC5">
      <w:pPr>
        <w:bidi w:val="0"/>
        <w:rPr>
          <w:rFonts w:hint="default"/>
          <w:highlight w:val="none"/>
          <w:lang w:val="en-US" w:eastAsia="zh-CN"/>
        </w:rPr>
      </w:pPr>
      <w:r>
        <w:rPr>
          <w:rFonts w:hint="default"/>
          <w:highlight w:val="none"/>
          <w:lang w:val="en-US" w:eastAsia="zh-CN"/>
        </w:rPr>
        <w:t>3、加强生态环境保护和修复，维系流域良好生态</w:t>
      </w:r>
    </w:p>
    <w:p w14:paraId="1993508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以保护水源地水质和改善水生态环境为目标，加强流域重点污染源治理，推进上中游水土保持生态建设和小流域综合治理，加快坡耕地整治改造，并加强水土保持监督管理，使群众生产生活条件、区域生态环境明显改善。到2025年，基本建设与乡城县社会经济发展相适应的水土流失综合防治体系，人为水土流失得到有效控制，生态环境得以持续改善，水土保持生态文明建设取得显著成效。</w:t>
      </w:r>
    </w:p>
    <w:p w14:paraId="0BDAD18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规划的实施，有利于实现流域水资源利用、保护和水生态系统的良性循环。目标的设定与相关上位生态环境规划、区域水土保持规划的目标是一致的，规划目标设置具有一定合理性。</w:t>
      </w:r>
    </w:p>
    <w:p w14:paraId="2CE9D99B">
      <w:pPr>
        <w:pStyle w:val="4"/>
        <w:bidi w:val="0"/>
        <w:rPr>
          <w:rFonts w:hint="default"/>
          <w:highlight w:val="none"/>
          <w:lang w:val="en-US" w:eastAsia="zh-CN"/>
        </w:rPr>
      </w:pPr>
      <w:r>
        <w:rPr>
          <w:rFonts w:hint="default"/>
          <w:highlight w:val="none"/>
          <w:lang w:val="en-US" w:eastAsia="zh-CN"/>
        </w:rPr>
        <w:t>规划布局及规模环境合理性分析</w:t>
      </w:r>
    </w:p>
    <w:p w14:paraId="4C10E11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总体布局以习近平新时代中国特色社会主义思想为指导，以“共抓大保护、不搞大开发”为原则，统筹开发与保护，协调生态与经济，在做好保护的前提下，根据流域水资源与水环境承载能力，加快资源优势向产业优势转化；保障居民生活、生产和生态用水安全；保护人民群众生命财产和经济社会发展成果免受洪涝灾害威胁；加强流域生态与环境的保护与修复，促进流域资源、环境与经济社会的协调发展。</w:t>
      </w:r>
    </w:p>
    <w:p w14:paraId="13B0F15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体来看，流域综合规划统筹区域资源承载能力、生态支撑能力、环境容量与总量等，以保障城乡供水、灌溉用水、生态需水为前提，建立水资源综合利用体系、防洪减灾体系、水资源及生态环境保护体系、流域综合管理体系为目标。另外，评价区域内不涉及生态敏感区</w:t>
      </w:r>
      <w:r>
        <w:rPr>
          <w:rFonts w:hint="default" w:ascii="Times New Roman" w:hAnsi="Times New Roman" w:cs="Times New Roman"/>
          <w:b w:val="0"/>
          <w:bCs w:val="0"/>
          <w:highlight w:val="none"/>
          <w:lang w:val="en-US" w:eastAsia="zh-CN"/>
        </w:rPr>
        <w:t>和生态保护红线，从</w:t>
      </w:r>
      <w:r>
        <w:rPr>
          <w:rFonts w:hint="default" w:ascii="Times New Roman" w:hAnsi="Times New Roman" w:cs="Times New Roman"/>
          <w:highlight w:val="none"/>
          <w:lang w:val="en-US" w:eastAsia="zh-CN"/>
        </w:rPr>
        <w:t>环境保护角度分析，规划总体布局是合理的。</w:t>
      </w:r>
    </w:p>
    <w:p w14:paraId="24DDB1AB">
      <w:pPr>
        <w:pStyle w:val="5"/>
        <w:bidi w:val="0"/>
        <w:rPr>
          <w:rFonts w:hint="default"/>
          <w:highlight w:val="none"/>
          <w:lang w:val="en-US" w:eastAsia="zh-CN"/>
        </w:rPr>
      </w:pPr>
      <w:r>
        <w:rPr>
          <w:rFonts w:hint="default"/>
          <w:highlight w:val="none"/>
          <w:lang w:val="en-US" w:eastAsia="zh-CN"/>
        </w:rPr>
        <w:t>重点水利工程规划布局的合理性分析</w:t>
      </w:r>
    </w:p>
    <w:p w14:paraId="42AC714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冷龙沟流域范围内重点水利工程为规划建设以供水为主，结合灌溉、兼顾生态放流等综合利用的小（1）型水库。水库位于冷龙沟中上游</w:t>
      </w:r>
      <w:r>
        <w:rPr>
          <w:rFonts w:hint="eastAsia" w:cs="Times New Roman"/>
          <w:highlight w:val="none"/>
          <w:lang w:val="en-US" w:eastAsia="zh-CN"/>
        </w:rPr>
        <w:t>--</w:t>
      </w:r>
      <w:r>
        <w:rPr>
          <w:rFonts w:hint="default" w:ascii="Times New Roman" w:hAnsi="Times New Roman" w:cs="Times New Roman"/>
          <w:highlight w:val="none"/>
          <w:lang w:val="en-US" w:eastAsia="zh-CN"/>
        </w:rPr>
        <w:t>冷龙村。水库的建设，将替代原有老旧水利工程，并覆盖原缺水区域，与其他水利工程配合，改变区域用水不均衡的现状，使整个受水区的水资源可以得到统筹、高效利用，充分发挥冷龙沟河段的水资源功效，提高了受水区的生活、生产用水水质、供水能力以及用水安全保障，可促进当地社会经济发展。</w:t>
      </w:r>
    </w:p>
    <w:p w14:paraId="04F2FB1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尼色拥水库已列入乡城县“十四五”水利规划中，并纳入甘孜州2023-2035年重点项目名单、甘孜州水利发展“十四五”水安全保障规划水利工程项目名单、《甘孜州水资源综合规划》，为甘孜州规划新建的8座水库工程之一，是甘孜州十四五期间的重点建设项目。</w:t>
      </w:r>
    </w:p>
    <w:p w14:paraId="39DFBBF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根据调查，项目不在乡城县生态红线分布范围内，不涉及《四川省生态保护红线方案》划定的生态保护红线区域，项目建设符合《四川省生态保护红线方案》相关要求。</w:t>
      </w:r>
    </w:p>
    <w:p w14:paraId="21B59CA0">
      <w:pPr>
        <w:pStyle w:val="5"/>
        <w:bidi w:val="0"/>
        <w:rPr>
          <w:rFonts w:hint="default"/>
          <w:highlight w:val="none"/>
          <w:lang w:val="en-US" w:eastAsia="zh-CN"/>
        </w:rPr>
      </w:pPr>
      <w:r>
        <w:rPr>
          <w:rFonts w:hint="default"/>
          <w:highlight w:val="none"/>
          <w:lang w:val="en-US" w:eastAsia="zh-CN"/>
        </w:rPr>
        <w:t>其他规划工程的合理性分析</w:t>
      </w:r>
    </w:p>
    <w:p w14:paraId="7953BBA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冷龙沟流域主要以供水规划为主，防洪、水土保持与生态环境保护结合。</w:t>
      </w:r>
    </w:p>
    <w:p w14:paraId="16D89F0E">
      <w:pPr>
        <w:bidi w:val="0"/>
        <w:rPr>
          <w:rFonts w:hint="default"/>
          <w:highlight w:val="none"/>
          <w:lang w:val="en-US" w:eastAsia="zh-CN"/>
        </w:rPr>
      </w:pPr>
      <w:r>
        <w:rPr>
          <w:rFonts w:hint="default"/>
          <w:highlight w:val="none"/>
          <w:lang w:val="en-US" w:eastAsia="zh-CN"/>
        </w:rPr>
        <w:t>1、防洪减灾规划</w:t>
      </w:r>
    </w:p>
    <w:p w14:paraId="7B041C0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不属于防洪灾害易发区域；冷龙沟流域范围区域被划为一般防洪保护区，规划防御标准为10～20年一遇。流域上游主要为原始森林，中下游分布有少量农田。目前冷龙沟流域规划防洪水库一座（尼色拥水库兼有防洪调蓄功能），防洪堤防3km，主要位于水库下游段。本次规划防洪工程主要考虑了流域的现状人口分布情况、重要防洪对象情况和流域内防洪体系现状，以保护两岸居民的生命财产安全、减轻沿河两岸农田、林地的淹没为主，且规划的防洪工程不涉及自然保护区、风景名胜区等生态敏感区，也不涉及生态保护红线，总体来说防洪规划布局是合理的。</w:t>
      </w:r>
    </w:p>
    <w:p w14:paraId="271AECB6">
      <w:pPr>
        <w:bidi w:val="0"/>
        <w:rPr>
          <w:rFonts w:hint="default"/>
          <w:highlight w:val="none"/>
          <w:lang w:val="en-US" w:eastAsia="zh-CN"/>
        </w:rPr>
      </w:pPr>
      <w:r>
        <w:rPr>
          <w:rFonts w:hint="default"/>
          <w:highlight w:val="none"/>
          <w:lang w:val="en-US" w:eastAsia="zh-CN"/>
        </w:rPr>
        <w:t>2、水土保持规划</w:t>
      </w:r>
    </w:p>
    <w:p w14:paraId="01A939C6">
      <w:pP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水土保持规划是生态建设的一项重要措施，本着“预防为主，保护优先，全面规划，综合防治”的原则，遵循“大预防、小治理”的治理思路，科学制定水土保持规划布局。坚持“以点带面、示范先行”和“自然修复为主，人工建设为辅”的原则，从传统单一措施的治理方式逐步转变为现阶段以小流域为单元的综合治理模式，逐步形成“水保搭台、政府倡导、部门联动、全社会参与”的水土流失治理新格局。</w:t>
      </w:r>
    </w:p>
    <w:p w14:paraId="76F7733E">
      <w:pP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冷龙沟流域内坡耕地集中分布，耕地资源较缺，需重视对坡耕地的综合整治，保障粮食生产能力。坡耕地综合整治要以≥25°的坡耕地为重点，适当兼顾15°~25°坡耕地，优化配置水土资源，以坡改梯为主要手段，配套完善蓄、灌、排水系统工程，合理设置机耕路和田间生产道路，保持水土，便利生产。</w:t>
      </w:r>
    </w:p>
    <w:p w14:paraId="1D163D33">
      <w:pP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流域内水土保持工程主要是实施坡耕地改造、封禁治理和配套截引蓄水、灌排引水设施。规划布局考虑了流域生态现状、相关规划、区域规划生态环境保护定位及重要生态功能区的要求，水土保持规划的实施对流域生态环境将产生一定的有利影响，显著改善流域水土流失情况，提高流域水源涵养能力，改善流域生态环境生态脆弱状况，生态环境效益显著，具有一定的环境合理性。</w:t>
      </w:r>
    </w:p>
    <w:p w14:paraId="73882B7C">
      <w:pPr>
        <w:bidi w:val="0"/>
        <w:rPr>
          <w:rFonts w:hint="default"/>
          <w:highlight w:val="none"/>
          <w:lang w:val="en-US" w:eastAsia="zh-CN"/>
        </w:rPr>
      </w:pPr>
      <w:r>
        <w:rPr>
          <w:rFonts w:hint="default"/>
          <w:highlight w:val="none"/>
          <w:lang w:val="en-US" w:eastAsia="zh-CN"/>
        </w:rPr>
        <w:t>3、水资源保护与水生态修复规划</w:t>
      </w:r>
    </w:p>
    <w:p w14:paraId="538F8044">
      <w:pP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冷龙沟流域自然资源丰富，生物多样性程度较高，生态环境总体较好。但局部地区水土流失较严重；各类开发活动导致水生生态环境受到一定不利影响。冷龙沟流域规划水生态保护从敏感区及流域重点河段方面进行规划布局。在流域优先保护的的前提下，协调资源开发与生态修复、制定流域不同区域的开发与保护格局，规划合理。</w:t>
      </w:r>
    </w:p>
    <w:p w14:paraId="60BCDDE5">
      <w:pPr>
        <w:pStyle w:val="4"/>
        <w:bidi w:val="0"/>
        <w:rPr>
          <w:rFonts w:hint="default"/>
          <w:highlight w:val="none"/>
          <w:lang w:val="en-US" w:eastAsia="zh-CN"/>
        </w:rPr>
      </w:pPr>
      <w:r>
        <w:rPr>
          <w:rFonts w:hint="default"/>
          <w:highlight w:val="none"/>
          <w:lang w:val="en-US" w:eastAsia="zh-CN"/>
        </w:rPr>
        <w:t>开发时序的环境合理性</w:t>
      </w:r>
    </w:p>
    <w:p w14:paraId="28E44B8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综合规划安排的各类项目，包括防洪减灾体系、水资源开发利用体系、水资源保护水生态保护修复体系、水土保持体系、综合管理体系等五大类。根据冷龙沟河流域社会经济发展需求，冷龙沟流域综合规划项目安排按轻重缓急于2035年前实施完毕，具体按以下原则进行安排:</w:t>
      </w:r>
    </w:p>
    <w:p w14:paraId="39F2555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1、优先安排与人民群众生活、生产密切相关的民生水利项目，如以城镇供水为重点的水源工程。</w:t>
      </w:r>
    </w:p>
    <w:p w14:paraId="54DEA7F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2、优先安排保障流域下游聚集区及其他重要保护目标防洪安全的治理项目。</w:t>
      </w:r>
    </w:p>
    <w:p w14:paraId="5E0B893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3、尽快安排支持和保障流域经济社会发展和人民生命财产安全的较大项目，如防洪工程等。</w:t>
      </w:r>
    </w:p>
    <w:p w14:paraId="5BD783D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从环境角度分析，规划开发时序应根据流域经济社会发展需要，选择对流域内生态环境、自然景观和环境敏感区不利影响较小的工程内容列入近期工程规划。基础条件较差的工程视流域经济社会发展的要求，在远期经过环境、经济社会等方面充分论证之后可考虑实施。</w:t>
      </w:r>
    </w:p>
    <w:p w14:paraId="0840EDC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冷龙沟流域规划内容的建设时序综合考虑了冷龙沟流域城市发展要求,结合当前国家对乡城地区发展的关注，对涉及民生（供水、灌溉）、防洪安全、生态保护等规划安排在2025年实施，以便更早发挥效益，使地区的社会经济发展得到有利保障。</w:t>
      </w:r>
    </w:p>
    <w:p w14:paraId="123E478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综上分析，规划报告中开发时序的确定还应将关注生态环境影响作为依据，在发挥民生水利工程效益的同时，响应国家对于生态文明建设的要求及美丽中国的建设要求，推进冷龙沟流域生态环境与经济社会同步发展。</w:t>
      </w:r>
    </w:p>
    <w:p w14:paraId="64F44F52">
      <w:pPr>
        <w:pStyle w:val="4"/>
        <w:bidi w:val="0"/>
        <w:rPr>
          <w:rFonts w:hint="default"/>
          <w:highlight w:val="none"/>
          <w:lang w:val="en-US" w:eastAsia="zh-CN"/>
        </w:rPr>
      </w:pPr>
      <w:r>
        <w:rPr>
          <w:rFonts w:hint="default"/>
          <w:highlight w:val="none"/>
          <w:lang w:val="en-US" w:eastAsia="zh-CN"/>
        </w:rPr>
        <w:t>规划目标的可达性分析</w:t>
      </w:r>
    </w:p>
    <w:p w14:paraId="58EA81A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对各专项规划进行布局，确定了合理规模，并采取本规划环评报告提出的各项环境保护措施，在各项规划实施中，对环保措施进行进一步论证、优化、完善，并认真落实，以确保规划目标的实现，规划环境目标可达性分析见下表所示。</w:t>
      </w:r>
    </w:p>
    <w:p w14:paraId="0484AC09">
      <w:pPr>
        <w:ind w:left="0" w:leftChars="0" w:firstLine="0" w:firstLineChars="0"/>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328C1504">
      <w:pPr>
        <w:pStyle w:val="11"/>
        <w:ind w:left="0" w:leftChars="0" w:firstLine="0" w:firstLineChars="0"/>
        <w:rPr>
          <w:rFonts w:hint="default" w:ascii="Times New Roman" w:hAnsi="Times New Roman" w:eastAsia="黑体"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冷龙沟流域规划目标可达性分析表</w:t>
      </w:r>
    </w:p>
    <w:tbl>
      <w:tblPr>
        <w:tblStyle w:val="24"/>
        <w:tblW w:w="13837"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76"/>
        <w:gridCol w:w="1203"/>
        <w:gridCol w:w="2906"/>
        <w:gridCol w:w="2731"/>
        <w:gridCol w:w="4415"/>
        <w:gridCol w:w="1306"/>
      </w:tblGrid>
      <w:tr w14:paraId="6D2602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2479" w:type="dxa"/>
            <w:gridSpan w:val="2"/>
            <w:tcBorders>
              <w:top w:val="single" w:color="auto" w:sz="4" w:space="0"/>
              <w:left w:val="single" w:color="auto" w:sz="4" w:space="0"/>
              <w:bottom w:val="single" w:color="auto" w:sz="4" w:space="0"/>
              <w:right w:val="single" w:color="auto" w:sz="4" w:space="0"/>
            </w:tcBorders>
            <w:vAlign w:val="center"/>
          </w:tcPr>
          <w:p w14:paraId="49E5760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环境要素</w:t>
            </w:r>
          </w:p>
        </w:tc>
        <w:tc>
          <w:tcPr>
            <w:tcW w:w="2906" w:type="dxa"/>
            <w:tcBorders>
              <w:top w:val="single" w:color="auto" w:sz="4" w:space="0"/>
              <w:left w:val="single" w:color="auto" w:sz="4" w:space="0"/>
              <w:bottom w:val="single" w:color="auto" w:sz="4" w:space="0"/>
              <w:right w:val="single" w:color="auto" w:sz="4" w:space="0"/>
            </w:tcBorders>
            <w:shd w:val="clear" w:color="auto" w:fill="auto"/>
            <w:vAlign w:val="center"/>
          </w:tcPr>
          <w:p w14:paraId="05CA0F8F">
            <w:pPr>
              <w:pStyle w:val="22"/>
              <w:bidi w:val="0"/>
              <w:ind w:firstLine="0" w:firstLineChars="0"/>
              <w:jc w:val="center"/>
              <w:rPr>
                <w:rFonts w:hint="default" w:ascii="Times New Roman" w:hAnsi="Times New Roman" w:cs="Times New Roman" w:eastAsiaTheme="minorEastAsia"/>
                <w:iCs/>
                <w:kern w:val="2"/>
                <w:sz w:val="21"/>
                <w:szCs w:val="21"/>
                <w:highlight w:val="none"/>
                <w:lang w:val="en-US" w:eastAsia="zh-CN" w:bidi="ar-SA"/>
              </w:rPr>
            </w:pPr>
            <w:r>
              <w:rPr>
                <w:rFonts w:hint="default" w:ascii="Times New Roman" w:hAnsi="Times New Roman" w:cs="Times New Roman"/>
                <w:highlight w:val="none"/>
              </w:rPr>
              <w:t>环境目标</w:t>
            </w:r>
          </w:p>
        </w:tc>
        <w:tc>
          <w:tcPr>
            <w:tcW w:w="2731" w:type="dxa"/>
            <w:tcBorders>
              <w:top w:val="single" w:color="auto" w:sz="4" w:space="0"/>
              <w:left w:val="single" w:color="auto" w:sz="4" w:space="0"/>
              <w:bottom w:val="single" w:color="auto" w:sz="4" w:space="0"/>
              <w:right w:val="single" w:color="auto" w:sz="4" w:space="0"/>
            </w:tcBorders>
            <w:shd w:val="clear" w:color="auto" w:fill="auto"/>
            <w:vAlign w:val="center"/>
          </w:tcPr>
          <w:p w14:paraId="59724A32">
            <w:pPr>
              <w:pStyle w:val="22"/>
              <w:bidi w:val="0"/>
              <w:ind w:firstLine="0" w:firstLineChars="0"/>
              <w:jc w:val="center"/>
              <w:rPr>
                <w:rFonts w:hint="default" w:ascii="Times New Roman" w:hAnsi="Times New Roman" w:cs="Times New Roman" w:eastAsiaTheme="minorEastAsia"/>
                <w:iCs/>
                <w:kern w:val="2"/>
                <w:sz w:val="21"/>
                <w:szCs w:val="21"/>
                <w:highlight w:val="none"/>
                <w:lang w:val="en-US" w:eastAsia="zh-CN" w:bidi="ar-SA"/>
              </w:rPr>
            </w:pPr>
            <w:r>
              <w:rPr>
                <w:rFonts w:hint="default" w:ascii="Times New Roman" w:hAnsi="Times New Roman" w:cs="Times New Roman"/>
                <w:highlight w:val="none"/>
              </w:rPr>
              <w:t>评价指标</w:t>
            </w:r>
          </w:p>
        </w:tc>
        <w:tc>
          <w:tcPr>
            <w:tcW w:w="4415" w:type="dxa"/>
            <w:tcBorders>
              <w:top w:val="single" w:color="auto" w:sz="4" w:space="0"/>
              <w:left w:val="single" w:color="auto" w:sz="4" w:space="0"/>
              <w:bottom w:val="single" w:color="auto" w:sz="4" w:space="0"/>
              <w:right w:val="single" w:color="auto" w:sz="4" w:space="0"/>
            </w:tcBorders>
            <w:shd w:val="clear" w:color="auto" w:fill="auto"/>
            <w:vAlign w:val="center"/>
          </w:tcPr>
          <w:p w14:paraId="67E0817A">
            <w:pPr>
              <w:pStyle w:val="22"/>
              <w:bidi w:val="0"/>
              <w:ind w:firstLine="0" w:firstLineChars="0"/>
              <w:jc w:val="center"/>
              <w:rPr>
                <w:rFonts w:hint="default" w:ascii="Times New Roman" w:hAnsi="Times New Roman" w:cs="Times New Roman" w:eastAsiaTheme="minorEastAsia"/>
                <w:iCs/>
                <w:kern w:val="2"/>
                <w:sz w:val="21"/>
                <w:szCs w:val="21"/>
                <w:highlight w:val="none"/>
                <w:lang w:val="en-US" w:eastAsia="zh-CN" w:bidi="ar-SA"/>
              </w:rPr>
            </w:pPr>
            <w:r>
              <w:rPr>
                <w:rFonts w:hint="default" w:ascii="Times New Roman" w:hAnsi="Times New Roman" w:cs="Times New Roman"/>
                <w:highlight w:val="none"/>
              </w:rPr>
              <w:t>规划方案</w:t>
            </w:r>
          </w:p>
        </w:tc>
        <w:tc>
          <w:tcPr>
            <w:tcW w:w="1306" w:type="dxa"/>
            <w:tcBorders>
              <w:top w:val="single" w:color="auto" w:sz="4" w:space="0"/>
              <w:left w:val="single" w:color="auto" w:sz="4" w:space="0"/>
              <w:bottom w:val="single" w:color="auto" w:sz="4" w:space="0"/>
              <w:right w:val="single" w:color="auto" w:sz="4" w:space="0"/>
            </w:tcBorders>
            <w:shd w:val="clear" w:color="auto" w:fill="auto"/>
            <w:vAlign w:val="center"/>
          </w:tcPr>
          <w:p w14:paraId="5DBB49D9">
            <w:pPr>
              <w:pStyle w:val="22"/>
              <w:bidi w:val="0"/>
              <w:ind w:firstLine="0" w:firstLineChars="0"/>
              <w:jc w:val="center"/>
              <w:rPr>
                <w:rFonts w:hint="default" w:ascii="Times New Roman" w:hAnsi="Times New Roman" w:cs="Times New Roman" w:eastAsiaTheme="minorEastAsia"/>
                <w:iCs/>
                <w:kern w:val="2"/>
                <w:sz w:val="21"/>
                <w:szCs w:val="21"/>
                <w:highlight w:val="none"/>
                <w:lang w:val="en-US" w:eastAsia="zh-CN" w:bidi="ar-SA"/>
              </w:rPr>
            </w:pPr>
            <w:r>
              <w:rPr>
                <w:rFonts w:hint="default" w:ascii="Times New Roman" w:hAnsi="Times New Roman" w:cs="Times New Roman"/>
                <w:highlight w:val="none"/>
              </w:rPr>
              <w:t>可达性</w:t>
            </w:r>
          </w:p>
        </w:tc>
      </w:tr>
      <w:tr w14:paraId="138925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restart"/>
            <w:tcBorders>
              <w:top w:val="single" w:color="auto" w:sz="4" w:space="0"/>
              <w:left w:val="single" w:color="auto" w:sz="4" w:space="0"/>
              <w:bottom w:val="single" w:color="auto" w:sz="4" w:space="0"/>
              <w:right w:val="single" w:color="auto" w:sz="4" w:space="0"/>
            </w:tcBorders>
            <w:vAlign w:val="center"/>
          </w:tcPr>
          <w:p w14:paraId="0186761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水环境</w:t>
            </w:r>
          </w:p>
        </w:tc>
        <w:tc>
          <w:tcPr>
            <w:tcW w:w="1203" w:type="dxa"/>
            <w:tcBorders>
              <w:top w:val="single" w:color="auto" w:sz="4" w:space="0"/>
              <w:left w:val="single" w:color="auto" w:sz="4" w:space="0"/>
              <w:bottom w:val="single" w:color="auto" w:sz="4" w:space="0"/>
              <w:right w:val="single" w:color="auto" w:sz="4" w:space="0"/>
            </w:tcBorders>
            <w:vAlign w:val="center"/>
          </w:tcPr>
          <w:p w14:paraId="15E1CD77">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水文情势</w:t>
            </w:r>
          </w:p>
        </w:tc>
        <w:tc>
          <w:tcPr>
            <w:tcW w:w="2906" w:type="dxa"/>
            <w:tcBorders>
              <w:top w:val="single" w:color="auto" w:sz="4" w:space="0"/>
              <w:left w:val="single" w:color="auto" w:sz="4" w:space="0"/>
              <w:bottom w:val="single" w:color="auto" w:sz="4" w:space="0"/>
              <w:right w:val="single" w:color="auto" w:sz="4" w:space="0"/>
            </w:tcBorders>
            <w:vAlign w:val="center"/>
          </w:tcPr>
          <w:p w14:paraId="3105362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保证叶</w:t>
            </w:r>
            <w:r>
              <w:rPr>
                <w:rFonts w:hint="default" w:ascii="Times New Roman" w:hAnsi="Times New Roman" w:cs="Times New Roman"/>
                <w:highlight w:val="none"/>
                <w:lang w:val="en-US" w:eastAsia="zh-CN"/>
              </w:rPr>
              <w:t>冷龙沟大坝以下流域</w:t>
            </w:r>
            <w:r>
              <w:rPr>
                <w:rFonts w:hint="default" w:ascii="Times New Roman" w:hAnsi="Times New Roman" w:cs="Times New Roman"/>
                <w:highlight w:val="none"/>
              </w:rPr>
              <w:t>生态用水量，满足</w:t>
            </w:r>
            <w:r>
              <w:rPr>
                <w:rFonts w:hint="default" w:ascii="Times New Roman" w:hAnsi="Times New Roman" w:cs="Times New Roman"/>
                <w:highlight w:val="none"/>
                <w:lang w:val="en-US" w:eastAsia="zh-CN"/>
              </w:rPr>
              <w:t>水生生物</w:t>
            </w:r>
            <w:r>
              <w:rPr>
                <w:rFonts w:hint="default" w:ascii="Times New Roman" w:hAnsi="Times New Roman" w:cs="Times New Roman"/>
                <w:highlight w:val="none"/>
              </w:rPr>
              <w:t>生存及繁衍的基本条件。</w:t>
            </w:r>
          </w:p>
        </w:tc>
        <w:tc>
          <w:tcPr>
            <w:tcW w:w="2731" w:type="dxa"/>
            <w:tcBorders>
              <w:top w:val="single" w:color="auto" w:sz="4" w:space="0"/>
              <w:left w:val="single" w:color="auto" w:sz="4" w:space="0"/>
              <w:bottom w:val="single" w:color="auto" w:sz="4" w:space="0"/>
              <w:right w:val="single" w:color="auto" w:sz="4" w:space="0"/>
            </w:tcBorders>
            <w:vAlign w:val="center"/>
          </w:tcPr>
          <w:p w14:paraId="5BC186D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取水量不得影响下游生态及 生活、灌溉用水需求。</w:t>
            </w:r>
          </w:p>
        </w:tc>
        <w:tc>
          <w:tcPr>
            <w:tcW w:w="4415" w:type="dxa"/>
            <w:tcBorders>
              <w:top w:val="single" w:color="auto" w:sz="4" w:space="0"/>
              <w:left w:val="single" w:color="auto" w:sz="4" w:space="0"/>
              <w:bottom w:val="single" w:color="auto" w:sz="4" w:space="0"/>
              <w:right w:val="single" w:color="auto" w:sz="4" w:space="0"/>
            </w:tcBorders>
            <w:vAlign w:val="center"/>
          </w:tcPr>
          <w:p w14:paraId="7E84AEC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初期蓄水期间需预留取水口断面处多年平均流量的1</w:t>
            </w:r>
            <w:r>
              <w:rPr>
                <w:rFonts w:hint="default" w:ascii="Times New Roman" w:hAnsi="Times New Roman" w:cs="Times New Roman"/>
                <w:highlight w:val="none"/>
                <w:lang w:val="en-US" w:eastAsia="zh-CN"/>
              </w:rPr>
              <w:t>0</w:t>
            </w:r>
            <w:r>
              <w:rPr>
                <w:rFonts w:hint="default" w:ascii="Times New Roman" w:hAnsi="Times New Roman" w:cs="Times New Roman"/>
                <w:highlight w:val="none"/>
              </w:rPr>
              <w:t>%作为维持水生生态系统稳定的生态流量</w:t>
            </w:r>
          </w:p>
        </w:tc>
        <w:tc>
          <w:tcPr>
            <w:tcW w:w="1306" w:type="dxa"/>
            <w:tcBorders>
              <w:top w:val="single" w:color="auto" w:sz="4" w:space="0"/>
              <w:left w:val="single" w:color="auto" w:sz="4" w:space="0"/>
              <w:bottom w:val="single" w:color="auto" w:sz="4" w:space="0"/>
              <w:right w:val="single" w:color="auto" w:sz="4" w:space="0"/>
            </w:tcBorders>
            <w:vAlign w:val="center"/>
          </w:tcPr>
          <w:p w14:paraId="7E73077B">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2493A8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top w:val="single" w:color="auto" w:sz="4" w:space="0"/>
              <w:left w:val="single" w:color="auto" w:sz="4" w:space="0"/>
              <w:bottom w:val="single" w:color="auto" w:sz="4" w:space="0"/>
              <w:right w:val="single" w:color="auto" w:sz="4" w:space="0"/>
            </w:tcBorders>
            <w:vAlign w:val="center"/>
          </w:tcPr>
          <w:p w14:paraId="4B1B2663">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33E2E395">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水质</w:t>
            </w:r>
          </w:p>
        </w:tc>
        <w:tc>
          <w:tcPr>
            <w:tcW w:w="2906" w:type="dxa"/>
            <w:tcBorders>
              <w:top w:val="single" w:color="auto" w:sz="4" w:space="0"/>
              <w:left w:val="single" w:color="auto" w:sz="4" w:space="0"/>
              <w:bottom w:val="single" w:color="auto" w:sz="4" w:space="0"/>
              <w:right w:val="single" w:color="auto" w:sz="4" w:space="0"/>
            </w:tcBorders>
            <w:vAlign w:val="center"/>
          </w:tcPr>
          <w:p w14:paraId="6B0AAFDD">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冷龙沟河口位于硕曲河理塘乡城保留区，执行Ⅲ类标准。</w:t>
            </w:r>
          </w:p>
        </w:tc>
        <w:tc>
          <w:tcPr>
            <w:tcW w:w="2731" w:type="dxa"/>
            <w:tcBorders>
              <w:top w:val="single" w:color="auto" w:sz="4" w:space="0"/>
              <w:left w:val="single" w:color="auto" w:sz="4" w:space="0"/>
              <w:bottom w:val="single" w:color="auto" w:sz="4" w:space="0"/>
              <w:right w:val="single" w:color="auto" w:sz="4" w:space="0"/>
            </w:tcBorders>
            <w:vAlign w:val="center"/>
          </w:tcPr>
          <w:p w14:paraId="52D2EB1F">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流域水质达标率100%</w:t>
            </w:r>
          </w:p>
        </w:tc>
        <w:tc>
          <w:tcPr>
            <w:tcW w:w="4415" w:type="dxa"/>
            <w:tcBorders>
              <w:top w:val="single" w:color="auto" w:sz="4" w:space="0"/>
              <w:left w:val="single" w:color="auto" w:sz="4" w:space="0"/>
              <w:bottom w:val="single" w:color="auto" w:sz="4" w:space="0"/>
              <w:right w:val="single" w:color="auto" w:sz="4" w:space="0"/>
            </w:tcBorders>
            <w:vAlign w:val="center"/>
          </w:tcPr>
          <w:p w14:paraId="6B73E76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干流水质稳定达</w:t>
            </w:r>
            <w:r>
              <w:rPr>
                <w:rFonts w:hint="default" w:ascii="Times New Roman" w:hAnsi="Times New Roman" w:cs="Times New Roman"/>
                <w:highlight w:val="none"/>
                <w:lang w:val="en-US" w:eastAsia="zh-CN"/>
              </w:rPr>
              <w:t>标</w:t>
            </w:r>
            <w:r>
              <w:rPr>
                <w:rFonts w:hint="default" w:ascii="Times New Roman" w:hAnsi="Times New Roman" w:cs="Times New Roman"/>
                <w:highlight w:val="none"/>
              </w:rPr>
              <w:t>；</w:t>
            </w:r>
            <w:r>
              <w:rPr>
                <w:rFonts w:hint="default" w:ascii="Times New Roman" w:hAnsi="Times New Roman" w:cs="Times New Roman"/>
                <w:highlight w:val="none"/>
                <w:lang w:val="en-US" w:eastAsia="zh-CN"/>
              </w:rPr>
              <w:t>不新增排口</w:t>
            </w:r>
            <w:r>
              <w:rPr>
                <w:rFonts w:hint="default" w:ascii="Times New Roman" w:hAnsi="Times New Roman" w:cs="Times New Roman"/>
                <w:highlight w:val="none"/>
              </w:rPr>
              <w:t>。</w:t>
            </w:r>
          </w:p>
        </w:tc>
        <w:tc>
          <w:tcPr>
            <w:tcW w:w="1306" w:type="dxa"/>
            <w:tcBorders>
              <w:top w:val="single" w:color="auto" w:sz="4" w:space="0"/>
              <w:left w:val="single" w:color="auto" w:sz="4" w:space="0"/>
              <w:bottom w:val="single" w:color="auto" w:sz="4" w:space="0"/>
              <w:right w:val="single" w:color="auto" w:sz="4" w:space="0"/>
            </w:tcBorders>
            <w:vAlign w:val="center"/>
          </w:tcPr>
          <w:p w14:paraId="0CCB1E03">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6574BC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restart"/>
            <w:tcBorders>
              <w:top w:val="single" w:color="auto" w:sz="4" w:space="0"/>
              <w:left w:val="single" w:color="auto" w:sz="4" w:space="0"/>
              <w:bottom w:val="single" w:color="auto" w:sz="4" w:space="0"/>
              <w:right w:val="single" w:color="auto" w:sz="4" w:space="0"/>
            </w:tcBorders>
            <w:vAlign w:val="center"/>
          </w:tcPr>
          <w:p w14:paraId="692475C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生态环境</w:t>
            </w:r>
          </w:p>
        </w:tc>
        <w:tc>
          <w:tcPr>
            <w:tcW w:w="1203" w:type="dxa"/>
            <w:tcBorders>
              <w:top w:val="single" w:color="auto" w:sz="4" w:space="0"/>
              <w:left w:val="single" w:color="auto" w:sz="4" w:space="0"/>
              <w:bottom w:val="single" w:color="auto" w:sz="4" w:space="0"/>
              <w:right w:val="single" w:color="auto" w:sz="4" w:space="0"/>
            </w:tcBorders>
            <w:vAlign w:val="center"/>
          </w:tcPr>
          <w:p w14:paraId="12EC1FF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陆生生态</w:t>
            </w:r>
          </w:p>
        </w:tc>
        <w:tc>
          <w:tcPr>
            <w:tcW w:w="2906" w:type="dxa"/>
            <w:tcBorders>
              <w:top w:val="single" w:color="auto" w:sz="4" w:space="0"/>
              <w:left w:val="single" w:color="auto" w:sz="4" w:space="0"/>
              <w:bottom w:val="single" w:color="auto" w:sz="4" w:space="0"/>
              <w:right w:val="single" w:color="auto" w:sz="4" w:space="0"/>
            </w:tcBorders>
            <w:vAlign w:val="center"/>
          </w:tcPr>
          <w:p w14:paraId="5CE03CF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保护陆生生态环境，减少占用林草地。</w:t>
            </w:r>
          </w:p>
        </w:tc>
        <w:tc>
          <w:tcPr>
            <w:tcW w:w="2731" w:type="dxa"/>
            <w:tcBorders>
              <w:top w:val="single" w:color="auto" w:sz="4" w:space="0"/>
              <w:left w:val="single" w:color="auto" w:sz="4" w:space="0"/>
              <w:bottom w:val="single" w:color="auto" w:sz="4" w:space="0"/>
              <w:right w:val="single" w:color="auto" w:sz="4" w:space="0"/>
            </w:tcBorders>
            <w:vAlign w:val="center"/>
          </w:tcPr>
          <w:p w14:paraId="37439DB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不得影响生态系统的完整性，加强对森林植被及野生动物栖息地的保护。</w:t>
            </w:r>
          </w:p>
        </w:tc>
        <w:tc>
          <w:tcPr>
            <w:tcW w:w="4415" w:type="dxa"/>
            <w:tcBorders>
              <w:top w:val="single" w:color="auto" w:sz="4" w:space="0"/>
              <w:left w:val="single" w:color="auto" w:sz="4" w:space="0"/>
              <w:bottom w:val="single" w:color="auto" w:sz="4" w:space="0"/>
              <w:right w:val="single" w:color="auto" w:sz="4" w:space="0"/>
            </w:tcBorders>
            <w:vAlign w:val="center"/>
          </w:tcPr>
          <w:p w14:paraId="19DAD16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规划方案不会影响生态系统的完整性，提出了对陆生生态保护措施。</w:t>
            </w:r>
          </w:p>
        </w:tc>
        <w:tc>
          <w:tcPr>
            <w:tcW w:w="1306" w:type="dxa"/>
            <w:tcBorders>
              <w:top w:val="single" w:color="auto" w:sz="4" w:space="0"/>
              <w:left w:val="single" w:color="auto" w:sz="4" w:space="0"/>
              <w:bottom w:val="single" w:color="auto" w:sz="4" w:space="0"/>
              <w:right w:val="single" w:color="auto" w:sz="4" w:space="0"/>
            </w:tcBorders>
            <w:vAlign w:val="center"/>
          </w:tcPr>
          <w:p w14:paraId="3AAAC539">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采取措施后可达</w:t>
            </w:r>
          </w:p>
        </w:tc>
      </w:tr>
      <w:tr w14:paraId="643538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top w:val="single" w:color="auto" w:sz="4" w:space="0"/>
              <w:left w:val="single" w:color="auto" w:sz="4" w:space="0"/>
              <w:bottom w:val="single" w:color="auto" w:sz="4" w:space="0"/>
              <w:right w:val="single" w:color="auto" w:sz="4" w:space="0"/>
            </w:tcBorders>
            <w:vAlign w:val="center"/>
          </w:tcPr>
          <w:p w14:paraId="50B4CD18">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4BE3764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水生生态</w:t>
            </w:r>
          </w:p>
        </w:tc>
        <w:tc>
          <w:tcPr>
            <w:tcW w:w="2906" w:type="dxa"/>
            <w:tcBorders>
              <w:top w:val="single" w:color="auto" w:sz="4" w:space="0"/>
              <w:left w:val="single" w:color="auto" w:sz="4" w:space="0"/>
              <w:bottom w:val="single" w:color="auto" w:sz="4" w:space="0"/>
              <w:right w:val="single" w:color="auto" w:sz="4" w:space="0"/>
            </w:tcBorders>
            <w:vAlign w:val="center"/>
          </w:tcPr>
          <w:p w14:paraId="5E7241F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维持水生生态环境，保护鱼类及其三场。</w:t>
            </w:r>
          </w:p>
        </w:tc>
        <w:tc>
          <w:tcPr>
            <w:tcW w:w="2731" w:type="dxa"/>
            <w:tcBorders>
              <w:top w:val="single" w:color="auto" w:sz="4" w:space="0"/>
              <w:left w:val="single" w:color="auto" w:sz="4" w:space="0"/>
              <w:bottom w:val="single" w:color="auto" w:sz="4" w:space="0"/>
              <w:right w:val="single" w:color="auto" w:sz="4" w:space="0"/>
            </w:tcBorders>
            <w:vAlign w:val="center"/>
          </w:tcPr>
          <w:p w14:paraId="187BFB3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减轻对鱼类及其三场的影响。</w:t>
            </w:r>
          </w:p>
        </w:tc>
        <w:tc>
          <w:tcPr>
            <w:tcW w:w="4415" w:type="dxa"/>
            <w:tcBorders>
              <w:top w:val="single" w:color="auto" w:sz="4" w:space="0"/>
              <w:left w:val="single" w:color="auto" w:sz="4" w:space="0"/>
              <w:bottom w:val="single" w:color="auto" w:sz="4" w:space="0"/>
              <w:right w:val="single" w:color="auto" w:sz="4" w:space="0"/>
            </w:tcBorders>
            <w:vAlign w:val="center"/>
          </w:tcPr>
          <w:p w14:paraId="4047806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无重要保护鱼类及三场，采取一定措施减缓工程对水生生态的影响</w:t>
            </w:r>
            <w:r>
              <w:rPr>
                <w:rFonts w:hint="default" w:ascii="Times New Roman" w:hAnsi="Times New Roman" w:cs="Times New Roman"/>
                <w:highlight w:val="none"/>
              </w:rPr>
              <w:t>。</w:t>
            </w:r>
          </w:p>
        </w:tc>
        <w:tc>
          <w:tcPr>
            <w:tcW w:w="1306" w:type="dxa"/>
            <w:tcBorders>
              <w:top w:val="single" w:color="auto" w:sz="4" w:space="0"/>
              <w:left w:val="single" w:color="auto" w:sz="4" w:space="0"/>
              <w:bottom w:val="single" w:color="auto" w:sz="4" w:space="0"/>
              <w:right w:val="single" w:color="auto" w:sz="4" w:space="0"/>
            </w:tcBorders>
            <w:vAlign w:val="center"/>
          </w:tcPr>
          <w:p w14:paraId="7EB96474">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采取措施后可达</w:t>
            </w:r>
          </w:p>
        </w:tc>
      </w:tr>
      <w:tr w14:paraId="5C8B80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top w:val="single" w:color="auto" w:sz="4" w:space="0"/>
              <w:left w:val="single" w:color="auto" w:sz="4" w:space="0"/>
              <w:bottom w:val="single" w:color="auto" w:sz="4" w:space="0"/>
              <w:right w:val="single" w:color="auto" w:sz="4" w:space="0"/>
            </w:tcBorders>
            <w:vAlign w:val="center"/>
          </w:tcPr>
          <w:p w14:paraId="2FBADB36">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4B55027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生物多样性</w:t>
            </w:r>
          </w:p>
        </w:tc>
        <w:tc>
          <w:tcPr>
            <w:tcW w:w="2906" w:type="dxa"/>
            <w:tcBorders>
              <w:top w:val="single" w:color="auto" w:sz="4" w:space="0"/>
              <w:left w:val="single" w:color="auto" w:sz="4" w:space="0"/>
              <w:bottom w:val="single" w:color="auto" w:sz="4" w:space="0"/>
              <w:right w:val="single" w:color="auto" w:sz="4" w:space="0"/>
            </w:tcBorders>
            <w:vAlign w:val="center"/>
          </w:tcPr>
          <w:p w14:paraId="0416246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保护生物多样性。</w:t>
            </w:r>
          </w:p>
        </w:tc>
        <w:tc>
          <w:tcPr>
            <w:tcW w:w="2731" w:type="dxa"/>
            <w:tcBorders>
              <w:top w:val="single" w:color="auto" w:sz="4" w:space="0"/>
              <w:left w:val="single" w:color="auto" w:sz="4" w:space="0"/>
              <w:bottom w:val="single" w:color="auto" w:sz="4" w:space="0"/>
              <w:right w:val="single" w:color="auto" w:sz="4" w:space="0"/>
            </w:tcBorders>
            <w:vAlign w:val="center"/>
          </w:tcPr>
          <w:p w14:paraId="1A4ABB1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是否导致物种消失。</w:t>
            </w:r>
          </w:p>
        </w:tc>
        <w:tc>
          <w:tcPr>
            <w:tcW w:w="4415" w:type="dxa"/>
            <w:tcBorders>
              <w:top w:val="single" w:color="auto" w:sz="4" w:space="0"/>
              <w:left w:val="single" w:color="auto" w:sz="4" w:space="0"/>
              <w:bottom w:val="single" w:color="auto" w:sz="4" w:space="0"/>
              <w:right w:val="single" w:color="auto" w:sz="4" w:space="0"/>
            </w:tcBorders>
            <w:vAlign w:val="center"/>
          </w:tcPr>
          <w:p w14:paraId="23846E3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不会导致物种消失，保持流域生物多样性。</w:t>
            </w:r>
          </w:p>
        </w:tc>
        <w:tc>
          <w:tcPr>
            <w:tcW w:w="1306" w:type="dxa"/>
            <w:tcBorders>
              <w:top w:val="single" w:color="auto" w:sz="4" w:space="0"/>
              <w:left w:val="single" w:color="auto" w:sz="4" w:space="0"/>
              <w:bottom w:val="single" w:color="auto" w:sz="4" w:space="0"/>
              <w:right w:val="single" w:color="auto" w:sz="4" w:space="0"/>
            </w:tcBorders>
            <w:vAlign w:val="center"/>
          </w:tcPr>
          <w:p w14:paraId="20261C2D">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采取措施后可达</w:t>
            </w:r>
          </w:p>
        </w:tc>
      </w:tr>
      <w:tr w14:paraId="16C030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top w:val="single" w:color="auto" w:sz="4" w:space="0"/>
              <w:left w:val="single" w:color="auto" w:sz="4" w:space="0"/>
              <w:bottom w:val="single" w:color="auto" w:sz="4" w:space="0"/>
              <w:right w:val="single" w:color="auto" w:sz="4" w:space="0"/>
            </w:tcBorders>
            <w:vAlign w:val="center"/>
          </w:tcPr>
          <w:p w14:paraId="1FC5CDC6">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1AC550A1">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水土流失</w:t>
            </w:r>
          </w:p>
        </w:tc>
        <w:tc>
          <w:tcPr>
            <w:tcW w:w="2906" w:type="dxa"/>
            <w:tcBorders>
              <w:top w:val="single" w:color="auto" w:sz="4" w:space="0"/>
              <w:left w:val="single" w:color="auto" w:sz="4" w:space="0"/>
              <w:bottom w:val="single" w:color="auto" w:sz="4" w:space="0"/>
              <w:right w:val="single" w:color="auto" w:sz="4" w:space="0"/>
            </w:tcBorders>
            <w:vAlign w:val="center"/>
          </w:tcPr>
          <w:p w14:paraId="6427313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减少水土流失。</w:t>
            </w:r>
          </w:p>
        </w:tc>
        <w:tc>
          <w:tcPr>
            <w:tcW w:w="2731" w:type="dxa"/>
            <w:tcBorders>
              <w:top w:val="single" w:color="auto" w:sz="4" w:space="0"/>
              <w:left w:val="single" w:color="auto" w:sz="4" w:space="0"/>
              <w:bottom w:val="single" w:color="auto" w:sz="4" w:space="0"/>
              <w:right w:val="single" w:color="auto" w:sz="4" w:space="0"/>
            </w:tcBorders>
            <w:vAlign w:val="center"/>
          </w:tcPr>
          <w:p w14:paraId="79A25F4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采取水保措施，防止水土流 失。</w:t>
            </w:r>
          </w:p>
        </w:tc>
        <w:tc>
          <w:tcPr>
            <w:tcW w:w="4415" w:type="dxa"/>
            <w:tcBorders>
              <w:top w:val="single" w:color="auto" w:sz="4" w:space="0"/>
              <w:left w:val="single" w:color="auto" w:sz="4" w:space="0"/>
              <w:bottom w:val="single" w:color="auto" w:sz="4" w:space="0"/>
              <w:right w:val="single" w:color="auto" w:sz="4" w:space="0"/>
            </w:tcBorders>
            <w:vAlign w:val="center"/>
          </w:tcPr>
          <w:p w14:paraId="4924F73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到203</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年，规划综合治理水土流失面积2004.43hm²。</w:t>
            </w:r>
          </w:p>
        </w:tc>
        <w:tc>
          <w:tcPr>
            <w:tcW w:w="1306" w:type="dxa"/>
            <w:tcBorders>
              <w:top w:val="single" w:color="auto" w:sz="4" w:space="0"/>
              <w:left w:val="single" w:color="auto" w:sz="4" w:space="0"/>
              <w:bottom w:val="single" w:color="auto" w:sz="4" w:space="0"/>
              <w:right w:val="single" w:color="auto" w:sz="4" w:space="0"/>
            </w:tcBorders>
            <w:vAlign w:val="center"/>
          </w:tcPr>
          <w:p w14:paraId="7ED812F2">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41C810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tcBorders>
              <w:top w:val="single" w:color="auto" w:sz="4" w:space="0"/>
              <w:left w:val="single" w:color="auto" w:sz="4" w:space="0"/>
              <w:bottom w:val="single" w:color="auto" w:sz="4" w:space="0"/>
              <w:right w:val="single" w:color="auto" w:sz="4" w:space="0"/>
            </w:tcBorders>
            <w:vAlign w:val="center"/>
          </w:tcPr>
          <w:p w14:paraId="4F697CE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环境敏感区</w:t>
            </w:r>
          </w:p>
        </w:tc>
        <w:tc>
          <w:tcPr>
            <w:tcW w:w="1203" w:type="dxa"/>
            <w:tcBorders>
              <w:top w:val="single" w:color="auto" w:sz="4" w:space="0"/>
              <w:left w:val="single" w:color="auto" w:sz="4" w:space="0"/>
              <w:bottom w:val="single" w:color="auto" w:sz="4" w:space="0"/>
              <w:right w:val="single" w:color="auto" w:sz="4" w:space="0"/>
            </w:tcBorders>
            <w:vAlign w:val="center"/>
          </w:tcPr>
          <w:p w14:paraId="7E2C46D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饮用水源地保护区</w:t>
            </w:r>
          </w:p>
        </w:tc>
        <w:tc>
          <w:tcPr>
            <w:tcW w:w="2906" w:type="dxa"/>
            <w:tcBorders>
              <w:top w:val="single" w:color="auto" w:sz="4" w:space="0"/>
              <w:left w:val="single" w:color="auto" w:sz="4" w:space="0"/>
              <w:bottom w:val="single" w:color="auto" w:sz="4" w:space="0"/>
              <w:right w:val="single" w:color="auto" w:sz="4" w:space="0"/>
            </w:tcBorders>
            <w:vAlign w:val="center"/>
          </w:tcPr>
          <w:p w14:paraId="056F7BD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满足地表水及地下水水源地保护区相关 法律法规及规划的相关要求。</w:t>
            </w:r>
          </w:p>
        </w:tc>
        <w:tc>
          <w:tcPr>
            <w:tcW w:w="2731" w:type="dxa"/>
            <w:tcBorders>
              <w:top w:val="single" w:color="auto" w:sz="4" w:space="0"/>
              <w:left w:val="single" w:color="auto" w:sz="4" w:space="0"/>
              <w:bottom w:val="single" w:color="auto" w:sz="4" w:space="0"/>
              <w:right w:val="single" w:color="auto" w:sz="4" w:space="0"/>
            </w:tcBorders>
            <w:vAlign w:val="center"/>
          </w:tcPr>
          <w:p w14:paraId="2B33AD4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尽可能避免对水源地保护区的影响，是否取得主管部门同意。</w:t>
            </w:r>
          </w:p>
        </w:tc>
        <w:tc>
          <w:tcPr>
            <w:tcW w:w="4415" w:type="dxa"/>
            <w:tcBorders>
              <w:top w:val="single" w:color="auto" w:sz="4" w:space="0"/>
              <w:left w:val="single" w:color="auto" w:sz="4" w:space="0"/>
              <w:bottom w:val="single" w:color="auto" w:sz="4" w:space="0"/>
              <w:right w:val="single" w:color="auto" w:sz="4" w:space="0"/>
            </w:tcBorders>
            <w:vAlign w:val="center"/>
          </w:tcPr>
          <w:p w14:paraId="133F4B0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已开展</w:t>
            </w:r>
            <w:r>
              <w:rPr>
                <w:rFonts w:hint="default" w:ascii="Times New Roman" w:hAnsi="Times New Roman" w:cs="Times New Roman"/>
                <w:highlight w:val="none"/>
              </w:rPr>
              <w:t>水源地保护区</w:t>
            </w:r>
            <w:r>
              <w:rPr>
                <w:rFonts w:hint="default" w:ascii="Times New Roman" w:hAnsi="Times New Roman" w:cs="Times New Roman"/>
                <w:highlight w:val="none"/>
                <w:lang w:val="en-US" w:eastAsia="zh-CN"/>
              </w:rPr>
              <w:t>制约分析报告</w:t>
            </w:r>
            <w:r>
              <w:rPr>
                <w:rFonts w:hint="default" w:ascii="Times New Roman" w:hAnsi="Times New Roman" w:cs="Times New Roman"/>
                <w:highlight w:val="none"/>
              </w:rPr>
              <w:t>。</w:t>
            </w:r>
          </w:p>
        </w:tc>
        <w:tc>
          <w:tcPr>
            <w:tcW w:w="1306" w:type="dxa"/>
            <w:tcBorders>
              <w:top w:val="single" w:color="auto" w:sz="4" w:space="0"/>
              <w:left w:val="single" w:color="auto" w:sz="4" w:space="0"/>
              <w:bottom w:val="single" w:color="auto" w:sz="4" w:space="0"/>
              <w:right w:val="single" w:color="auto" w:sz="4" w:space="0"/>
            </w:tcBorders>
            <w:vAlign w:val="center"/>
          </w:tcPr>
          <w:p w14:paraId="30F3BAA4">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7D32E1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restart"/>
            <w:tcBorders>
              <w:top w:val="single" w:color="auto" w:sz="4" w:space="0"/>
              <w:left w:val="single" w:color="auto" w:sz="4" w:space="0"/>
              <w:bottom w:val="single" w:color="auto" w:sz="4" w:space="0"/>
              <w:right w:val="single" w:color="auto" w:sz="4" w:space="0"/>
            </w:tcBorders>
            <w:vAlign w:val="center"/>
          </w:tcPr>
          <w:p w14:paraId="5D06983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社会环境</w:t>
            </w:r>
          </w:p>
        </w:tc>
        <w:tc>
          <w:tcPr>
            <w:tcW w:w="1203" w:type="dxa"/>
            <w:tcBorders>
              <w:top w:val="single" w:color="auto" w:sz="4" w:space="0"/>
              <w:left w:val="single" w:color="auto" w:sz="4" w:space="0"/>
              <w:bottom w:val="single" w:color="auto" w:sz="4" w:space="0"/>
              <w:right w:val="single" w:color="auto" w:sz="4" w:space="0"/>
            </w:tcBorders>
            <w:vAlign w:val="center"/>
          </w:tcPr>
          <w:p w14:paraId="5DBD616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社会经济</w:t>
            </w:r>
          </w:p>
        </w:tc>
        <w:tc>
          <w:tcPr>
            <w:tcW w:w="2906" w:type="dxa"/>
            <w:tcBorders>
              <w:top w:val="single" w:color="auto" w:sz="4" w:space="0"/>
              <w:left w:val="single" w:color="auto" w:sz="4" w:space="0"/>
              <w:bottom w:val="single" w:color="auto" w:sz="4" w:space="0"/>
              <w:right w:val="single" w:color="auto" w:sz="4" w:space="0"/>
            </w:tcBorders>
            <w:vAlign w:val="center"/>
          </w:tcPr>
          <w:p w14:paraId="6C76DD2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规划方案综合经济效益。</w:t>
            </w:r>
          </w:p>
        </w:tc>
        <w:tc>
          <w:tcPr>
            <w:tcW w:w="2731" w:type="dxa"/>
            <w:tcBorders>
              <w:top w:val="single" w:color="auto" w:sz="4" w:space="0"/>
              <w:left w:val="single" w:color="auto" w:sz="4" w:space="0"/>
              <w:bottom w:val="single" w:color="auto" w:sz="4" w:space="0"/>
              <w:right w:val="single" w:color="auto" w:sz="4" w:space="0"/>
            </w:tcBorders>
            <w:vAlign w:val="center"/>
          </w:tcPr>
          <w:p w14:paraId="55ABAA4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促进地方经济发展。</w:t>
            </w:r>
          </w:p>
        </w:tc>
        <w:tc>
          <w:tcPr>
            <w:tcW w:w="4415" w:type="dxa"/>
            <w:tcBorders>
              <w:top w:val="single" w:color="auto" w:sz="4" w:space="0"/>
              <w:left w:val="single" w:color="auto" w:sz="4" w:space="0"/>
              <w:bottom w:val="single" w:color="auto" w:sz="4" w:space="0"/>
              <w:right w:val="single" w:color="auto" w:sz="4" w:space="0"/>
            </w:tcBorders>
            <w:vAlign w:val="center"/>
          </w:tcPr>
          <w:p w14:paraId="12B9204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规划的防洪工程、</w:t>
            </w:r>
            <w:r>
              <w:rPr>
                <w:rFonts w:hint="default" w:ascii="Times New Roman" w:hAnsi="Times New Roman" w:cs="Times New Roman"/>
                <w:highlight w:val="none"/>
                <w:lang w:val="en-US" w:eastAsia="zh-CN"/>
              </w:rPr>
              <w:t>水库</w:t>
            </w:r>
            <w:r>
              <w:rPr>
                <w:rFonts w:hint="default" w:ascii="Times New Roman" w:hAnsi="Times New Roman" w:cs="Times New Roman"/>
                <w:highlight w:val="none"/>
              </w:rPr>
              <w:t>工程等会带动区域经济的发展，促进地方经济发展。</w:t>
            </w:r>
          </w:p>
        </w:tc>
        <w:tc>
          <w:tcPr>
            <w:tcW w:w="1306" w:type="dxa"/>
            <w:tcBorders>
              <w:top w:val="single" w:color="auto" w:sz="4" w:space="0"/>
              <w:left w:val="single" w:color="auto" w:sz="4" w:space="0"/>
              <w:bottom w:val="single" w:color="auto" w:sz="4" w:space="0"/>
              <w:right w:val="single" w:color="auto" w:sz="4" w:space="0"/>
            </w:tcBorders>
            <w:vAlign w:val="center"/>
          </w:tcPr>
          <w:p w14:paraId="2257BCFF">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0E22FE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top w:val="single" w:color="auto" w:sz="4" w:space="0"/>
              <w:left w:val="single" w:color="auto" w:sz="4" w:space="0"/>
              <w:bottom w:val="single" w:color="auto" w:sz="4" w:space="0"/>
              <w:right w:val="single" w:color="auto" w:sz="4" w:space="0"/>
            </w:tcBorders>
            <w:vAlign w:val="center"/>
          </w:tcPr>
          <w:p w14:paraId="6776DFB6">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61D5C0F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土地利用</w:t>
            </w:r>
          </w:p>
        </w:tc>
        <w:tc>
          <w:tcPr>
            <w:tcW w:w="2906" w:type="dxa"/>
            <w:tcBorders>
              <w:top w:val="single" w:color="auto" w:sz="4" w:space="0"/>
              <w:left w:val="single" w:color="auto" w:sz="4" w:space="0"/>
              <w:bottom w:val="single" w:color="auto" w:sz="4" w:space="0"/>
              <w:right w:val="single" w:color="auto" w:sz="4" w:space="0"/>
            </w:tcBorders>
            <w:vAlign w:val="center"/>
          </w:tcPr>
          <w:p w14:paraId="255D32E3">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减少工程占地。</w:t>
            </w:r>
          </w:p>
        </w:tc>
        <w:tc>
          <w:tcPr>
            <w:tcW w:w="2731" w:type="dxa"/>
            <w:tcBorders>
              <w:top w:val="single" w:color="auto" w:sz="4" w:space="0"/>
              <w:left w:val="single" w:color="auto" w:sz="4" w:space="0"/>
              <w:bottom w:val="single" w:color="auto" w:sz="4" w:space="0"/>
              <w:right w:val="single" w:color="auto" w:sz="4" w:space="0"/>
            </w:tcBorders>
            <w:vAlign w:val="center"/>
          </w:tcPr>
          <w:p w14:paraId="053714C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工程占地面积及类型。</w:t>
            </w:r>
          </w:p>
        </w:tc>
        <w:tc>
          <w:tcPr>
            <w:tcW w:w="4415" w:type="dxa"/>
            <w:tcBorders>
              <w:top w:val="single" w:color="auto" w:sz="4" w:space="0"/>
              <w:left w:val="single" w:color="auto" w:sz="4" w:space="0"/>
              <w:bottom w:val="single" w:color="auto" w:sz="4" w:space="0"/>
              <w:right w:val="single" w:color="auto" w:sz="4" w:space="0"/>
            </w:tcBorders>
            <w:vAlign w:val="center"/>
          </w:tcPr>
          <w:p w14:paraId="05322BD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要求建设项目占地。</w:t>
            </w:r>
          </w:p>
        </w:tc>
        <w:tc>
          <w:tcPr>
            <w:tcW w:w="1306" w:type="dxa"/>
            <w:tcBorders>
              <w:top w:val="single" w:color="auto" w:sz="4" w:space="0"/>
              <w:left w:val="single" w:color="auto" w:sz="4" w:space="0"/>
              <w:bottom w:val="single" w:color="auto" w:sz="4" w:space="0"/>
              <w:right w:val="single" w:color="auto" w:sz="4" w:space="0"/>
            </w:tcBorders>
            <w:vAlign w:val="center"/>
          </w:tcPr>
          <w:p w14:paraId="5FFE848C">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610E95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top w:val="single" w:color="auto" w:sz="4" w:space="0"/>
              <w:left w:val="single" w:color="auto" w:sz="4" w:space="0"/>
              <w:bottom w:val="single" w:color="auto" w:sz="4" w:space="0"/>
              <w:right w:val="single" w:color="auto" w:sz="4" w:space="0"/>
            </w:tcBorders>
            <w:vAlign w:val="center"/>
          </w:tcPr>
          <w:p w14:paraId="711C4150">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125350D2">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农业生产</w:t>
            </w:r>
          </w:p>
        </w:tc>
        <w:tc>
          <w:tcPr>
            <w:tcW w:w="2906" w:type="dxa"/>
            <w:tcBorders>
              <w:top w:val="single" w:color="auto" w:sz="4" w:space="0"/>
              <w:left w:val="single" w:color="auto" w:sz="4" w:space="0"/>
              <w:bottom w:val="single" w:color="auto" w:sz="4" w:space="0"/>
              <w:right w:val="single" w:color="auto" w:sz="4" w:space="0"/>
            </w:tcBorders>
            <w:vAlign w:val="center"/>
          </w:tcPr>
          <w:p w14:paraId="50791079">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对区域农业的影响。</w:t>
            </w:r>
          </w:p>
        </w:tc>
        <w:tc>
          <w:tcPr>
            <w:tcW w:w="2731" w:type="dxa"/>
            <w:tcBorders>
              <w:top w:val="single" w:color="auto" w:sz="4" w:space="0"/>
              <w:left w:val="single" w:color="auto" w:sz="4" w:space="0"/>
              <w:bottom w:val="single" w:color="auto" w:sz="4" w:space="0"/>
              <w:right w:val="single" w:color="auto" w:sz="4" w:space="0"/>
            </w:tcBorders>
            <w:vAlign w:val="center"/>
          </w:tcPr>
          <w:p w14:paraId="4EEFE560">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不得影响农业生产。</w:t>
            </w:r>
          </w:p>
        </w:tc>
        <w:tc>
          <w:tcPr>
            <w:tcW w:w="4415" w:type="dxa"/>
            <w:tcBorders>
              <w:top w:val="single" w:color="auto" w:sz="4" w:space="0"/>
              <w:left w:val="single" w:color="auto" w:sz="4" w:space="0"/>
              <w:bottom w:val="single" w:color="auto" w:sz="4" w:space="0"/>
              <w:right w:val="single" w:color="auto" w:sz="4" w:space="0"/>
            </w:tcBorders>
            <w:vAlign w:val="center"/>
          </w:tcPr>
          <w:p w14:paraId="18008A2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规划方案占用耕地较小，基本不会影响区域农业生产；同时，</w:t>
            </w:r>
            <w:r>
              <w:rPr>
                <w:rFonts w:hint="default" w:ascii="Times New Roman" w:hAnsi="Times New Roman" w:cs="Times New Roman"/>
                <w:highlight w:val="none"/>
                <w:lang w:val="en-US" w:eastAsia="zh-CN"/>
              </w:rPr>
              <w:t>水库</w:t>
            </w:r>
            <w:r>
              <w:rPr>
                <w:rFonts w:hint="default" w:ascii="Times New Roman" w:hAnsi="Times New Roman" w:cs="Times New Roman"/>
                <w:highlight w:val="none"/>
              </w:rPr>
              <w:t>工程的</w:t>
            </w:r>
            <w:r>
              <w:rPr>
                <w:rFonts w:hint="default" w:ascii="Times New Roman" w:hAnsi="Times New Roman" w:cs="Times New Roman"/>
                <w:highlight w:val="none"/>
                <w:lang w:val="en-US" w:eastAsia="zh-CN"/>
              </w:rPr>
              <w:t>建设</w:t>
            </w:r>
            <w:r>
              <w:rPr>
                <w:rFonts w:hint="default" w:ascii="Times New Roman" w:hAnsi="Times New Roman" w:cs="Times New Roman"/>
                <w:highlight w:val="none"/>
              </w:rPr>
              <w:t>实施对区域农业生产有促进作用。</w:t>
            </w:r>
          </w:p>
        </w:tc>
        <w:tc>
          <w:tcPr>
            <w:tcW w:w="1306" w:type="dxa"/>
            <w:tcBorders>
              <w:top w:val="single" w:color="auto" w:sz="4" w:space="0"/>
              <w:left w:val="single" w:color="auto" w:sz="4" w:space="0"/>
              <w:bottom w:val="single" w:color="auto" w:sz="4" w:space="0"/>
              <w:right w:val="single" w:color="auto" w:sz="4" w:space="0"/>
            </w:tcBorders>
            <w:vAlign w:val="center"/>
          </w:tcPr>
          <w:p w14:paraId="633676BE">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采取措施后可达</w:t>
            </w:r>
          </w:p>
        </w:tc>
      </w:tr>
      <w:tr w14:paraId="4E2F2D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top w:val="single" w:color="auto" w:sz="4" w:space="0"/>
              <w:left w:val="single" w:color="auto" w:sz="4" w:space="0"/>
              <w:bottom w:val="single" w:color="auto" w:sz="4" w:space="0"/>
              <w:right w:val="single" w:color="auto" w:sz="4" w:space="0"/>
            </w:tcBorders>
            <w:vAlign w:val="center"/>
          </w:tcPr>
          <w:p w14:paraId="691C4248">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016CB16E">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移民安置</w:t>
            </w:r>
          </w:p>
        </w:tc>
        <w:tc>
          <w:tcPr>
            <w:tcW w:w="2906" w:type="dxa"/>
            <w:tcBorders>
              <w:top w:val="single" w:color="auto" w:sz="4" w:space="0"/>
              <w:left w:val="single" w:color="auto" w:sz="4" w:space="0"/>
              <w:bottom w:val="single" w:color="auto" w:sz="4" w:space="0"/>
              <w:right w:val="single" w:color="auto" w:sz="4" w:space="0"/>
            </w:tcBorders>
            <w:vAlign w:val="center"/>
          </w:tcPr>
          <w:p w14:paraId="511F9C9C">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妥善做好移民安置。</w:t>
            </w:r>
          </w:p>
        </w:tc>
        <w:tc>
          <w:tcPr>
            <w:tcW w:w="2731" w:type="dxa"/>
            <w:tcBorders>
              <w:top w:val="single" w:color="auto" w:sz="4" w:space="0"/>
              <w:left w:val="single" w:color="auto" w:sz="4" w:space="0"/>
              <w:bottom w:val="single" w:color="auto" w:sz="4" w:space="0"/>
              <w:right w:val="single" w:color="auto" w:sz="4" w:space="0"/>
            </w:tcBorders>
            <w:vAlign w:val="center"/>
          </w:tcPr>
          <w:p w14:paraId="6E33599B">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不得影响社会稳定。</w:t>
            </w:r>
          </w:p>
        </w:tc>
        <w:tc>
          <w:tcPr>
            <w:tcW w:w="4415" w:type="dxa"/>
            <w:tcBorders>
              <w:top w:val="single" w:color="auto" w:sz="4" w:space="0"/>
              <w:left w:val="single" w:color="auto" w:sz="4" w:space="0"/>
              <w:bottom w:val="single" w:color="auto" w:sz="4" w:space="0"/>
              <w:right w:val="single" w:color="auto" w:sz="4" w:space="0"/>
            </w:tcBorders>
            <w:vAlign w:val="center"/>
          </w:tcPr>
          <w:p w14:paraId="05E80A5A">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流域范围内已完成</w:t>
            </w:r>
            <w:r>
              <w:rPr>
                <w:rFonts w:hint="default" w:ascii="Times New Roman" w:hAnsi="Times New Roman" w:cs="Times New Roman"/>
                <w:highlight w:val="none"/>
              </w:rPr>
              <w:t>移民搬迁。</w:t>
            </w:r>
          </w:p>
        </w:tc>
        <w:tc>
          <w:tcPr>
            <w:tcW w:w="1306" w:type="dxa"/>
            <w:tcBorders>
              <w:top w:val="single" w:color="auto" w:sz="4" w:space="0"/>
              <w:left w:val="single" w:color="auto" w:sz="4" w:space="0"/>
              <w:bottom w:val="single" w:color="auto" w:sz="4" w:space="0"/>
              <w:right w:val="single" w:color="auto" w:sz="4" w:space="0"/>
            </w:tcBorders>
            <w:vAlign w:val="center"/>
          </w:tcPr>
          <w:p w14:paraId="0D0FAC73">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12E7AF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restart"/>
            <w:tcBorders>
              <w:top w:val="single" w:color="auto" w:sz="4" w:space="0"/>
              <w:left w:val="single" w:color="auto" w:sz="4" w:space="0"/>
              <w:right w:val="single" w:color="auto" w:sz="4" w:space="0"/>
            </w:tcBorders>
            <w:vAlign w:val="center"/>
          </w:tcPr>
          <w:p w14:paraId="7DD9E2AA">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资源承载力</w:t>
            </w:r>
          </w:p>
        </w:tc>
        <w:tc>
          <w:tcPr>
            <w:tcW w:w="1203" w:type="dxa"/>
            <w:tcBorders>
              <w:top w:val="single" w:color="auto" w:sz="4" w:space="0"/>
              <w:left w:val="single" w:color="auto" w:sz="4" w:space="0"/>
              <w:bottom w:val="single" w:color="auto" w:sz="4" w:space="0"/>
              <w:right w:val="single" w:color="auto" w:sz="4" w:space="0"/>
            </w:tcBorders>
            <w:vAlign w:val="center"/>
          </w:tcPr>
          <w:p w14:paraId="3D7C8738">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水资源</w:t>
            </w:r>
          </w:p>
        </w:tc>
        <w:tc>
          <w:tcPr>
            <w:tcW w:w="2906" w:type="dxa"/>
            <w:tcBorders>
              <w:top w:val="single" w:color="auto" w:sz="4" w:space="0"/>
              <w:left w:val="single" w:color="auto" w:sz="4" w:space="0"/>
              <w:bottom w:val="single" w:color="auto" w:sz="4" w:space="0"/>
              <w:right w:val="single" w:color="auto" w:sz="4" w:space="0"/>
            </w:tcBorders>
            <w:vAlign w:val="center"/>
          </w:tcPr>
          <w:p w14:paraId="162985DD">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合理利用和保护水资源。</w:t>
            </w:r>
          </w:p>
        </w:tc>
        <w:tc>
          <w:tcPr>
            <w:tcW w:w="2731" w:type="dxa"/>
            <w:tcBorders>
              <w:top w:val="single" w:color="auto" w:sz="4" w:space="0"/>
              <w:left w:val="single" w:color="auto" w:sz="4" w:space="0"/>
              <w:bottom w:val="single" w:color="auto" w:sz="4" w:space="0"/>
              <w:right w:val="single" w:color="auto" w:sz="4" w:space="0"/>
            </w:tcBorders>
            <w:vAlign w:val="center"/>
          </w:tcPr>
          <w:p w14:paraId="19D05EA6">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进一步合理开发利用水资源。</w:t>
            </w:r>
          </w:p>
        </w:tc>
        <w:tc>
          <w:tcPr>
            <w:tcW w:w="4415" w:type="dxa"/>
            <w:tcBorders>
              <w:top w:val="single" w:color="auto" w:sz="4" w:space="0"/>
              <w:left w:val="single" w:color="auto" w:sz="4" w:space="0"/>
              <w:bottom w:val="single" w:color="auto" w:sz="4" w:space="0"/>
              <w:right w:val="single" w:color="auto" w:sz="4" w:space="0"/>
            </w:tcBorders>
            <w:vAlign w:val="center"/>
          </w:tcPr>
          <w:p w14:paraId="28A31814">
            <w:pPr>
              <w:pStyle w:val="22"/>
              <w:bidi w:val="0"/>
              <w:jc w:val="center"/>
              <w:rPr>
                <w:rFonts w:hint="default" w:ascii="Times New Roman" w:hAnsi="Times New Roman" w:cs="Times New Roman"/>
                <w:highlight w:val="none"/>
              </w:rPr>
            </w:pPr>
            <w:r>
              <w:rPr>
                <w:rFonts w:hint="default" w:ascii="Times New Roman" w:hAnsi="Times New Roman" w:cs="Times New Roman"/>
                <w:highlight w:val="none"/>
              </w:rPr>
              <w:t>进一步合理开发利用水资源。</w:t>
            </w:r>
          </w:p>
        </w:tc>
        <w:tc>
          <w:tcPr>
            <w:tcW w:w="1306" w:type="dxa"/>
            <w:tcBorders>
              <w:top w:val="single" w:color="auto" w:sz="4" w:space="0"/>
              <w:left w:val="single" w:color="auto" w:sz="4" w:space="0"/>
              <w:bottom w:val="single" w:color="auto" w:sz="4" w:space="0"/>
              <w:right w:val="single" w:color="auto" w:sz="4" w:space="0"/>
            </w:tcBorders>
            <w:vAlign w:val="center"/>
          </w:tcPr>
          <w:p w14:paraId="0F6E4E7A">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可达</w:t>
            </w:r>
          </w:p>
        </w:tc>
      </w:tr>
      <w:tr w14:paraId="5E2E4D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5" w:hRule="atLeast"/>
        </w:trPr>
        <w:tc>
          <w:tcPr>
            <w:tcW w:w="1276" w:type="dxa"/>
            <w:vMerge w:val="continue"/>
            <w:tcBorders>
              <w:left w:val="single" w:color="auto" w:sz="4" w:space="0"/>
              <w:bottom w:val="single" w:color="auto" w:sz="4" w:space="0"/>
              <w:right w:val="single" w:color="auto" w:sz="4" w:space="0"/>
            </w:tcBorders>
            <w:vAlign w:val="center"/>
          </w:tcPr>
          <w:p w14:paraId="3BD139E3">
            <w:pPr>
              <w:pStyle w:val="22"/>
              <w:bidi w:val="0"/>
              <w:jc w:val="center"/>
              <w:rPr>
                <w:rFonts w:hint="default" w:ascii="Times New Roman" w:hAnsi="Times New Roman" w:cs="Times New Roman"/>
                <w:highlight w:val="none"/>
              </w:rPr>
            </w:pPr>
          </w:p>
        </w:tc>
        <w:tc>
          <w:tcPr>
            <w:tcW w:w="1203" w:type="dxa"/>
            <w:tcBorders>
              <w:top w:val="single" w:color="auto" w:sz="4" w:space="0"/>
              <w:left w:val="single" w:color="auto" w:sz="4" w:space="0"/>
              <w:bottom w:val="single" w:color="auto" w:sz="4" w:space="0"/>
              <w:right w:val="single" w:color="auto" w:sz="4" w:space="0"/>
            </w:tcBorders>
            <w:vAlign w:val="center"/>
          </w:tcPr>
          <w:p w14:paraId="55277991">
            <w:pPr>
              <w:pStyle w:val="22"/>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土地资源</w:t>
            </w:r>
          </w:p>
        </w:tc>
        <w:tc>
          <w:tcPr>
            <w:tcW w:w="2906" w:type="dxa"/>
            <w:tcBorders>
              <w:top w:val="single" w:color="auto" w:sz="4" w:space="0"/>
              <w:left w:val="single" w:color="auto" w:sz="4" w:space="0"/>
              <w:bottom w:val="single" w:color="auto" w:sz="4" w:space="0"/>
              <w:right w:val="single" w:color="auto" w:sz="4" w:space="0"/>
            </w:tcBorders>
            <w:vAlign w:val="center"/>
          </w:tcPr>
          <w:p w14:paraId="689D9AF1">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合理利用土地资源</w:t>
            </w:r>
          </w:p>
        </w:tc>
        <w:tc>
          <w:tcPr>
            <w:tcW w:w="2731" w:type="dxa"/>
            <w:tcBorders>
              <w:top w:val="single" w:color="auto" w:sz="4" w:space="0"/>
              <w:left w:val="single" w:color="auto" w:sz="4" w:space="0"/>
              <w:bottom w:val="single" w:color="auto" w:sz="4" w:space="0"/>
              <w:right w:val="single" w:color="auto" w:sz="4" w:space="0"/>
            </w:tcBorders>
            <w:shd w:val="clear" w:color="auto" w:fill="auto"/>
            <w:vAlign w:val="center"/>
          </w:tcPr>
          <w:p w14:paraId="7EDFC108">
            <w:pPr>
              <w:pStyle w:val="22"/>
              <w:bidi w:val="0"/>
              <w:jc w:val="center"/>
              <w:rPr>
                <w:rFonts w:hint="default" w:ascii="Times New Roman" w:hAnsi="Times New Roman" w:cs="Times New Roman"/>
                <w:highlight w:val="none"/>
                <w:lang w:val="en-US" w:eastAsia="en-US"/>
              </w:rPr>
            </w:pPr>
            <w:r>
              <w:rPr>
                <w:rFonts w:hint="default" w:ascii="Times New Roman" w:hAnsi="Times New Roman" w:cs="Times New Roman"/>
                <w:highlight w:val="none"/>
              </w:rPr>
              <w:t>尽量减少占地面积，并做好复耕和绿化措施。</w:t>
            </w:r>
          </w:p>
        </w:tc>
        <w:tc>
          <w:tcPr>
            <w:tcW w:w="4415" w:type="dxa"/>
            <w:tcBorders>
              <w:top w:val="single" w:color="auto" w:sz="4" w:space="0"/>
              <w:left w:val="single" w:color="auto" w:sz="4" w:space="0"/>
              <w:bottom w:val="single" w:color="auto" w:sz="4" w:space="0"/>
              <w:right w:val="single" w:color="auto" w:sz="4" w:space="0"/>
            </w:tcBorders>
            <w:shd w:val="clear" w:color="auto" w:fill="auto"/>
            <w:vAlign w:val="center"/>
          </w:tcPr>
          <w:p w14:paraId="10BCD020">
            <w:pPr>
              <w:pStyle w:val="22"/>
              <w:bidi w:val="0"/>
              <w:jc w:val="center"/>
              <w:rPr>
                <w:rFonts w:hint="default" w:ascii="Times New Roman" w:hAnsi="Times New Roman" w:cs="Times New Roman"/>
                <w:highlight w:val="none"/>
                <w:lang w:val="en-US" w:eastAsia="en-US"/>
              </w:rPr>
            </w:pPr>
            <w:r>
              <w:rPr>
                <w:rFonts w:hint="default" w:ascii="Times New Roman" w:hAnsi="Times New Roman" w:cs="Times New Roman"/>
                <w:highlight w:val="none"/>
              </w:rPr>
              <w:t>将严格执行国家农田保护方面的法律法规，并加强保护基本农田及耕地；严格控制规划工程施工占地范围，工程临时占地及时进行复垦等。</w:t>
            </w:r>
          </w:p>
        </w:tc>
        <w:tc>
          <w:tcPr>
            <w:tcW w:w="1306" w:type="dxa"/>
            <w:tcBorders>
              <w:top w:val="single" w:color="auto" w:sz="4" w:space="0"/>
              <w:left w:val="single" w:color="auto" w:sz="4" w:space="0"/>
              <w:bottom w:val="single" w:color="auto" w:sz="4" w:space="0"/>
              <w:right w:val="single" w:color="auto" w:sz="4" w:space="0"/>
            </w:tcBorders>
            <w:shd w:val="clear" w:color="auto" w:fill="auto"/>
            <w:vAlign w:val="center"/>
          </w:tcPr>
          <w:p w14:paraId="02770E41">
            <w:pPr>
              <w:pStyle w:val="22"/>
              <w:bidi w:val="0"/>
              <w:jc w:val="center"/>
              <w:rPr>
                <w:rFonts w:hint="default" w:ascii="Times New Roman" w:hAnsi="Times New Roman" w:cs="Times New Roman"/>
                <w:highlight w:val="none"/>
                <w:lang w:val="en-US" w:eastAsia="en-US"/>
              </w:rPr>
            </w:pPr>
            <w:r>
              <w:rPr>
                <w:rFonts w:hint="default" w:ascii="Times New Roman" w:hAnsi="Times New Roman" w:cs="Times New Roman"/>
                <w:highlight w:val="none"/>
              </w:rPr>
              <w:t>采取措施优化调整后可达</w:t>
            </w:r>
          </w:p>
        </w:tc>
      </w:tr>
    </w:tbl>
    <w:p w14:paraId="10124C73">
      <w:pPr>
        <w:ind w:left="0" w:leftChars="0" w:firstLine="0" w:firstLineChars="0"/>
        <w:rPr>
          <w:rFonts w:hint="default" w:ascii="Times New Roman" w:hAnsi="Times New Roman" w:cs="Times New Roman"/>
          <w:highlight w:val="none"/>
          <w:lang w:val="en-US" w:eastAsia="zh-CN"/>
        </w:rPr>
      </w:pPr>
    </w:p>
    <w:p w14:paraId="1404B024">
      <w:pPr>
        <w:ind w:left="0" w:leftChars="0" w:firstLine="0" w:firstLineChars="0"/>
        <w:rPr>
          <w:rFonts w:hint="default" w:ascii="Times New Roman" w:hAnsi="Times New Roman" w:cs="Times New Roman"/>
          <w:highlight w:val="none"/>
          <w:lang w:val="en-US" w:eastAsia="zh-CN"/>
        </w:rPr>
        <w:sectPr>
          <w:pgSz w:w="16838" w:h="11906" w:orient="landscape"/>
          <w:pgMar w:top="1800" w:right="1440" w:bottom="1800" w:left="1440" w:header="851" w:footer="992" w:gutter="0"/>
          <w:pgNumType w:fmt="decimal"/>
          <w:cols w:space="425" w:num="1"/>
          <w:docGrid w:type="lines" w:linePitch="312" w:charSpace="0"/>
        </w:sectPr>
      </w:pPr>
    </w:p>
    <w:p w14:paraId="62FF2B5B">
      <w:pPr>
        <w:pStyle w:val="3"/>
        <w:bidi w:val="0"/>
        <w:rPr>
          <w:rFonts w:hint="default"/>
          <w:highlight w:val="none"/>
          <w:lang w:val="en-US" w:eastAsia="zh-CN"/>
        </w:rPr>
      </w:pPr>
      <w:bookmarkStart w:id="74" w:name="_Toc2219"/>
      <w:r>
        <w:rPr>
          <w:rFonts w:hint="default"/>
          <w:highlight w:val="none"/>
          <w:lang w:val="en-US" w:eastAsia="zh-CN"/>
        </w:rPr>
        <w:t>规划优化调整建议</w:t>
      </w:r>
      <w:bookmarkEnd w:id="74"/>
    </w:p>
    <w:p w14:paraId="5B5D3781">
      <w:pPr>
        <w:pStyle w:val="4"/>
        <w:bidi w:val="0"/>
        <w:rPr>
          <w:rFonts w:hint="default"/>
          <w:highlight w:val="none"/>
          <w:lang w:val="en-US" w:eastAsia="zh-CN"/>
        </w:rPr>
      </w:pPr>
      <w:r>
        <w:rPr>
          <w:rFonts w:hint="default"/>
          <w:highlight w:val="none"/>
          <w:lang w:val="en-US" w:eastAsia="zh-CN"/>
        </w:rPr>
        <w:t>规划环评与规划编制互动过程</w:t>
      </w:r>
    </w:p>
    <w:p w14:paraId="2BE913E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为了实现从源头预防环境污染和生态破坏，促进经济、社会和环境的全面协调发展，规划环评在规划编制之初即已介入，并与规划的编制、修改、完善实现全过程互动。针对流域综合规划提出了以下几点建议：</w:t>
      </w:r>
    </w:p>
    <w:p w14:paraId="023DD47B">
      <w:pPr>
        <w:numPr>
          <w:ilvl w:val="0"/>
          <w:numId w:val="59"/>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本次规划环评遵循“生态优先、绿色发展”的理念，建议将水源地划定及保护工程调整为近期之后实施，水资源保护与生态保护修复工程近期实施。</w:t>
      </w:r>
    </w:p>
    <w:p w14:paraId="70D24EC9">
      <w:pPr>
        <w:numPr>
          <w:ilvl w:val="0"/>
          <w:numId w:val="59"/>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水资源开发工程下游为现状饮用水水源地，建议开展相关论证并征集相关部门意见。</w:t>
      </w:r>
    </w:p>
    <w:p w14:paraId="7BE8C5C8">
      <w:pPr>
        <w:pStyle w:val="4"/>
        <w:bidi w:val="0"/>
        <w:rPr>
          <w:rFonts w:hint="default"/>
          <w:highlight w:val="none"/>
          <w:lang w:val="en-US" w:eastAsia="zh-CN"/>
        </w:rPr>
      </w:pPr>
      <w:r>
        <w:rPr>
          <w:rFonts w:hint="default"/>
          <w:highlight w:val="none"/>
          <w:lang w:val="en-US" w:eastAsia="zh-CN"/>
        </w:rPr>
        <w:t>规划调整建议</w:t>
      </w:r>
    </w:p>
    <w:p w14:paraId="6DA7CD58">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综合规划安排的各类项目，包括防洪减灾体系、水资源开发利用体系、水资源保护与水生态保护修复体系、水土保持体系、综合管理体系等五大类。根据冷龙沟流域社会经济发展需求，冷龙沟流域综合规划项目安排按轻重缓急于2035年前实施完毕，具体按以下原则进行安排：</w:t>
      </w:r>
    </w:p>
    <w:p w14:paraId="107E075A">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1、优先安排与人民群众生活、生产密切相关的民生水利项目，如以城镇供水为重点的水源工程。</w:t>
      </w:r>
    </w:p>
    <w:p w14:paraId="295B28E3">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2、优先安排保障流域下游聚居区及其他重要保护目标防洪安全的治理项目。</w:t>
      </w:r>
    </w:p>
    <w:p w14:paraId="4E9E5391">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3、尽快安排支持和保障流域经济社会发展和人民生命财产安全的较大项目，如防洪工程、灌区提升改造工程等。</w:t>
      </w:r>
    </w:p>
    <w:p w14:paraId="5311FFC6">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从环境角度分析，规划开发时序应根据流域经济社会发展需要，选择对流域内生态环境、自然景观和环境敏感区不利影响较小的工程内容列入近期工程规划。基础条件较差涉及环境敏感区的工程视流域经济社会发展的要求,在远期经过环境、经济社会等方面充分论证之后可考虑实施。</w:t>
      </w:r>
    </w:p>
    <w:p w14:paraId="4332F0E8">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规划实施过程中，应按照《中华人民共和国环境影响评价法》《建设项目环境保护管理条例》及《建设项目环境保护分类管理名录》等有关规定，组织开展建设项目的环境影响评价工作，并应注意落实以下工作重点与要求：</w:t>
      </w:r>
    </w:p>
    <w:p w14:paraId="7EAE705A">
      <w:pPr>
        <w:bidi w:val="0"/>
        <w:rPr>
          <w:rFonts w:hint="default"/>
          <w:highlight w:val="none"/>
          <w:lang w:val="en-US" w:eastAsia="zh-CN"/>
        </w:rPr>
      </w:pPr>
      <w:r>
        <w:rPr>
          <w:rFonts w:hint="default"/>
          <w:highlight w:val="none"/>
          <w:lang w:val="en-US" w:eastAsia="zh-CN"/>
        </w:rPr>
        <w:t>（1）总体指导意见</w:t>
      </w:r>
    </w:p>
    <w:p w14:paraId="64A29F5F">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近期规划建设项目在开展环境影响评价时，建设项目的规划符合性与环境可行性分析内容可适当简化。应按照生态空间保护与管控要求，在落实流保护、治理、修复方案基础上，深入论证项目建设可能产生的生态环境影响，严格环境准入要求，制定切实可行的生态保护和修复的方案，预防或者减轻近期建设项目实施可能产生的不良环境影响。加强流域综合管理，全面推进河（湖）长制，健全长效机制。落实干支流生境保护与修复任务，建立健全水文、水环境、生态流量、生态系统等监测体系。</w:t>
      </w:r>
    </w:p>
    <w:p w14:paraId="63DC8587">
      <w:pPr>
        <w:bidi w:val="0"/>
        <w:rPr>
          <w:rFonts w:hint="default"/>
          <w:highlight w:val="none"/>
          <w:lang w:val="en-US" w:eastAsia="zh-CN"/>
        </w:rPr>
      </w:pPr>
      <w:r>
        <w:rPr>
          <w:rFonts w:hint="default"/>
          <w:highlight w:val="none"/>
          <w:lang w:val="en-US" w:eastAsia="zh-CN"/>
        </w:rPr>
        <w:t>（2）生态敏感区识别与保护</w:t>
      </w:r>
    </w:p>
    <w:p w14:paraId="3F5E77AA">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由于本阶段的工作任务与设计深度要求限制，规划报告内容相对宏观和概略，在项目环评阶段应加强饮用水水源保护区、重要鱼类生境、重要河流湿地等敏感区的识别调查，对于防洪工程中的堤防和护岸以及取水设施建设，应关注对河流沿岸重要保护湿地及鱼类产卵场的影响分析及避让、减缓措施。</w:t>
      </w:r>
    </w:p>
    <w:p w14:paraId="1A9068E8">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若涉及生态敏感区，应就工程建设内容、规模、影响性质与程度、拟采取的减缓措施等方面与生态敏感区管理部门和行政主管部门进行沟通和协调，取得主管部门的同意意见方可实施。</w:t>
      </w:r>
    </w:p>
    <w:p w14:paraId="055B38FF">
      <w:pPr>
        <w:bidi w:val="0"/>
        <w:rPr>
          <w:rFonts w:hint="default"/>
          <w:highlight w:val="none"/>
          <w:lang w:val="en-US" w:eastAsia="zh-CN"/>
        </w:rPr>
      </w:pPr>
      <w:r>
        <w:rPr>
          <w:rFonts w:hint="default"/>
          <w:highlight w:val="none"/>
          <w:lang w:val="en-US" w:eastAsia="zh-CN"/>
        </w:rPr>
        <w:t>（3）饮用水源地识别和保护</w:t>
      </w:r>
    </w:p>
    <w:p w14:paraId="2243F849">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规划近期拟实施的水生态保护工程、防洪工程、供水工程均涉及河道，根据《中华人民共和国水污染防治法》的要求，在项目环境影响评价阶段，对涉及到饮用水源保护区或水源地的施工项目，应在项目环评中强化施工活动对水环境影响的预测，提出减缓措施，使施工活动符合饮用水源保护的相关要求。</w:t>
      </w:r>
    </w:p>
    <w:p w14:paraId="6A180D56">
      <w:pPr>
        <w:numPr>
          <w:ilvl w:val="0"/>
          <w:numId w:val="0"/>
        </w:numPr>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（4）严格落实本次规划环评的要求，关注施工环境保护措施，建立有效的监控机制，开展环境监理，严格落实“三同时”及环保竣工验收制度。</w:t>
      </w:r>
    </w:p>
    <w:p w14:paraId="5196DB51">
      <w:pPr>
        <w:numPr>
          <w:ilvl w:val="0"/>
          <w:numId w:val="0"/>
        </w:numPr>
        <w:ind w:firstLine="480" w:firstLineChars="200"/>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02EF8B17">
      <w:pPr>
        <w:pStyle w:val="2"/>
        <w:bidi w:val="0"/>
        <w:rPr>
          <w:rFonts w:hint="default"/>
          <w:highlight w:val="none"/>
          <w:lang w:val="en-US" w:eastAsia="zh-CN"/>
        </w:rPr>
      </w:pPr>
      <w:bookmarkStart w:id="75" w:name="_Toc10971"/>
      <w:r>
        <w:rPr>
          <w:rFonts w:hint="default"/>
          <w:highlight w:val="none"/>
          <w:lang w:val="en-US" w:eastAsia="zh-CN"/>
        </w:rPr>
        <w:t>环境影响减缓对策与措施</w:t>
      </w:r>
      <w:bookmarkEnd w:id="75"/>
    </w:p>
    <w:p w14:paraId="22442963">
      <w:pPr>
        <w:pStyle w:val="3"/>
        <w:bidi w:val="0"/>
        <w:rPr>
          <w:rFonts w:hint="default"/>
          <w:highlight w:val="none"/>
          <w:lang w:val="en-US" w:eastAsia="zh-CN"/>
        </w:rPr>
      </w:pPr>
      <w:bookmarkStart w:id="76" w:name="_Toc24276"/>
      <w:r>
        <w:rPr>
          <w:rFonts w:hint="default"/>
          <w:highlight w:val="none"/>
          <w:lang w:val="en-US" w:eastAsia="zh-CN"/>
        </w:rPr>
        <w:t>流域生态环境管控</w:t>
      </w:r>
      <w:bookmarkEnd w:id="76"/>
    </w:p>
    <w:p w14:paraId="43BA6B24">
      <w:pPr>
        <w:pStyle w:val="4"/>
        <w:bidi w:val="0"/>
        <w:rPr>
          <w:rFonts w:hint="default"/>
          <w:highlight w:val="none"/>
          <w:lang w:val="en-US" w:eastAsia="zh-CN"/>
        </w:rPr>
      </w:pPr>
      <w:r>
        <w:rPr>
          <w:rFonts w:hint="default"/>
          <w:highlight w:val="none"/>
          <w:lang w:val="en-US" w:eastAsia="zh-CN"/>
        </w:rPr>
        <w:t>生态空间清单</w:t>
      </w:r>
    </w:p>
    <w:p w14:paraId="2A55984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规划总体目标包括提高流域综合防洪减灾能力、提高流域水资源配置能力、提高流域生态与环境保护能力、提高灌溉水综合利用系数、提高流域水资源综合管理能力等方面，规划的全为生态类项目，因此评价要求，除防洪护岸、山洪治理、水环境治理、水土保持等项目外，坚持保护优先、自然恢复为主的基本方针，确保生态功能不降低、面积不减少、性质不改变；涉及饮用水水源保护区、生态保护红线和基本农田等的项目，按照主管部门现行法律法规严格管理。</w:t>
      </w:r>
    </w:p>
    <w:p w14:paraId="1065A98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内现有1处饮用水水源保护区，按照《中华人民共和国水污染防治法》《饮用水水源保护区污染防治管理规定》《集中式饮用水水源环境保护指南（试行）》《四川省饮用水水源保护管理条例》《甘孜州饮用水水源保护管理条例（征求意见稿）》等水源地保护的相关要求，对冷龙沟流域提出生态保护空间管理要求。</w:t>
      </w:r>
    </w:p>
    <w:p w14:paraId="6AEB9B89">
      <w:pPr>
        <w:pStyle w:val="11"/>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冷龙沟流域生态空间管控清单</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1916"/>
        <w:gridCol w:w="5690"/>
      </w:tblGrid>
      <w:tr w14:paraId="7B589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Align w:val="center"/>
          </w:tcPr>
          <w:p w14:paraId="1AA5F7A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1916" w:type="dxa"/>
            <w:vAlign w:val="center"/>
          </w:tcPr>
          <w:p w14:paraId="3D86E65B">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区域</w:t>
            </w:r>
          </w:p>
        </w:tc>
        <w:tc>
          <w:tcPr>
            <w:tcW w:w="5690" w:type="dxa"/>
            <w:vAlign w:val="center"/>
          </w:tcPr>
          <w:p w14:paraId="5603632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管控要求</w:t>
            </w:r>
          </w:p>
        </w:tc>
      </w:tr>
      <w:tr w14:paraId="4E38B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Align w:val="center"/>
          </w:tcPr>
          <w:p w14:paraId="3A55AE8F">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w:t>
            </w:r>
          </w:p>
        </w:tc>
        <w:tc>
          <w:tcPr>
            <w:tcW w:w="1916" w:type="dxa"/>
            <w:vAlign w:val="center"/>
          </w:tcPr>
          <w:p w14:paraId="7511B45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饮用水水源保护区</w:t>
            </w:r>
          </w:p>
        </w:tc>
        <w:tc>
          <w:tcPr>
            <w:tcW w:w="5690" w:type="dxa"/>
            <w:vAlign w:val="center"/>
          </w:tcPr>
          <w:p w14:paraId="71AAA289">
            <w:pPr>
              <w:pStyle w:val="22"/>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在地表水饮用水源准保护区内：①禁止一切破坏水环境生态平衡的活动以及破坏水源林、护岸林、与水源保护相关植被的活动；②禁止向水域倾倒工业废渣、城市垃圾、粪便及其它废弃物；③运输有毒有害物质、油类、粪便的船舶和车辆一般不准进入保护区，必须进入者应事先申请并经有关部门批准、登记并设置防渗、防溢、防漏设施；④禁止使用剧毒和高残留农药，不得滥用化肥，不得使用炸药、毒品捕杀鱼类。</w:t>
            </w:r>
          </w:p>
          <w:p w14:paraId="53E3D93E">
            <w:pPr>
              <w:pStyle w:val="22"/>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w:t>
            </w:r>
          </w:p>
          <w:p w14:paraId="6D293FC3">
            <w:pPr>
              <w:pStyle w:val="22"/>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p>
          <w:p w14:paraId="6D48FA3B">
            <w:pPr>
              <w:pStyle w:val="22"/>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4.禁止在饮用水水源准保护区内新建、扩建对水体污染严重的建设项目；改建建设项目，不得增加排污量。</w:t>
            </w:r>
          </w:p>
        </w:tc>
      </w:tr>
      <w:tr w14:paraId="59CF0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Align w:val="center"/>
          </w:tcPr>
          <w:p w14:paraId="0A05F53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w:t>
            </w:r>
          </w:p>
        </w:tc>
        <w:tc>
          <w:tcPr>
            <w:tcW w:w="1916" w:type="dxa"/>
            <w:vAlign w:val="center"/>
          </w:tcPr>
          <w:p w14:paraId="27B7B56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一般生态空间</w:t>
            </w:r>
          </w:p>
        </w:tc>
        <w:tc>
          <w:tcPr>
            <w:tcW w:w="5690" w:type="dxa"/>
            <w:vAlign w:val="center"/>
          </w:tcPr>
          <w:p w14:paraId="5816E3B2">
            <w:pPr>
              <w:pStyle w:val="22"/>
              <w:numPr>
                <w:ilvl w:val="0"/>
                <w:numId w:val="60"/>
              </w:numPr>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禁止发展高耗能、高排放、高污染产业，禁止有损自然生态系统的侵占水面、湿地、林地的农业开发活动。</w:t>
            </w:r>
          </w:p>
          <w:p w14:paraId="3EFEE51F">
            <w:pPr>
              <w:pStyle w:val="22"/>
              <w:numPr>
                <w:ilvl w:val="0"/>
                <w:numId w:val="60"/>
              </w:numPr>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在不损害生态系统功能的前提下，因地制宜地适度发展旅游、农林产品生产和加工、观光休闲农业等产业。</w:t>
            </w:r>
          </w:p>
        </w:tc>
      </w:tr>
    </w:tbl>
    <w:p w14:paraId="241711CD">
      <w:pPr>
        <w:pStyle w:val="4"/>
        <w:bidi w:val="0"/>
        <w:rPr>
          <w:rFonts w:hint="default"/>
          <w:highlight w:val="none"/>
          <w:lang w:val="en-US" w:eastAsia="zh-CN"/>
        </w:rPr>
      </w:pPr>
      <w:r>
        <w:rPr>
          <w:rFonts w:hint="default"/>
          <w:highlight w:val="none"/>
          <w:lang w:val="en-US" w:eastAsia="zh-CN"/>
        </w:rPr>
        <w:t>环境质量底线清单</w:t>
      </w:r>
    </w:p>
    <w:p w14:paraId="333B79BC">
      <w:pPr>
        <w:numPr>
          <w:ilvl w:val="0"/>
          <w:numId w:val="61"/>
        </w:numPr>
        <w:bidi w:val="0"/>
        <w:rPr>
          <w:rFonts w:hint="default"/>
          <w:highlight w:val="none"/>
          <w:lang w:val="en-US" w:eastAsia="zh-CN"/>
        </w:rPr>
      </w:pPr>
      <w:r>
        <w:rPr>
          <w:rFonts w:hint="default"/>
          <w:highlight w:val="none"/>
          <w:lang w:val="en-US" w:eastAsia="zh-CN"/>
        </w:rPr>
        <w:t>水生态质量</w:t>
      </w:r>
    </w:p>
    <w:p w14:paraId="087E439C">
      <w:pPr>
        <w:bidi w:val="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highlight w:val="none"/>
          <w:lang w:val="en-US" w:eastAsia="zh-CN"/>
        </w:rPr>
        <w:t>本评价以最小生态下泄流量作为水生态质量底线，流域内水库设置了生态放流管下泄生态流量，安装在线监控，应确保最小下泄流量。</w:t>
      </w:r>
      <w:r>
        <w:rPr>
          <w:rFonts w:hint="default" w:ascii="Times New Roman" w:hAnsi="Times New Roman" w:cs="Times New Roman"/>
          <w:color w:val="000000" w:themeColor="text1"/>
          <w:sz w:val="24"/>
          <w:highlight w:val="none"/>
          <w14:textFill>
            <w14:solidFill>
              <w14:schemeClr w14:val="tx1"/>
            </w14:solidFill>
          </w14:textFill>
        </w:rPr>
        <w:t>工程下泄流量约0.0216m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/s，占年均径流量的10%。</w:t>
      </w:r>
    </w:p>
    <w:p w14:paraId="11FF2185">
      <w:pPr>
        <w:numPr>
          <w:ilvl w:val="0"/>
          <w:numId w:val="61"/>
        </w:numPr>
        <w:bidi w:val="0"/>
        <w:rPr>
          <w:rFonts w:hint="default"/>
          <w:highlight w:val="none"/>
          <w:lang w:val="en-US" w:eastAsia="zh-CN"/>
        </w:rPr>
      </w:pPr>
      <w:r>
        <w:rPr>
          <w:rFonts w:hint="default"/>
          <w:highlight w:val="none"/>
          <w:lang w:val="en-US" w:eastAsia="zh-CN"/>
        </w:rPr>
        <w:t>水环境质量</w:t>
      </w:r>
    </w:p>
    <w:p w14:paraId="0EA522E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确保水环境质量只能更好，不能变差。依据《四川省水功能区划》，冷龙沟尚未划分水功能区，冷龙沟为硕曲右岸一级支流，冷龙沟河口位于硕曲河理塘乡城保留区，水质保护目标按Ⅱ类执行。</w:t>
      </w:r>
    </w:p>
    <w:p w14:paraId="1573C72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乡城县冷龙沟冷龙村集中式饮用水水源保护区调整划分技术报告》，冷龙沟开发利用主要为乡城县城水源地，该区内应控制相关项目的建设，水质类别控制标准应不低于水源地水质要求类别，冷龙沟水源地水源类型为地表水，即地表水饮用水水源一级保护区内的水质，不得低于国家《地表水环境质量标准》（GB3838-2002）Ⅱ类标准；二级保护区内的水质，不得低于国家《地表水环境质量标准》（GB3838-2002）Ⅲ类标准。</w:t>
      </w:r>
    </w:p>
    <w:p w14:paraId="7BCC19FF">
      <w:pPr>
        <w:pStyle w:val="4"/>
        <w:bidi w:val="0"/>
        <w:rPr>
          <w:rFonts w:hint="default"/>
          <w:highlight w:val="none"/>
          <w:lang w:val="en-US" w:eastAsia="zh-CN"/>
        </w:rPr>
      </w:pPr>
      <w:r>
        <w:rPr>
          <w:rFonts w:hint="default"/>
          <w:highlight w:val="none"/>
          <w:lang w:val="en-US" w:eastAsia="zh-CN"/>
        </w:rPr>
        <w:t>资源利用上线清单</w:t>
      </w:r>
    </w:p>
    <w:p w14:paraId="486A188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国际上认为，一条河流的水资源开发利用率如果超过了40%，生态问题就会出现。本次冷龙沟流域多年平均水资源量为</w:t>
      </w:r>
      <w:r>
        <w:rPr>
          <w:rFonts w:hint="eastAsia" w:cs="Times New Roman"/>
          <w:highlight w:val="none"/>
          <w:lang w:val="en-US" w:eastAsia="zh-CN"/>
        </w:rPr>
        <w:t>1280</w:t>
      </w: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，冷龙沟流域20</w:t>
      </w:r>
      <w:r>
        <w:rPr>
          <w:rFonts w:hint="eastAsia" w:cs="Times New Roman"/>
          <w:highlight w:val="none"/>
          <w:lang w:val="en-US" w:eastAsia="zh-CN"/>
        </w:rPr>
        <w:t>30</w:t>
      </w:r>
      <w:r>
        <w:rPr>
          <w:rFonts w:hint="default" w:ascii="Times New Roman" w:hAnsi="Times New Roman" w:cs="Times New Roman"/>
          <w:highlight w:val="none"/>
          <w:lang w:val="en-US" w:eastAsia="zh-CN"/>
        </w:rPr>
        <w:t>年和2035年水资源开发利用分别达到23.34%与31.14%，水资源利用率均小于国际上一般认为的40%警戒线。所以，规划方案的实施可保证水资源利用目标的实现。</w:t>
      </w:r>
    </w:p>
    <w:p w14:paraId="7FE69DD3">
      <w:pPr>
        <w:pStyle w:val="4"/>
        <w:bidi w:val="0"/>
        <w:rPr>
          <w:rFonts w:hint="default"/>
          <w:highlight w:val="none"/>
          <w:lang w:val="en-US" w:eastAsia="zh-CN"/>
        </w:rPr>
      </w:pPr>
      <w:r>
        <w:rPr>
          <w:rFonts w:hint="default"/>
          <w:highlight w:val="none"/>
          <w:lang w:val="en-US" w:eastAsia="zh-CN"/>
        </w:rPr>
        <w:t>环境准入清单</w:t>
      </w:r>
    </w:p>
    <w:p w14:paraId="5B429BD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本次评价结合国家、地方、行业相关政策、规划等要求，针对水资源开发利用规划、防洪减灾规划、水土保持规、水资源保护与生态保护修复规划等方面从环境保护角度提出了规划实施环境准入负面清单。</w:t>
      </w:r>
    </w:p>
    <w:p w14:paraId="62C40870">
      <w:pPr>
        <w:pStyle w:val="11"/>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65</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环境准入负面清单一览表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9"/>
        <w:gridCol w:w="2917"/>
        <w:gridCol w:w="2733"/>
        <w:gridCol w:w="1623"/>
      </w:tblGrid>
      <w:tr w14:paraId="59C70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9" w:type="dxa"/>
            <w:vAlign w:val="center"/>
          </w:tcPr>
          <w:p w14:paraId="7ACBF3F1">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专项规划</w:t>
            </w:r>
          </w:p>
        </w:tc>
        <w:tc>
          <w:tcPr>
            <w:tcW w:w="2917" w:type="dxa"/>
            <w:vAlign w:val="center"/>
          </w:tcPr>
          <w:p w14:paraId="1356AD91">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禁止准入</w:t>
            </w:r>
          </w:p>
        </w:tc>
        <w:tc>
          <w:tcPr>
            <w:tcW w:w="2733" w:type="dxa"/>
            <w:vAlign w:val="center"/>
          </w:tcPr>
          <w:p w14:paraId="3C9623A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限制准入</w:t>
            </w:r>
          </w:p>
        </w:tc>
        <w:tc>
          <w:tcPr>
            <w:tcW w:w="1623" w:type="dxa"/>
            <w:vAlign w:val="center"/>
          </w:tcPr>
          <w:p w14:paraId="409A08F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依据</w:t>
            </w:r>
          </w:p>
        </w:tc>
      </w:tr>
      <w:tr w14:paraId="2A539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Align w:val="center"/>
          </w:tcPr>
          <w:p w14:paraId="5B7B9B9B">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防洪减灾规划</w:t>
            </w:r>
          </w:p>
        </w:tc>
        <w:tc>
          <w:tcPr>
            <w:tcW w:w="2917" w:type="dxa"/>
            <w:vAlign w:val="center"/>
          </w:tcPr>
          <w:p w14:paraId="2757BB2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2733" w:type="dxa"/>
            <w:vAlign w:val="center"/>
          </w:tcPr>
          <w:p w14:paraId="2E0D054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整治河道和修建控制引导河水流向、保护堤岸等工程，应当兼顾下游、左右岸的关系，按照规划指导下实施，不得任意改变河水流向。</w:t>
            </w:r>
          </w:p>
        </w:tc>
        <w:tc>
          <w:tcPr>
            <w:tcW w:w="1623" w:type="dxa"/>
            <w:vAlign w:val="center"/>
          </w:tcPr>
          <w:p w14:paraId="77A696A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《中华人民共和国防洪法》</w:t>
            </w:r>
          </w:p>
        </w:tc>
      </w:tr>
      <w:tr w14:paraId="523DA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restart"/>
            <w:vAlign w:val="center"/>
          </w:tcPr>
          <w:p w14:paraId="74ECDFBA">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水资源开发利用规划</w:t>
            </w:r>
          </w:p>
        </w:tc>
        <w:tc>
          <w:tcPr>
            <w:tcW w:w="2917" w:type="dxa"/>
            <w:vAlign w:val="center"/>
          </w:tcPr>
          <w:p w14:paraId="3892586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2733" w:type="dxa"/>
            <w:vAlign w:val="center"/>
          </w:tcPr>
          <w:p w14:paraId="72981460">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水库应当按照防洪规划的要求留足防洪库容。</w:t>
            </w:r>
          </w:p>
        </w:tc>
        <w:tc>
          <w:tcPr>
            <w:tcW w:w="1623" w:type="dxa"/>
            <w:vAlign w:val="center"/>
          </w:tcPr>
          <w:p w14:paraId="2C7C1EA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《中华人民共和国防洪法》</w:t>
            </w:r>
          </w:p>
        </w:tc>
      </w:tr>
      <w:tr w14:paraId="75D97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continue"/>
            <w:vAlign w:val="center"/>
          </w:tcPr>
          <w:p w14:paraId="0B4348EE">
            <w:pPr>
              <w:pStyle w:val="22"/>
              <w:bidi w:val="0"/>
              <w:jc w:val="center"/>
              <w:rPr>
                <w:rFonts w:hint="default" w:ascii="Times New Roman" w:hAnsi="Times New Roman" w:cs="Times New Roman"/>
                <w:highlight w:val="none"/>
                <w:lang w:val="en-US" w:eastAsia="zh-CN"/>
              </w:rPr>
            </w:pPr>
          </w:p>
        </w:tc>
        <w:tc>
          <w:tcPr>
            <w:tcW w:w="2917" w:type="dxa"/>
            <w:vAlign w:val="center"/>
          </w:tcPr>
          <w:p w14:paraId="49A245D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禁止在饮用水水源一级保护区内从事网箱养殖、旅游、游泳、垂钓或者其他可能污染饮用水水体的活动。</w:t>
            </w:r>
          </w:p>
        </w:tc>
        <w:tc>
          <w:tcPr>
            <w:tcW w:w="2733" w:type="dxa"/>
            <w:vAlign w:val="center"/>
          </w:tcPr>
          <w:p w14:paraId="55A371B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限制在饮用水水源二级保护区内从事网箱养殖、旅</w:t>
            </w:r>
          </w:p>
          <w:p w14:paraId="5D4653A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游等活动的。</w:t>
            </w:r>
          </w:p>
        </w:tc>
        <w:tc>
          <w:tcPr>
            <w:tcW w:w="1623" w:type="dxa"/>
            <w:vMerge w:val="restart"/>
            <w:vAlign w:val="center"/>
          </w:tcPr>
          <w:p w14:paraId="6B259351">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《中华人民共和国水污染防治法》</w:t>
            </w:r>
          </w:p>
        </w:tc>
      </w:tr>
      <w:tr w14:paraId="2B61B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continue"/>
            <w:vAlign w:val="center"/>
          </w:tcPr>
          <w:p w14:paraId="483930B1">
            <w:pPr>
              <w:pStyle w:val="22"/>
              <w:bidi w:val="0"/>
              <w:jc w:val="center"/>
              <w:rPr>
                <w:rFonts w:hint="default" w:ascii="Times New Roman" w:hAnsi="Times New Roman" w:cs="Times New Roman"/>
                <w:highlight w:val="none"/>
                <w:lang w:val="en-US" w:eastAsia="zh-CN"/>
              </w:rPr>
            </w:pPr>
          </w:p>
        </w:tc>
        <w:tc>
          <w:tcPr>
            <w:tcW w:w="2917" w:type="dxa"/>
            <w:vAlign w:val="center"/>
          </w:tcPr>
          <w:p w14:paraId="4BC9CA53">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在饮用水水源保护区内，禁止设置排污口。</w:t>
            </w:r>
          </w:p>
        </w:tc>
        <w:tc>
          <w:tcPr>
            <w:tcW w:w="2733" w:type="dxa"/>
            <w:vMerge w:val="restart"/>
            <w:vAlign w:val="center"/>
          </w:tcPr>
          <w:p w14:paraId="22C1DCDE">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改建建设项目，不得增加排污量。</w:t>
            </w:r>
          </w:p>
        </w:tc>
        <w:tc>
          <w:tcPr>
            <w:tcW w:w="1623" w:type="dxa"/>
            <w:vMerge w:val="continue"/>
            <w:vAlign w:val="center"/>
          </w:tcPr>
          <w:p w14:paraId="4BD41531">
            <w:pPr>
              <w:pStyle w:val="22"/>
              <w:bidi w:val="0"/>
              <w:jc w:val="center"/>
              <w:rPr>
                <w:rFonts w:hint="default" w:ascii="Times New Roman" w:hAnsi="Times New Roman" w:cs="Times New Roman"/>
                <w:highlight w:val="none"/>
                <w:lang w:val="en-US" w:eastAsia="zh-CN"/>
              </w:rPr>
            </w:pPr>
          </w:p>
        </w:tc>
      </w:tr>
      <w:tr w14:paraId="4A18E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continue"/>
            <w:vAlign w:val="center"/>
          </w:tcPr>
          <w:p w14:paraId="15E753F9">
            <w:pPr>
              <w:pStyle w:val="22"/>
              <w:bidi w:val="0"/>
              <w:jc w:val="center"/>
              <w:rPr>
                <w:rFonts w:hint="default" w:ascii="Times New Roman" w:hAnsi="Times New Roman" w:cs="Times New Roman"/>
                <w:highlight w:val="none"/>
                <w:lang w:val="en-US" w:eastAsia="zh-CN"/>
              </w:rPr>
            </w:pPr>
          </w:p>
        </w:tc>
        <w:tc>
          <w:tcPr>
            <w:tcW w:w="2917" w:type="dxa"/>
            <w:vAlign w:val="center"/>
          </w:tcPr>
          <w:p w14:paraId="4B25DB2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禁止在饮用水水源一级保护区内新建、改建、扩建与供水设施和保护水源无关的建设项目。</w:t>
            </w:r>
          </w:p>
        </w:tc>
        <w:tc>
          <w:tcPr>
            <w:tcW w:w="2733" w:type="dxa"/>
            <w:vMerge w:val="continue"/>
            <w:vAlign w:val="center"/>
          </w:tcPr>
          <w:p w14:paraId="0253B63E">
            <w:pPr>
              <w:pStyle w:val="22"/>
              <w:bidi w:val="0"/>
              <w:jc w:val="center"/>
              <w:rPr>
                <w:rFonts w:hint="default" w:ascii="Times New Roman" w:hAnsi="Times New Roman" w:cs="Times New Roman"/>
                <w:highlight w:val="none"/>
                <w:lang w:val="en-US" w:eastAsia="zh-CN"/>
              </w:rPr>
            </w:pPr>
          </w:p>
        </w:tc>
        <w:tc>
          <w:tcPr>
            <w:tcW w:w="1623" w:type="dxa"/>
            <w:vMerge w:val="continue"/>
            <w:vAlign w:val="center"/>
          </w:tcPr>
          <w:p w14:paraId="7B8CE39A">
            <w:pPr>
              <w:pStyle w:val="22"/>
              <w:bidi w:val="0"/>
              <w:jc w:val="center"/>
              <w:rPr>
                <w:rFonts w:hint="default" w:ascii="Times New Roman" w:hAnsi="Times New Roman" w:cs="Times New Roman"/>
                <w:highlight w:val="none"/>
                <w:lang w:val="en-US" w:eastAsia="zh-CN"/>
              </w:rPr>
            </w:pPr>
          </w:p>
        </w:tc>
      </w:tr>
      <w:tr w14:paraId="4CE84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7" w:hRule="atLeast"/>
        </w:trPr>
        <w:tc>
          <w:tcPr>
            <w:tcW w:w="1249" w:type="dxa"/>
            <w:vMerge w:val="continue"/>
            <w:vAlign w:val="center"/>
          </w:tcPr>
          <w:p w14:paraId="6F57A76E">
            <w:pPr>
              <w:pStyle w:val="22"/>
              <w:bidi w:val="0"/>
              <w:jc w:val="center"/>
              <w:rPr>
                <w:rFonts w:hint="default" w:ascii="Times New Roman" w:hAnsi="Times New Roman" w:cs="Times New Roman"/>
                <w:highlight w:val="none"/>
                <w:lang w:val="en-US" w:eastAsia="zh-CN"/>
              </w:rPr>
            </w:pPr>
          </w:p>
        </w:tc>
        <w:tc>
          <w:tcPr>
            <w:tcW w:w="2917" w:type="dxa"/>
            <w:vAlign w:val="center"/>
          </w:tcPr>
          <w:p w14:paraId="2D2AB50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禁止在饮用水水源二级保护区内新建、改建、扩建排放污染物的建设项目。</w:t>
            </w:r>
          </w:p>
        </w:tc>
        <w:tc>
          <w:tcPr>
            <w:tcW w:w="2733" w:type="dxa"/>
            <w:vMerge w:val="continue"/>
            <w:vAlign w:val="center"/>
          </w:tcPr>
          <w:p w14:paraId="79E6B8C1">
            <w:pPr>
              <w:pStyle w:val="22"/>
              <w:bidi w:val="0"/>
              <w:jc w:val="center"/>
              <w:rPr>
                <w:rFonts w:hint="default" w:ascii="Times New Roman" w:hAnsi="Times New Roman" w:cs="Times New Roman"/>
                <w:highlight w:val="none"/>
                <w:lang w:val="en-US" w:eastAsia="zh-CN"/>
              </w:rPr>
            </w:pPr>
          </w:p>
        </w:tc>
        <w:tc>
          <w:tcPr>
            <w:tcW w:w="1623" w:type="dxa"/>
            <w:vMerge w:val="continue"/>
            <w:vAlign w:val="center"/>
          </w:tcPr>
          <w:p w14:paraId="3C577B5F">
            <w:pPr>
              <w:pStyle w:val="22"/>
              <w:bidi w:val="0"/>
              <w:jc w:val="center"/>
              <w:rPr>
                <w:rFonts w:hint="default" w:ascii="Times New Roman" w:hAnsi="Times New Roman" w:cs="Times New Roman"/>
                <w:highlight w:val="none"/>
                <w:lang w:val="en-US" w:eastAsia="zh-CN"/>
              </w:rPr>
            </w:pPr>
          </w:p>
        </w:tc>
      </w:tr>
      <w:tr w14:paraId="2BFEF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continue"/>
            <w:vAlign w:val="center"/>
          </w:tcPr>
          <w:p w14:paraId="6214C186">
            <w:pPr>
              <w:pStyle w:val="22"/>
              <w:bidi w:val="0"/>
              <w:jc w:val="center"/>
              <w:rPr>
                <w:rFonts w:hint="default" w:ascii="Times New Roman" w:hAnsi="Times New Roman" w:cs="Times New Roman"/>
                <w:highlight w:val="none"/>
                <w:lang w:val="en-US" w:eastAsia="zh-CN"/>
              </w:rPr>
            </w:pPr>
          </w:p>
        </w:tc>
        <w:tc>
          <w:tcPr>
            <w:tcW w:w="2917" w:type="dxa"/>
            <w:vAlign w:val="center"/>
          </w:tcPr>
          <w:p w14:paraId="344A0A3D">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禁止在饮用水水源二级保护区内新建、改建、扩建排放</w:t>
            </w:r>
          </w:p>
          <w:p w14:paraId="574AE6E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污染物的建设项目。</w:t>
            </w:r>
          </w:p>
        </w:tc>
        <w:tc>
          <w:tcPr>
            <w:tcW w:w="2733" w:type="dxa"/>
            <w:vMerge w:val="continue"/>
            <w:vAlign w:val="center"/>
          </w:tcPr>
          <w:p w14:paraId="440E1B03">
            <w:pPr>
              <w:pStyle w:val="22"/>
              <w:bidi w:val="0"/>
              <w:jc w:val="center"/>
              <w:rPr>
                <w:rFonts w:hint="default" w:ascii="Times New Roman" w:hAnsi="Times New Roman" w:cs="Times New Roman"/>
                <w:highlight w:val="none"/>
                <w:lang w:val="en-US" w:eastAsia="zh-CN"/>
              </w:rPr>
            </w:pPr>
          </w:p>
        </w:tc>
        <w:tc>
          <w:tcPr>
            <w:tcW w:w="1623" w:type="dxa"/>
            <w:vMerge w:val="continue"/>
            <w:vAlign w:val="center"/>
          </w:tcPr>
          <w:p w14:paraId="27AA60C5">
            <w:pPr>
              <w:pStyle w:val="22"/>
              <w:bidi w:val="0"/>
              <w:jc w:val="center"/>
              <w:rPr>
                <w:rFonts w:hint="default" w:ascii="Times New Roman" w:hAnsi="Times New Roman" w:cs="Times New Roman"/>
                <w:highlight w:val="none"/>
                <w:lang w:val="en-US" w:eastAsia="zh-CN"/>
              </w:rPr>
            </w:pPr>
          </w:p>
        </w:tc>
      </w:tr>
    </w:tbl>
    <w:p w14:paraId="5D212D4C">
      <w:pPr>
        <w:bidi w:val="0"/>
        <w:rPr>
          <w:rFonts w:hint="default" w:ascii="Times New Roman" w:hAnsi="Times New Roman" w:cs="Times New Roman"/>
          <w:highlight w:val="none"/>
          <w:lang w:val="en-US" w:eastAsia="zh-CN"/>
        </w:rPr>
      </w:pPr>
    </w:p>
    <w:p w14:paraId="7AC2F848">
      <w:pPr>
        <w:pStyle w:val="3"/>
        <w:bidi w:val="0"/>
        <w:rPr>
          <w:rFonts w:hint="default"/>
          <w:highlight w:val="none"/>
          <w:lang w:val="en-US" w:eastAsia="zh-CN"/>
        </w:rPr>
      </w:pPr>
      <w:bookmarkStart w:id="77" w:name="_Toc25022"/>
      <w:r>
        <w:rPr>
          <w:rFonts w:hint="default"/>
          <w:highlight w:val="none"/>
          <w:lang w:val="en-US" w:eastAsia="zh-CN"/>
        </w:rPr>
        <w:t>生态环境保护与污染防治对策和措施</w:t>
      </w:r>
      <w:bookmarkEnd w:id="77"/>
    </w:p>
    <w:p w14:paraId="1F747084">
      <w:pPr>
        <w:pStyle w:val="4"/>
        <w:bidi w:val="0"/>
        <w:rPr>
          <w:rFonts w:hint="default"/>
          <w:highlight w:val="none"/>
          <w:lang w:val="en-US" w:eastAsia="zh-CN"/>
        </w:rPr>
      </w:pPr>
      <w:r>
        <w:rPr>
          <w:rFonts w:hint="default"/>
          <w:highlight w:val="none"/>
          <w:lang w:val="en-US" w:eastAsia="zh-CN"/>
        </w:rPr>
        <w:t>总体预防措施</w:t>
      </w:r>
    </w:p>
    <w:p w14:paraId="240190A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评价报告从起始阶段便结合区域社会、自然环境敏感对象的分布情况对流域综合规划进行了评价，以改善流域水生态环境质量、维护生态安全为基础目标，以落实碳达峰碳中和目标和加强生物多样性保护为导向，论证规划方案的环境合理性和社会环境效益，统筹流域治理、开发、利用和保护的关系。按照《进一步加强水利规划环境影响评价工作的通知》（环发</w:t>
      </w:r>
      <w:r>
        <w:rPr>
          <w:rFonts w:hint="default" w:ascii="Times New Roman" w:hAnsi="Times New Roman" w:eastAsia="微软雅黑" w:cs="Times New Roman"/>
          <w:highlight w:val="none"/>
          <w:lang w:val="en-US" w:eastAsia="zh-CN"/>
        </w:rPr>
        <w:t>〔</w:t>
      </w:r>
      <w:r>
        <w:rPr>
          <w:rFonts w:hint="default" w:ascii="Times New Roman" w:hAnsi="Times New Roman" w:cs="Times New Roman"/>
          <w:highlight w:val="none"/>
          <w:lang w:val="en-US" w:eastAsia="zh-CN"/>
        </w:rPr>
        <w:t>2014</w:t>
      </w:r>
      <w:r>
        <w:rPr>
          <w:rFonts w:hint="default" w:ascii="Times New Roman" w:hAnsi="Times New Roman" w:eastAsia="微软雅黑" w:cs="Times New Roman"/>
          <w:highlight w:val="none"/>
          <w:lang w:val="en-US" w:eastAsia="zh-CN"/>
        </w:rPr>
        <w:t>〕</w:t>
      </w:r>
      <w:r>
        <w:rPr>
          <w:rFonts w:hint="default" w:ascii="Times New Roman" w:hAnsi="Times New Roman" w:cs="Times New Roman"/>
          <w:highlight w:val="none"/>
          <w:lang w:val="en-US" w:eastAsia="zh-CN"/>
        </w:rPr>
        <w:t>43号）提出的“尊重自然、顺应自然、保护自然”的生态文明理念，推动流域绿色高质量发展，结合流域特点及规划实施对环境影响的预测评价，提出以下总体预防措施。</w:t>
      </w:r>
    </w:p>
    <w:p w14:paraId="58D2F9B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尽快建立流域综合规划环境保护管理机构，强化流域环境监测和综合管理机制。机构成立后要及时制定行之有效的环境管理制度，组织落实流域环境保护措施和生态跟踪观测；采取全过程的环境管理，把生态优先的理念始终贯穿到规划工程设计、施工和运行中；配合有关部门加大开发和保护的协调力度，协调地方政府做好流域开发和保护的统筹工作。</w:t>
      </w:r>
    </w:p>
    <w:p w14:paraId="1FA8FDF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（2）落实陆生生态保护，加强规划工程施工期环境管理，落实水土保持措施，减缓对野生动物、自然植被河景观的影响。</w:t>
      </w:r>
    </w:p>
    <w:p w14:paraId="6C91533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（3）落实下泄生态流量措施，深化流域生态调度机制，明确流域规划水库下泄生态流量措施及保障方案，开展流域生态流量监控。</w:t>
      </w:r>
    </w:p>
    <w:p w14:paraId="50AD953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（4）加强施工期环境管理，落实水土保持措施，减缓对野生动物、自然植被和景观的影响。</w:t>
      </w:r>
    </w:p>
    <w:p w14:paraId="7816CE0D">
      <w:pPr>
        <w:pStyle w:val="4"/>
        <w:bidi w:val="0"/>
        <w:rPr>
          <w:rFonts w:hint="default"/>
          <w:highlight w:val="none"/>
          <w:lang w:val="en-US" w:eastAsia="zh-CN"/>
        </w:rPr>
      </w:pPr>
      <w:r>
        <w:rPr>
          <w:rFonts w:hint="default"/>
          <w:highlight w:val="none"/>
          <w:lang w:val="en-US" w:eastAsia="zh-CN"/>
        </w:rPr>
        <w:t>水环境保护对策措施</w:t>
      </w:r>
    </w:p>
    <w:p w14:paraId="30525D31">
      <w:pPr>
        <w:pStyle w:val="5"/>
        <w:bidi w:val="0"/>
        <w:rPr>
          <w:rFonts w:hint="default"/>
          <w:highlight w:val="none"/>
          <w:lang w:val="en-US" w:eastAsia="zh-CN"/>
        </w:rPr>
      </w:pPr>
      <w:r>
        <w:rPr>
          <w:rFonts w:hint="default"/>
          <w:highlight w:val="none"/>
          <w:lang w:val="en-US" w:eastAsia="zh-CN"/>
        </w:rPr>
        <w:t>生态下泄流量保障措施</w:t>
      </w:r>
    </w:p>
    <w:p w14:paraId="6784F178">
      <w:pPr>
        <w:numPr>
          <w:ilvl w:val="0"/>
          <w:numId w:val="62"/>
        </w:numPr>
        <w:bidi w:val="0"/>
        <w:rPr>
          <w:rFonts w:hint="default"/>
          <w:highlight w:val="none"/>
          <w:lang w:val="en-US" w:eastAsia="zh-CN"/>
        </w:rPr>
      </w:pPr>
      <w:r>
        <w:rPr>
          <w:rFonts w:hint="default"/>
          <w:highlight w:val="none"/>
          <w:lang w:val="en-US" w:eastAsia="zh-CN"/>
        </w:rPr>
        <w:t>最小生态下泄流量</w:t>
      </w:r>
    </w:p>
    <w:p w14:paraId="701A492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按照河道控制断面多年平均流量的10%确定，来水量小于最小生态下泄流量时，来多少放多少。</w:t>
      </w:r>
    </w:p>
    <w:p w14:paraId="7FD52CFD">
      <w:pPr>
        <w:bidi w:val="0"/>
        <w:rPr>
          <w:rFonts w:hint="default"/>
          <w:highlight w:val="none"/>
          <w:lang w:val="en-US" w:eastAsia="zh-CN"/>
        </w:rPr>
      </w:pPr>
      <w:r>
        <w:rPr>
          <w:rFonts w:hint="default"/>
          <w:highlight w:val="none"/>
          <w:lang w:val="en-US" w:eastAsia="zh-CN"/>
        </w:rPr>
        <w:t>（2）保障措施</w:t>
      </w:r>
    </w:p>
    <w:p w14:paraId="6EBCAD0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水库安装下泄流量设施，实时准确传送数据，并建立运行台账，记录监控设施运行、维护、连续监控数据情况；应接受生态环境、水利等主管部门监督检查；当上游来水小于最小生态下泄流量时，来水全部下泄，维持河道一定的水流动力，提高水体的自净能力。</w:t>
      </w:r>
    </w:p>
    <w:p w14:paraId="7745E35F">
      <w:pPr>
        <w:pStyle w:val="5"/>
        <w:bidi w:val="0"/>
        <w:rPr>
          <w:rFonts w:hint="default"/>
          <w:highlight w:val="none"/>
          <w:lang w:val="en-US" w:eastAsia="zh-CN"/>
        </w:rPr>
      </w:pPr>
      <w:r>
        <w:rPr>
          <w:rFonts w:hint="default"/>
          <w:highlight w:val="none"/>
          <w:lang w:val="en-US" w:eastAsia="zh-CN"/>
        </w:rPr>
        <w:t>水源地保护措施</w:t>
      </w:r>
    </w:p>
    <w:p w14:paraId="2A9C29A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本次流域内现有水源保护区，要严格执行《饮用水水源保护区污染防治管理规定》，进行分级防护，防止水质污染，确保供水安全。具体为：</w:t>
      </w:r>
    </w:p>
    <w:p w14:paraId="1A4CB1A9">
      <w:pPr>
        <w:bidi w:val="0"/>
        <w:rPr>
          <w:rFonts w:hint="default"/>
          <w:highlight w:val="none"/>
          <w:lang w:val="en-US" w:eastAsia="zh-CN"/>
        </w:rPr>
      </w:pPr>
      <w:r>
        <w:rPr>
          <w:rFonts w:hint="default"/>
          <w:highlight w:val="none"/>
          <w:lang w:val="en-US" w:eastAsia="zh-CN"/>
        </w:rPr>
        <w:t>（1）饮用水地表水源各级保护区及准保护区内必须遵守下列规定：</w:t>
      </w:r>
    </w:p>
    <w:p w14:paraId="008935F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①禁止一切破坏水环境生态平衡的活动以及破坏水源林、护岸林、与水源保护相关植被的活动；</w:t>
      </w:r>
    </w:p>
    <w:p w14:paraId="4CEC8CD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②禁止向水域倾倒工业废渣、城市垃圾、粪便及其它废弃物；</w:t>
      </w:r>
    </w:p>
    <w:p w14:paraId="5D5F6A8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③运输有毒有害物质、油类、粪便的船舶和车辆一般不准进入保护区，必须进入者应事先申请并经有关部分批准、登记并设置防渗、防溢、防漏设施。</w:t>
      </w:r>
    </w:p>
    <w:p w14:paraId="24A33087">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④禁止使用剧毒及高残留农药，不得滥用化肥、不得使用炸药、毒品捕杀鱼类。除此之外，各级保护区及准保护区还必须遵守下列规定：</w:t>
      </w:r>
    </w:p>
    <w:p w14:paraId="1601CB38">
      <w:pPr>
        <w:bidi w:val="0"/>
        <w:rPr>
          <w:rFonts w:hint="default" w:ascii="Times New Roman" w:hAnsi="Times New Roman" w:cs="Times New Roman"/>
          <w:highlight w:val="none"/>
          <w:lang w:val="en-US" w:eastAsia="zh-CN"/>
        </w:rPr>
      </w:pPr>
      <w:r>
        <w:rPr>
          <w:rFonts w:hint="eastAsia" w:cs="Times New Roman"/>
          <w:highlight w:val="none"/>
          <w:lang w:val="en-US" w:eastAsia="zh-CN"/>
        </w:rPr>
        <w:t>1）</w:t>
      </w:r>
      <w:r>
        <w:rPr>
          <w:rFonts w:hint="default" w:ascii="Times New Roman" w:hAnsi="Times New Roman" w:cs="Times New Roman"/>
          <w:highlight w:val="none"/>
          <w:lang w:val="en-US" w:eastAsia="zh-CN"/>
        </w:rPr>
        <w:t>一级保护区内</w:t>
      </w:r>
    </w:p>
    <w:p w14:paraId="22F47D98">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禁止新建、扩建与供水设施和保护水源无关的建设项目；</w:t>
      </w:r>
    </w:p>
    <w:p w14:paraId="3ACC19CC">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禁止向水域排放污水，已设置的排污口必须拆除；</w:t>
      </w:r>
    </w:p>
    <w:p w14:paraId="5D9E728D">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不得设置与供水需要无关的码头，禁止停靠船舶；</w:t>
      </w:r>
    </w:p>
    <w:p w14:paraId="22271F09">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禁止堆置和存放工业废渣、城市垃圾、粪便和其它废弃物；</w:t>
      </w:r>
    </w:p>
    <w:p w14:paraId="43BF4657">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禁止设置油库；</w:t>
      </w:r>
    </w:p>
    <w:p w14:paraId="23B88249">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禁止从事种植、放养畜禽和网箱养殖活动；</w:t>
      </w:r>
    </w:p>
    <w:p w14:paraId="63E3E08B">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禁止可能污染水源的旅游活动和其他活动。</w:t>
      </w:r>
    </w:p>
    <w:p w14:paraId="77B0A2AD">
      <w:pPr>
        <w:bidi w:val="0"/>
        <w:rPr>
          <w:rFonts w:hint="default" w:ascii="Times New Roman" w:hAnsi="Times New Roman" w:cs="Times New Roman"/>
          <w:highlight w:val="none"/>
          <w:lang w:val="en-US" w:eastAsia="zh-CN"/>
        </w:rPr>
      </w:pPr>
      <w:r>
        <w:rPr>
          <w:rFonts w:hint="eastAsia" w:cs="Times New Roman"/>
          <w:highlight w:val="none"/>
          <w:lang w:val="en-US" w:eastAsia="zh-CN"/>
        </w:rPr>
        <w:t>2）</w:t>
      </w:r>
      <w:r>
        <w:rPr>
          <w:rFonts w:hint="default" w:ascii="Times New Roman" w:hAnsi="Times New Roman" w:cs="Times New Roman"/>
          <w:highlight w:val="none"/>
          <w:lang w:val="en-US" w:eastAsia="zh-CN"/>
        </w:rPr>
        <w:t>二级保护区内</w:t>
      </w:r>
    </w:p>
    <w:p w14:paraId="08C892D6">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禁止新建、改建、扩建排放污染物的建设项目；</w:t>
      </w:r>
    </w:p>
    <w:p w14:paraId="500E4006">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原有排污口依法拆除或者关闭；</w:t>
      </w:r>
    </w:p>
    <w:p w14:paraId="5447E7BD">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禁止设立装卸垃圾、粪便、油类和有毒物品的码头；</w:t>
      </w:r>
    </w:p>
    <w:p w14:paraId="42C74BD6">
      <w:pPr>
        <w:bidi w:val="0"/>
        <w:rPr>
          <w:rFonts w:hint="default" w:ascii="Times New Roman" w:hAnsi="Times New Roman" w:cs="Times New Roman"/>
          <w:highlight w:val="none"/>
          <w:lang w:val="en-US" w:eastAsia="zh-CN"/>
        </w:rPr>
      </w:pPr>
      <w:r>
        <w:rPr>
          <w:rFonts w:hint="eastAsia" w:cs="Times New Roman"/>
          <w:highlight w:val="none"/>
          <w:lang w:val="en-US" w:eastAsia="zh-CN"/>
        </w:rPr>
        <w:t>3）</w:t>
      </w:r>
      <w:r>
        <w:rPr>
          <w:rFonts w:hint="default" w:ascii="Times New Roman" w:hAnsi="Times New Roman" w:cs="Times New Roman"/>
          <w:highlight w:val="none"/>
          <w:lang w:val="en-US" w:eastAsia="zh-CN"/>
        </w:rPr>
        <w:t>准保护区内</w:t>
      </w:r>
    </w:p>
    <w:p w14:paraId="2A3C2AAA">
      <w:pPr>
        <w:numPr>
          <w:ilvl w:val="0"/>
          <w:numId w:val="63"/>
        </w:numPr>
        <w:bidi w:val="0"/>
        <w:ind w:left="420" w:leftChars="0" w:hanging="42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禁止新建、扩建对水体污染严重的建设项目；改建建设项目，不得增加排污量。</w:t>
      </w:r>
    </w:p>
    <w:p w14:paraId="5EA2AEB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加强环境事故风险防范能力，避免或防治饮用水源污染，保障居民生活的用水安全，应建立应急系统，制定饮用水源地应急预案。应急预案是为迅速、有效、有序地应对和缓解一些突发事件，而预先制定的一套程序化、规范化、详细的操作性文件和规定。应急预案在应急体系建立中具有政策性、纲领性和指导性作用，明确救援队伍、应急物质和专家技术支持等，从而确使突发事件带来的危害降到最低。同时为了提高预案的科学性、系统性、实战性和有效性，由指挥部牵头，组织有关职能部门、企业对专业救援队伍和预案适时组织训练和演练。</w:t>
      </w:r>
    </w:p>
    <w:p w14:paraId="48B9C71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（3）加强水源区水质及藻类监测和动态跟踪能力，强化富营养化风险防控，确保用水安全。建立水质及藻类监测预警系统，编制水源地水华暴发应急预案并实施演练，防止饮用水源污染，保障居民用水安全。</w:t>
      </w:r>
    </w:p>
    <w:p w14:paraId="601E8C58">
      <w:pPr>
        <w:pStyle w:val="5"/>
        <w:bidi w:val="0"/>
        <w:rPr>
          <w:rFonts w:hint="default"/>
          <w:highlight w:val="none"/>
          <w:lang w:val="en-US" w:eastAsia="zh-CN"/>
        </w:rPr>
      </w:pPr>
      <w:r>
        <w:rPr>
          <w:rFonts w:hint="default"/>
          <w:highlight w:val="none"/>
          <w:lang w:val="en-US" w:eastAsia="zh-CN"/>
        </w:rPr>
        <w:t>水污染防治措施</w:t>
      </w:r>
    </w:p>
    <w:p w14:paraId="6DCA42F1">
      <w:pPr>
        <w:bidi w:val="0"/>
        <w:rPr>
          <w:rFonts w:hint="default"/>
          <w:highlight w:val="none"/>
          <w:lang w:val="en-US" w:eastAsia="zh-CN"/>
        </w:rPr>
      </w:pPr>
      <w:r>
        <w:rPr>
          <w:rFonts w:hint="default"/>
          <w:highlight w:val="none"/>
          <w:lang w:val="en-US" w:eastAsia="zh-CN"/>
        </w:rPr>
        <w:t>（1）实行流域主要污染物排放总量控制</w:t>
      </w:r>
    </w:p>
    <w:p w14:paraId="2FF5C58C">
      <w:pPr>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总量控制以流域环境容量为基础，认真贯彻污染物排放总量控制政策，把省、市下达的总量控制指标分解到各地有关排污单位，落实进一步削减和控制污染物排放总量的项目和措施，切实把排污总量控制在规定的指标内，严格执行排污申报登记和排污许可证制度。并结合水（环境）功能区划中规定的水质目标，定期进行监测考核。</w:t>
      </w:r>
    </w:p>
    <w:p w14:paraId="0224A6AE">
      <w:pPr>
        <w:numPr>
          <w:ilvl w:val="0"/>
          <w:numId w:val="62"/>
        </w:numPr>
        <w:bidi w:val="0"/>
        <w:rPr>
          <w:rFonts w:hint="default"/>
          <w:highlight w:val="none"/>
          <w:lang w:val="en-US" w:eastAsia="zh-CN"/>
        </w:rPr>
      </w:pPr>
      <w:r>
        <w:rPr>
          <w:rFonts w:hint="default"/>
          <w:highlight w:val="none"/>
          <w:lang w:val="en-US" w:eastAsia="zh-CN"/>
        </w:rPr>
        <w:t>加强农业面源污染防治</w:t>
      </w:r>
    </w:p>
    <w:p w14:paraId="3FE896E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大力发展生态循环农业，开展农业废弃物资源化利用，加快推广测土配方施肥、精准施肥、生态防治病虫害等先进适用的农业生态技术，实施农药、化肥减施工程，发展绿色生态农业，有效控制面源污染。</w:t>
      </w:r>
    </w:p>
    <w:p w14:paraId="1413F40E">
      <w:pPr>
        <w:bidi w:val="0"/>
        <w:rPr>
          <w:rFonts w:hint="default"/>
          <w:highlight w:val="none"/>
          <w:lang w:val="en-US" w:eastAsia="zh-CN"/>
        </w:rPr>
      </w:pPr>
      <w:r>
        <w:rPr>
          <w:rFonts w:hint="default"/>
          <w:highlight w:val="none"/>
          <w:lang w:val="en-US" w:eastAsia="zh-CN"/>
        </w:rPr>
        <w:t>（3）加强农村污水治理</w:t>
      </w:r>
    </w:p>
    <w:p w14:paraId="06C55811">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综合考虑村庄自然禀赋、经济社会发展、污水产排现状、生态环境敏感程度、受纳水体环境容量等实际情况，综合评判农村生活污水治理的环境效益、社会效益和经济效益，因村制宜确定生活污水治理模式和处理工艺，城镇周边村庄，通过管网纳入城镇污水厂处理；人口集中和生态敏感地区，建设小型集中处理设施；人口较少村庄和分散农户，结合户厕改造建设标准三格化粪池，尾水就近还林还田。</w:t>
      </w:r>
    </w:p>
    <w:p w14:paraId="0B1F1956">
      <w:pPr>
        <w:bidi w:val="0"/>
        <w:rPr>
          <w:rFonts w:hint="default"/>
          <w:highlight w:val="none"/>
          <w:lang w:val="en-US" w:eastAsia="zh-CN"/>
        </w:rPr>
      </w:pPr>
      <w:r>
        <w:rPr>
          <w:rFonts w:hint="default"/>
          <w:highlight w:val="none"/>
          <w:lang w:val="en-US" w:eastAsia="zh-CN"/>
        </w:rPr>
        <w:t>（4）固体废物污染控制对策</w:t>
      </w:r>
    </w:p>
    <w:p w14:paraId="130C5890">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目前，流域内的</w:t>
      </w:r>
      <w:r>
        <w:rPr>
          <w:rFonts w:hint="eastAsia" w:cs="Times New Roman"/>
          <w:b w:val="0"/>
          <w:bCs w:val="0"/>
          <w:highlight w:val="none"/>
          <w:lang w:val="en-US" w:eastAsia="zh-CN"/>
        </w:rPr>
        <w:t>农村</w:t>
      </w:r>
      <w:r>
        <w:rPr>
          <w:rFonts w:hint="default" w:ascii="Times New Roman" w:hAnsi="Times New Roman" w:cs="Times New Roman"/>
          <w:b w:val="0"/>
          <w:bCs w:val="0"/>
          <w:highlight w:val="none"/>
          <w:lang w:val="en-US" w:eastAsia="zh-CN"/>
        </w:rPr>
        <w:t>大多生活垃圾的减量化、资源化、无害化水平较低，固体废物处置不当将对地表水和地下水造成污染。因此，应加强城镇和农村生活垃圾集中处置工作、减轻对地表水和地下水的污染。</w:t>
      </w:r>
    </w:p>
    <w:p w14:paraId="256A3E29">
      <w:pPr>
        <w:bidi w:val="0"/>
        <w:rPr>
          <w:rFonts w:hint="default"/>
          <w:highlight w:val="none"/>
          <w:lang w:val="en-US" w:eastAsia="zh-CN"/>
        </w:rPr>
      </w:pPr>
      <w:r>
        <w:rPr>
          <w:rFonts w:hint="default"/>
          <w:highlight w:val="none"/>
          <w:lang w:val="en-US" w:eastAsia="zh-CN"/>
        </w:rPr>
        <w:t>（5）健全流域监测预警和应急机制</w:t>
      </w:r>
    </w:p>
    <w:p w14:paraId="03FBBDA9">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制定突发性水环境事件应急预案并向社会公布，完善环境应急物资调度系统；要加强应急物资的储备和应急装备的配置，定期开展污染事故应急演练，进一步加强应急管理工作，提高应急预案的科学性、可行性和可操作性，完善突发环境应急体系，确保对辖区环境乃至外环境的安全。</w:t>
      </w:r>
    </w:p>
    <w:p w14:paraId="47DAD14E">
      <w:pPr>
        <w:bidi w:val="0"/>
        <w:rPr>
          <w:rFonts w:hint="default"/>
          <w:highlight w:val="none"/>
          <w:lang w:val="en-US" w:eastAsia="zh-CN"/>
        </w:rPr>
      </w:pPr>
      <w:r>
        <w:rPr>
          <w:rFonts w:hint="default"/>
          <w:highlight w:val="none"/>
          <w:lang w:val="en-US" w:eastAsia="zh-CN"/>
        </w:rPr>
        <w:t>（7）加强项目施工期管理</w:t>
      </w:r>
    </w:p>
    <w:p w14:paraId="5FD544F5">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规划工程施工过程中，施工生活污水与施工废水应进行处理达标后排放，不得随意排放。施工的废气渣土、施工机械废油、施工固体废物等应有妥善的处置措施，不得随意堆放、丢弃进入水体。确保项目河流水质稳定达标。</w:t>
      </w:r>
    </w:p>
    <w:p w14:paraId="3887241B">
      <w:pPr>
        <w:pStyle w:val="5"/>
        <w:bidi w:val="0"/>
        <w:rPr>
          <w:rFonts w:hint="default"/>
          <w:highlight w:val="none"/>
          <w:lang w:val="en-US" w:eastAsia="zh-CN"/>
        </w:rPr>
      </w:pPr>
      <w:r>
        <w:rPr>
          <w:rFonts w:hint="default"/>
          <w:highlight w:val="none"/>
          <w:lang w:val="en-US" w:eastAsia="zh-CN"/>
        </w:rPr>
        <w:t>生态环境保护对策措施</w:t>
      </w:r>
    </w:p>
    <w:p w14:paraId="582FCE1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生态环境保护措施主要针对可能对生态环境产生不利影响的防洪减灾工程、供水工程等。本次冷龙沟流域综合规划防洪减灾规划涉及新建堤防、护岸；水资源开发利用规划涉及水库建设及配套输水管网等。</w:t>
      </w:r>
    </w:p>
    <w:p w14:paraId="0D202989">
      <w:pPr>
        <w:numPr>
          <w:ilvl w:val="0"/>
          <w:numId w:val="64"/>
        </w:numP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陆生生态预防措施</w:t>
      </w:r>
    </w:p>
    <w:p w14:paraId="4136C7D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①规划实施过程中，建议在施工区标桩划界，严格限制在施工征地范围内开展施工作业，避免对施工区外围植被和生态系统造成破坏。</w:t>
      </w:r>
    </w:p>
    <w:p w14:paraId="06D3515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②在规划实施过程中，应对工程建设区及周边地区的珍稀保护植物进行挂牌保护。对施工人员及工作人员进行宣传教育，严禁施工人员砍伐施工红线以外的树木。</w:t>
      </w:r>
    </w:p>
    <w:p w14:paraId="6DAAAF5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③加强对施工人员宣传教育，强化野生动物保护意识，杜绝猎杀、食用野生动物。</w:t>
      </w:r>
    </w:p>
    <w:p w14:paraId="15F896E5">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④为保护工程周边生态系统稳定，须从工程设计和管理两个方面着手，防范生物入侵风险。禁止工程的景观绿化、植被措施等设计使用有入侵风险的物种；严禁在施工过程中带入外来物种；发现入侵物种及时向主管部门汇报。</w:t>
      </w:r>
    </w:p>
    <w:p w14:paraId="4AE94BC1">
      <w:pPr>
        <w:numPr>
          <w:ilvl w:val="0"/>
          <w:numId w:val="64"/>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陆生生态减缓措施</w:t>
      </w:r>
    </w:p>
    <w:p w14:paraId="6AB8DE93">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规划实施过程中，在工程方案设计上，应尽量减少工程占地，减少对植被和生态系统的破坏；针对占地面积较大的施工区域，应从生态保护角度开展多方案比选，优先保护植被覆盖度和多样性高、植物生长好的区域。</w:t>
      </w:r>
    </w:p>
    <w:p w14:paraId="29AB1CB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②建议工程道路设计上综合考虑桥梁、隧洞、路径优化的形式，为动物迁徙、活动留足通道，减少栖息地面积的占用。</w:t>
      </w:r>
    </w:p>
    <w:p w14:paraId="58BC96FB">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③工程施工严格按照工程设计的施工顺序进行，施工前进行表土剥离并堆放到指定的堆放场所，用于后期植被恢复使用；弃渣弃土严格堆放到设计的渣土场，减少水土流失和对下坡面的生态破坏。</w:t>
      </w:r>
    </w:p>
    <w:p w14:paraId="3F9A612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④工程实施过程中如发现挂牌古树，且难以实施避让或就地保护的，也须采取移栽保护，移栽过程中应注意树体处理、挖掘包装、定植、支撑、水肥管理、遮阴、病虫害防治、防冻等技术处理。</w:t>
      </w:r>
    </w:p>
    <w:p w14:paraId="3B8F8A34">
      <w:pPr>
        <w:numPr>
          <w:ilvl w:val="0"/>
          <w:numId w:val="64"/>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陆生生态修复和补偿措施</w:t>
      </w:r>
    </w:p>
    <w:p w14:paraId="686409C6">
      <w:pPr>
        <w:bidi w:val="0"/>
        <w:rPr>
          <w:rFonts w:hint="default" w:ascii="Times New Roman" w:hAnsi="Times New Roman" w:cs="Times New Roman"/>
          <w:b w:val="0"/>
          <w:bCs w:val="0"/>
          <w:highlight w:val="none"/>
          <w:lang w:val="en-US" w:eastAsia="zh-CN"/>
        </w:rPr>
      </w:pPr>
      <w:r>
        <w:rPr>
          <w:rFonts w:hint="default" w:ascii="Times New Roman" w:hAnsi="Times New Roman" w:cs="Times New Roman"/>
          <w:highlight w:val="none"/>
          <w:lang w:val="en-US" w:eastAsia="zh-CN"/>
        </w:rPr>
        <w:t>①施工结束后立即进行植被恢复，减少水土流失。可根据该地区自然地理环境特点和植物生态适应性，选择适宜植物对临时施工场地进行植被生态恢复，增</w:t>
      </w:r>
      <w:r>
        <w:rPr>
          <w:rFonts w:hint="default" w:ascii="Times New Roman" w:hAnsi="Times New Roman" w:cs="Times New Roman"/>
          <w:b w:val="0"/>
          <w:bCs w:val="0"/>
          <w:highlight w:val="none"/>
          <w:lang w:val="en-US" w:eastAsia="zh-CN"/>
        </w:rPr>
        <w:t>加区域植被群落多样性和生物多样性，使区域植物群落结构更趋于合理。最终形成乔木层、灌木层、草本层多级层次群落结构，以增加物种多样性，增强区域生态系统稳定性。</w:t>
      </w:r>
    </w:p>
    <w:p w14:paraId="39DCECF8">
      <w:pPr>
        <w:bidi w:val="0"/>
        <w:rPr>
          <w:rFonts w:hint="default" w:ascii="Times New Roman" w:hAnsi="Times New Roman" w:cs="Times New Roman"/>
          <w:b w:val="0"/>
          <w:bCs w:val="0"/>
          <w:highlight w:val="none"/>
          <w:lang w:val="en-US" w:eastAsia="zh-CN"/>
        </w:rPr>
      </w:pPr>
      <w:r>
        <w:rPr>
          <w:rFonts w:hint="default" w:ascii="Times New Roman" w:hAnsi="Times New Roman" w:cs="Times New Roman"/>
          <w:highlight w:val="none"/>
          <w:lang w:val="en-US" w:eastAsia="zh-CN"/>
        </w:rPr>
        <w:t>②施工结束后，对施工迹地进行清理和恢复，植树种草，恢复原有植被和景观。结合景观生态恢复要求，因地制宜地对各类施工迹地采取工程和植物措施相</w:t>
      </w:r>
      <w:r>
        <w:rPr>
          <w:rFonts w:hint="default" w:ascii="Times New Roman" w:hAnsi="Times New Roman" w:cs="Times New Roman"/>
          <w:b w:val="0"/>
          <w:bCs w:val="0"/>
          <w:highlight w:val="none"/>
          <w:lang w:val="en-US" w:eastAsia="zh-CN"/>
        </w:rPr>
        <w:t>结合的方式及时处理。在植物措施实施过程中采用当地树种、灌草种，将工程施工对当地植被和景观的影响减小到最低程度。在引进的植被和草籽方面要注意与当地的环境相适宜，严禁引进外来物种，以防造成生物入侵。</w:t>
      </w:r>
    </w:p>
    <w:p w14:paraId="1E312700">
      <w:pPr>
        <w:bidi w:val="0"/>
        <w:rPr>
          <w:rFonts w:hint="default" w:ascii="Times New Roman" w:hAnsi="Times New Roman" w:cs="Times New Roman"/>
          <w:b w:val="0"/>
          <w:bCs w:val="0"/>
          <w:highlight w:val="none"/>
          <w:lang w:val="en-US" w:eastAsia="zh-CN"/>
        </w:rPr>
      </w:pPr>
      <w:r>
        <w:rPr>
          <w:rFonts w:hint="default" w:ascii="Times New Roman" w:hAnsi="Times New Roman" w:cs="Times New Roman"/>
          <w:highlight w:val="none"/>
          <w:lang w:val="en-US" w:eastAsia="zh-CN"/>
        </w:rPr>
        <w:t>③耕地保护。国家实行耕地补偿措施，非经农业建设批准占用耕地（旱地）的，按照“占多少，补多少”的原则，由占用耕地的单位负责开垦与所占用耕地的</w:t>
      </w:r>
      <w:r>
        <w:rPr>
          <w:rFonts w:hint="default" w:ascii="Times New Roman" w:hAnsi="Times New Roman" w:cs="Times New Roman"/>
          <w:b w:val="0"/>
          <w:bCs w:val="0"/>
          <w:highlight w:val="none"/>
          <w:lang w:val="en-US" w:eastAsia="zh-CN"/>
        </w:rPr>
        <w:t>数量和质量相当的耕地，没有条件开垦或者开垦的不符合要求的，应该按照自治区的规定缴纳开垦费，专款用于开垦新的耕地。</w:t>
      </w:r>
    </w:p>
    <w:p w14:paraId="714B7ECA">
      <w:pPr>
        <w:bidi w:val="0"/>
        <w:rPr>
          <w:rFonts w:hint="default" w:ascii="Times New Roman" w:hAnsi="Times New Roman" w:cs="Times New Roman"/>
          <w:b w:val="0"/>
          <w:bCs w:val="0"/>
          <w:highlight w:val="none"/>
          <w:lang w:val="en-US" w:eastAsia="zh-CN"/>
        </w:rPr>
      </w:pPr>
      <w:r>
        <w:rPr>
          <w:rFonts w:hint="default" w:ascii="Times New Roman" w:hAnsi="Times New Roman" w:cs="Times New Roman"/>
          <w:highlight w:val="none"/>
          <w:lang w:val="en-US" w:eastAsia="zh-CN"/>
        </w:rPr>
        <w:t>④濒危和特有植物保护采取迁地保护或就地保护措施。受工程影响的珍稀、濒危植物，地方特有植物，古树名木，应实施有效的保护措施。在无法实行就地</w:t>
      </w:r>
      <w:r>
        <w:rPr>
          <w:rFonts w:hint="default" w:ascii="Times New Roman" w:hAnsi="Times New Roman" w:cs="Times New Roman"/>
          <w:b w:val="0"/>
          <w:bCs w:val="0"/>
          <w:highlight w:val="none"/>
          <w:lang w:val="en-US" w:eastAsia="zh-CN"/>
        </w:rPr>
        <w:t>保护措施时，应进行异地移植。建立专门的以受工程影响的珍稀、濒危和特有陆生植物为保护对象的自然保护区或树木园。</w:t>
      </w:r>
    </w:p>
    <w:p w14:paraId="1A19A190">
      <w:pPr>
        <w:bidi w:val="0"/>
        <w:rPr>
          <w:rFonts w:hint="default" w:ascii="Times New Roman" w:hAnsi="Times New Roman" w:cs="Times New Roman"/>
          <w:b w:val="0"/>
          <w:bCs w:val="0"/>
          <w:highlight w:val="none"/>
          <w:lang w:val="en-US" w:eastAsia="zh-CN"/>
        </w:rPr>
      </w:pPr>
      <w:r>
        <w:rPr>
          <w:rFonts w:hint="default" w:ascii="Times New Roman" w:hAnsi="Times New Roman" w:cs="Times New Roman"/>
          <w:highlight w:val="none"/>
          <w:lang w:val="en-US" w:eastAsia="zh-CN"/>
        </w:rPr>
        <w:t>珍稀、濒危和特有陆生植物保护的管理措施主要有：划定管理范围，根据国</w:t>
      </w:r>
      <w:r>
        <w:rPr>
          <w:rFonts w:hint="default" w:ascii="Times New Roman" w:hAnsi="Times New Roman" w:cs="Times New Roman"/>
          <w:b w:val="0"/>
          <w:bCs w:val="0"/>
          <w:highlight w:val="none"/>
          <w:lang w:val="en-US" w:eastAsia="zh-CN"/>
        </w:rPr>
        <w:t>家和地方有关规定，制定生态建设规划及本工程陆生植物管理实施细则；工程施工环保监测、监理，严禁砍伐、损坏植被，保护珍稀、濒危和特有陆生植物等。</w:t>
      </w:r>
    </w:p>
    <w:p w14:paraId="07E6C6FA">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⑤野生动物迁地保护和就地保护。针对野生动物应首先采取就地保护措施，根据拟保护动物的特殊性、典型性、代表性等明确其重要性，按其分布现状分析保护动物与工程相距位置及其影响程度，按其生态习性尤其是繁殖的环境要求和食物来源情况，寻求科学有效的保护措施。对无法实施就地保护而受影响的野生动物，如具有异地生存能力的可采取迁地保护措施。要了解迁入区的资源状况和生态学特性，动物数量、分布、生长状况及其生存环境状况，同时应确切和充分调查评价拟迁入区的环境状况，提供迁入动物的生存资源状况，并对迁地方案进行可行性论证与比选，提出推荐方案。施工人员必须遵守《中华人民共和国野生动物保护法》，严禁在施工区及其周围捕猎野生动物。</w:t>
      </w:r>
    </w:p>
    <w:p w14:paraId="4D0D2CEE">
      <w:pPr>
        <w:numPr>
          <w:ilvl w:val="0"/>
          <w:numId w:val="64"/>
        </w:numPr>
        <w:bidi w:val="0"/>
        <w:ind w:left="0" w:leftChars="0" w:firstLine="480"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水生生态保护对策措施</w:t>
      </w:r>
    </w:p>
    <w:p w14:paraId="688FFF3D">
      <w:pPr>
        <w:bidi w:val="0"/>
        <w:rPr>
          <w:rFonts w:hint="default"/>
          <w:highlight w:val="none"/>
          <w:lang w:val="en-US" w:eastAsia="zh-CN"/>
        </w:rPr>
      </w:pPr>
      <w:r>
        <w:rPr>
          <w:rFonts w:hint="default"/>
          <w:highlight w:val="none"/>
          <w:lang w:val="en-US" w:eastAsia="zh-CN"/>
        </w:rPr>
        <w:t>（1）生态需水保障措施</w:t>
      </w:r>
    </w:p>
    <w:p w14:paraId="64B99F4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加强流域综合调度适时加大下泄生态流量、受水区污染治理和高质量发展，使供水与维护受退水区地表水环境质量相协调。</w:t>
      </w:r>
    </w:p>
    <w:p w14:paraId="39D5F0D0">
      <w:pPr>
        <w:bidi w:val="0"/>
        <w:rPr>
          <w:rFonts w:hint="default"/>
          <w:highlight w:val="none"/>
          <w:lang w:val="en-US" w:eastAsia="zh-CN"/>
        </w:rPr>
      </w:pPr>
      <w:r>
        <w:rPr>
          <w:rFonts w:hint="default"/>
          <w:highlight w:val="none"/>
          <w:lang w:val="en-US" w:eastAsia="zh-CN"/>
        </w:rPr>
        <w:t>（2）生境修复措施</w:t>
      </w:r>
    </w:p>
    <w:p w14:paraId="30261213">
      <w:pPr>
        <w:bidi w:val="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1）河岸带生境修复措施</w:t>
      </w:r>
    </w:p>
    <w:p w14:paraId="07A64B14">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护岸护坡等工程要有不同的结构类型，尽量采用生态护坡、护岸，岸坡上设置多孔质构造，并尽量采用天然材料，减少不必要的硬质工程，以满足生境多样性的基本要求。</w:t>
      </w:r>
    </w:p>
    <w:p w14:paraId="74A18ADF">
      <w:pPr>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2）河道生境保护与修复</w:t>
      </w:r>
    </w:p>
    <w:p w14:paraId="0C20AD34">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河流治理工程需注意河流周围的生物群落，重视整治后原有生物群落的恢复。在满足工程的稳定性与安全性要求前提下，保持天然河岸蜿蜒平顺的岸线特点。</w:t>
      </w:r>
    </w:p>
    <w:p w14:paraId="5C088EC0">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堤防建设及河道整治工程实施过程中均需注意合理安排施工程序，避免同一河段多种类型工程同时施工和相邻段大规模集中式施工，减少对河道水生生境的扰动。河道整治工程实施后需对施工河段进行底栖生境修复，促进河道水生生态的自然恢复。</w:t>
      </w:r>
    </w:p>
    <w:p w14:paraId="00EA69E5">
      <w:pPr>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3）鱼类资源的保护措施</w:t>
      </w:r>
    </w:p>
    <w:p w14:paraId="5F35A6BA">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本工程新建水库，因大坝阻隔和水文情势的变化将导致水域中水生生物的种群结构、种群数量、分布密度和位置发生相应变化。</w:t>
      </w:r>
    </w:p>
    <w:p w14:paraId="5A3AD7A5">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①加强宣传，建立和完善鱼类资源保护规章制度，在工程施工区设置水生生物保护警示牌，增强施工人员的环保意识，严禁施工人员下河捕捞。</w:t>
      </w:r>
    </w:p>
    <w:p w14:paraId="7E5B9D36">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②施工期应加强各施工场地、弃渣场、料场等施工区的防护，避免施工废水、生活污水的直接排放，减少水体污染，防止水土流失，保护水生生物的物种多样性。</w:t>
      </w:r>
    </w:p>
    <w:p w14:paraId="0F6538A5">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③建设期间，对施工场地可能造成的水土流失的区域按照水土保持的要求布置措施进行防护，严格执行“先挡后弃”的平场施工原则，施工前修筑好截排水设施。此外，合理安排工期，土石方开挖、填筑等应避开雨天作业。</w:t>
      </w:r>
    </w:p>
    <w:p w14:paraId="768CE4E3">
      <w:pPr>
        <w:bidi w:val="0"/>
        <w:rPr>
          <w:rFonts w:hint="default" w:ascii="Times New Roman" w:hAnsi="Times New Roman" w:cs="Times New Roman"/>
          <w:b w:val="0"/>
          <w:bCs w:val="0"/>
          <w:highlight w:val="none"/>
          <w:lang w:val="en-US" w:eastAsia="zh-CN"/>
        </w:rPr>
      </w:pPr>
      <w:r>
        <w:rPr>
          <w:rFonts w:hint="default" w:ascii="Times New Roman" w:hAnsi="Times New Roman" w:cs="Times New Roman"/>
          <w:b w:val="0"/>
          <w:bCs w:val="0"/>
          <w:highlight w:val="none"/>
          <w:lang w:val="en-US" w:eastAsia="zh-CN"/>
        </w:rPr>
        <w:t>④建立鱼类保护应急机制。对围堰内的鱼类及时进行捕捞、暂养或放归；需要进行水下爆破的，事先需对影响水域采用声或网具等手段驱赶鱼类，以免受其到爆破波及；对受施工影响的鱼类及时救护。</w:t>
      </w:r>
    </w:p>
    <w:p w14:paraId="12C41FDA">
      <w:pPr>
        <w:pStyle w:val="5"/>
        <w:bidi w:val="0"/>
        <w:rPr>
          <w:rFonts w:hint="default"/>
          <w:highlight w:val="none"/>
          <w:lang w:val="en-US" w:eastAsia="zh-CN"/>
        </w:rPr>
      </w:pPr>
      <w:r>
        <w:rPr>
          <w:rFonts w:hint="default"/>
          <w:highlight w:val="none"/>
          <w:lang w:val="en-US" w:eastAsia="zh-CN"/>
        </w:rPr>
        <w:t>水土保持及生态恢复对策措施</w:t>
      </w:r>
    </w:p>
    <w:p w14:paraId="726E6C3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水土保持及生态恢复应遵循</w:t>
      </w:r>
      <w:r>
        <w:rPr>
          <w:rFonts w:hint="eastAsia" w:cs="Times New Roman"/>
          <w:highlight w:val="none"/>
          <w:lang w:val="en-US" w:eastAsia="zh-CN"/>
        </w:rPr>
        <w:t>“</w:t>
      </w:r>
      <w:r>
        <w:rPr>
          <w:rFonts w:hint="default" w:ascii="Times New Roman" w:hAnsi="Times New Roman" w:cs="Times New Roman"/>
          <w:highlight w:val="none"/>
          <w:lang w:val="en-US" w:eastAsia="zh-CN"/>
        </w:rPr>
        <w:t>防治结合、安全稳定、生态优先、因地制宜、适地适树（草）、经济高效</w:t>
      </w:r>
      <w:r>
        <w:rPr>
          <w:rFonts w:hint="eastAsia" w:cs="Times New Roman"/>
          <w:highlight w:val="none"/>
          <w:lang w:val="en-US" w:eastAsia="zh-CN"/>
        </w:rPr>
        <w:t>”</w:t>
      </w:r>
      <w:r>
        <w:rPr>
          <w:rFonts w:hint="default" w:ascii="Times New Roman" w:hAnsi="Times New Roman" w:cs="Times New Roman"/>
          <w:highlight w:val="none"/>
          <w:lang w:val="en-US" w:eastAsia="zh-CN"/>
        </w:rPr>
        <w:t>等原则，针对工程引起的水土流失、生态破坏采取相应预防、工程及植物措施。</w:t>
      </w:r>
    </w:p>
    <w:p w14:paraId="4C5CA48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具体可分为主体工程区的工程防护、植物护坡和美化绿化措施；施工便道与施工生产生活区扰动地表的土地整治和植被恢复、复垦措施；石料场区采用截排水沟、沉沙池等措施；弃渣场采用挡渣墙和植被恢复措施。</w:t>
      </w:r>
    </w:p>
    <w:p w14:paraId="1FCF14A2">
      <w:pPr>
        <w:pStyle w:val="5"/>
        <w:bidi w:val="0"/>
        <w:rPr>
          <w:rFonts w:hint="default"/>
          <w:highlight w:val="none"/>
          <w:lang w:val="en-US" w:eastAsia="zh-CN"/>
        </w:rPr>
      </w:pPr>
      <w:r>
        <w:rPr>
          <w:rFonts w:hint="default"/>
          <w:highlight w:val="none"/>
          <w:lang w:val="en-US" w:eastAsia="zh-CN"/>
        </w:rPr>
        <w:t>土壤环境保护对策措施</w:t>
      </w:r>
    </w:p>
    <w:p w14:paraId="2427BAE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防洪治涝、供水、灌溉等工程的建设不可避免的会对土壤造成损毁，致使土壤质量下降，土地生产力水平降低，可采取以下措施进行土壤改良及修复：</w:t>
      </w:r>
    </w:p>
    <w:p w14:paraId="3FEF0A4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（1）土壤水利改良，如建立农田排灌工程，调节地下水位，改善土壤水分状况，排除和防止沼泽化和盐碱化。</w:t>
      </w:r>
    </w:p>
    <w:p w14:paraId="0B04AF0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（2）土壤工程改良，如运用平整土地，兴修梯田，引洪漫淤等工程措施，改良土壤条件。前期工程开挖的熟土应尽量保留，在工程后期土地回填及平整过程中可采用原先开挖的熟土，有利于地力提升。</w:t>
      </w:r>
    </w:p>
    <w:p w14:paraId="3503830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（3）土壤生物改良，运用各种生物途径（如种植绿肥），增加土壤有机质以提高土壤肥力，或营造防护林防治水土流失等。</w:t>
      </w:r>
    </w:p>
    <w:p w14:paraId="31ECB834">
      <w:pPr>
        <w:bidi w:val="0"/>
        <w:rPr>
          <w:rFonts w:hint="default"/>
          <w:highlight w:val="none"/>
          <w:lang w:val="en-US" w:eastAsia="zh-CN"/>
        </w:rPr>
      </w:pPr>
      <w:r>
        <w:rPr>
          <w:rFonts w:hint="default"/>
          <w:highlight w:val="none"/>
          <w:lang w:val="en-US" w:eastAsia="zh-CN"/>
        </w:rPr>
        <w:t>（4）土壤耕作改良，通过改进耕作方法改良土壤条件。</w:t>
      </w:r>
    </w:p>
    <w:p w14:paraId="58D683A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（5）土壤化学改良，如施用化肥和各种土壤改良剂等提高土壤肥力，改善土壤结构，消除土壤污染等。</w:t>
      </w:r>
    </w:p>
    <w:p w14:paraId="61E1D46A">
      <w:pPr>
        <w:pStyle w:val="4"/>
        <w:bidi w:val="0"/>
        <w:rPr>
          <w:rFonts w:hint="default"/>
          <w:highlight w:val="none"/>
          <w:lang w:val="en-US" w:eastAsia="zh-CN"/>
        </w:rPr>
      </w:pPr>
      <w:r>
        <w:rPr>
          <w:rFonts w:hint="default"/>
          <w:highlight w:val="none"/>
          <w:lang w:val="en-US" w:eastAsia="zh-CN"/>
        </w:rPr>
        <w:t>环境风险防范措施</w:t>
      </w:r>
    </w:p>
    <w:p w14:paraId="6F354F40">
      <w:pPr>
        <w:pStyle w:val="5"/>
        <w:bidi w:val="0"/>
        <w:rPr>
          <w:rFonts w:hint="default"/>
          <w:highlight w:val="none"/>
          <w:lang w:val="en-US" w:eastAsia="zh-CN"/>
        </w:rPr>
      </w:pPr>
      <w:r>
        <w:rPr>
          <w:rFonts w:hint="default"/>
          <w:highlight w:val="none"/>
          <w:lang w:val="en-US" w:eastAsia="zh-CN"/>
        </w:rPr>
        <w:t>溃坝风险防范</w:t>
      </w:r>
    </w:p>
    <w:p w14:paraId="0ECFF3CC">
      <w:pPr>
        <w:bidi w:val="0"/>
        <w:rPr>
          <w:rFonts w:hint="default"/>
          <w:highlight w:val="none"/>
          <w:lang w:val="en-US" w:eastAsia="zh-CN"/>
        </w:rPr>
      </w:pPr>
      <w:r>
        <w:rPr>
          <w:rFonts w:hint="default"/>
          <w:highlight w:val="none"/>
          <w:lang w:val="en-US" w:eastAsia="zh-CN"/>
        </w:rPr>
        <w:t>为了确保水库大坝安全，除害兴利，延长库坝寿命，充分发挥效益，努力避免垮坝灾害风险，流域内水库建设从勘测、设计、施工、运行全过程中应采取各种有效的防范和应急措施，做到防患未然，防微杜渐。参照国内外库坝安全工作研究成果，针对可能引起库坝破坏和溃决的主要原因，提出如下防范和应急措施。</w:t>
      </w:r>
    </w:p>
    <w:p w14:paraId="65D05922">
      <w:pPr>
        <w:bidi w:val="0"/>
        <w:rPr>
          <w:rFonts w:hint="default"/>
          <w:highlight w:val="none"/>
          <w:lang w:val="en-US" w:eastAsia="zh-CN"/>
        </w:rPr>
      </w:pPr>
      <w:r>
        <w:rPr>
          <w:rFonts w:hint="default"/>
          <w:highlight w:val="none"/>
          <w:lang w:val="en-US" w:eastAsia="zh-CN"/>
        </w:rPr>
        <w:t>（1）认真贯彻执行《水库大坝安全管理条例》（国务院〔1991〕第77号令）。该条例对坝高15米以上或库容100万立方米以上的水库大坝建设、管理和险库处理都作了明确规定和严格要求。</w:t>
      </w:r>
    </w:p>
    <w:p w14:paraId="2E4914F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（2）严格按照管理程序办事。为防止发生水库大坝破坏和溃决，应依次做好勘测、设计、施工、验收、运行、鉴定、加固工作。</w:t>
      </w:r>
    </w:p>
    <w:p w14:paraId="008CB95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（3）加强工程地质勘测工作。对各项目进行详细的工程地质和地下水文调查，查明情况。</w:t>
      </w:r>
    </w:p>
    <w:p w14:paraId="22DE8FD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加强气象水文分析工作。各项目水库坝址处及附近若没有实测洪水资料，设计洪水计算选择上游或下游最近水文站作为参证站，采用频率分析法进行计算。加强水情分析预测工作，摸清水帐，适当提高库坝实有抗洪标准，可通过适当扩大泄洪设施和能力来提高防洪标准。</w:t>
      </w:r>
    </w:p>
    <w:p w14:paraId="6A429A6E">
      <w:pPr>
        <w:bidi w:val="0"/>
        <w:rPr>
          <w:rFonts w:hint="default"/>
          <w:highlight w:val="none"/>
          <w:lang w:val="en-US" w:eastAsia="zh-CN"/>
        </w:rPr>
      </w:pPr>
      <w:r>
        <w:rPr>
          <w:rFonts w:hint="default"/>
          <w:highlight w:val="none"/>
          <w:lang w:val="en-US" w:eastAsia="zh-CN"/>
        </w:rPr>
        <w:t>（5）严格按照规范精心设计。对库区内外河段两岸边坡的不稳定地质体进行工程处理。全面考虑整体工程布置，妥善处理枢纽工程与非枢纽工程的关系，合理规划布局，认真勘测设计，优化工程设计和施工方案。</w:t>
      </w:r>
    </w:p>
    <w:p w14:paraId="4049ADE3">
      <w:pPr>
        <w:bidi w:val="0"/>
        <w:rPr>
          <w:rFonts w:hint="default"/>
          <w:highlight w:val="none"/>
          <w:lang w:val="en-US" w:eastAsia="zh-CN"/>
        </w:rPr>
      </w:pPr>
      <w:r>
        <w:rPr>
          <w:rFonts w:hint="default"/>
          <w:highlight w:val="none"/>
          <w:lang w:val="en-US" w:eastAsia="zh-CN"/>
        </w:rPr>
        <w:t>（6）加强水库运行技术管理。为确保水库安全运行，库坝投产运行期必须建立健全水库运行调度和安全操作技术体系，提高技术管理水平，合理编制水库防洪预案和调度运用计划，遵守水库安全操作规定；重视大坝安全监测、鉴定工作，加强库岸坝体防护加固和闸门吊车维修养护，设置满足大坝安全观测设施，经常检查和定期观测大坝安全情况，并对洪水数据进行复核，做到及时发现问题及时采取措施，杜绝水库带病冒险运行；重视建设可靠的预报、预警系统和改善交通、通讯设施，制定应急度汛计划，做到洪水来前有准备，洪水来时有对策，并设置满足闸门启闭备用电源和设备，保证及时宣泄洪水。对超标的特大暴雨洪水，应事先作好非常泄洪措施的准备，并应事先通知下游作好防汛抢险准备。</w:t>
      </w:r>
    </w:p>
    <w:p w14:paraId="22E1A0A5">
      <w:pPr>
        <w:bidi w:val="0"/>
        <w:rPr>
          <w:rFonts w:hint="default"/>
          <w:highlight w:val="none"/>
          <w:lang w:val="en-US" w:eastAsia="zh-CN"/>
        </w:rPr>
      </w:pPr>
      <w:r>
        <w:rPr>
          <w:rFonts w:hint="default"/>
          <w:highlight w:val="none"/>
          <w:lang w:val="en-US" w:eastAsia="zh-CN"/>
        </w:rPr>
        <w:t>（7）禁止库区引发滑塌作业。应禁止在库区内外附近周围炸石和炸鱼等爆破活动以及在库区和坝下附近河段两岸边坡随意堆放大量物料和建筑，以免引起滑塌。</w:t>
      </w:r>
    </w:p>
    <w:p w14:paraId="01FA8AD2">
      <w:pPr>
        <w:pStyle w:val="5"/>
        <w:bidi w:val="0"/>
        <w:rPr>
          <w:rFonts w:hint="default"/>
          <w:highlight w:val="none"/>
          <w:lang w:val="en-US" w:eastAsia="zh-CN"/>
        </w:rPr>
      </w:pPr>
      <w:r>
        <w:rPr>
          <w:rFonts w:hint="default"/>
          <w:highlight w:val="none"/>
          <w:lang w:val="en-US" w:eastAsia="zh-CN"/>
        </w:rPr>
        <w:t>水源地水质风险防范</w:t>
      </w:r>
    </w:p>
    <w:p w14:paraId="1B08A61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为保证供水水源地水质安全，应加强水源保护区内监督管理，对供水水源地水体进行水质在线监测。</w:t>
      </w:r>
    </w:p>
    <w:p w14:paraId="5A590686">
      <w:pPr>
        <w:pStyle w:val="5"/>
        <w:bidi w:val="0"/>
        <w:rPr>
          <w:rFonts w:hint="default"/>
          <w:highlight w:val="none"/>
          <w:lang w:val="en-US" w:eastAsia="zh-CN"/>
        </w:rPr>
      </w:pPr>
      <w:r>
        <w:rPr>
          <w:rFonts w:hint="default"/>
          <w:highlight w:val="none"/>
          <w:lang w:val="en-US" w:eastAsia="zh-CN"/>
        </w:rPr>
        <w:t>生态风险防范</w:t>
      </w:r>
    </w:p>
    <w:p w14:paraId="4EF5F2D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（1）合理调配水资源量，对流域内水资源进行综合管理，统一调度，兼顾洪水期间的流域防洪及治理。</w:t>
      </w:r>
    </w:p>
    <w:p w14:paraId="42E8C45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（2）加强水土流失治理，项目的的选址、设计和施工充分考虑水土保持的需要，尽量减少开挖，采取边施工边保护，因地制宜进行植树造林。</w:t>
      </w:r>
    </w:p>
    <w:p w14:paraId="4458D81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（3）严格执行野外用火和爆破的相关报批制度；严禁施工人员私自野外用火；严格控制易燃易爆器材的使用；制定和执行严格的爆破规程，爆破时必须采取有效隔离措施。</w:t>
      </w:r>
    </w:p>
    <w:p w14:paraId="7DB98B8D">
      <w:pPr>
        <w:pStyle w:val="4"/>
        <w:bidi w:val="0"/>
        <w:rPr>
          <w:rFonts w:hint="default"/>
          <w:highlight w:val="none"/>
          <w:lang w:val="en-US" w:eastAsia="zh-CN"/>
        </w:rPr>
      </w:pPr>
      <w:r>
        <w:rPr>
          <w:rFonts w:hint="default"/>
          <w:highlight w:val="none"/>
          <w:lang w:val="en-US" w:eastAsia="zh-CN"/>
        </w:rPr>
        <w:t>社会环境保护对策措施</w:t>
      </w:r>
    </w:p>
    <w:p w14:paraId="66DC7B84">
      <w:pPr>
        <w:bidi w:val="0"/>
        <w:rPr>
          <w:rFonts w:hint="default"/>
          <w:highlight w:val="none"/>
          <w:lang w:val="en-US" w:eastAsia="zh-CN"/>
        </w:rPr>
      </w:pPr>
      <w:r>
        <w:rPr>
          <w:rFonts w:hint="default"/>
          <w:highlight w:val="none"/>
          <w:lang w:val="en-US" w:eastAsia="zh-CN"/>
        </w:rPr>
        <w:t>（1）严格保护耕地，控制耕地资源流失</w:t>
      </w:r>
    </w:p>
    <w:p w14:paraId="58C0CE7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耕地资源极为珍贵，在规划工程设计阶段，应合理规划施工场地，控制工程占地规模，尽量不占、少占耕地。临时用地如料场、渣场等通过规划方案的调整或优化，尽量减少对耕地的占用。严格落实《基本农田保护条例》要求，保护基本农田资源。</w:t>
      </w:r>
    </w:p>
    <w:p w14:paraId="484A1D76">
      <w:pPr>
        <w:bidi w:val="0"/>
        <w:rPr>
          <w:rFonts w:hint="default"/>
          <w:highlight w:val="none"/>
          <w:lang w:val="en-US" w:eastAsia="zh-CN"/>
        </w:rPr>
      </w:pPr>
      <w:r>
        <w:rPr>
          <w:rFonts w:hint="default"/>
          <w:highlight w:val="none"/>
          <w:lang w:val="en-US" w:eastAsia="zh-CN"/>
        </w:rPr>
        <w:t>（2）耕地复垦</w:t>
      </w:r>
    </w:p>
    <w:p w14:paraId="583D1B2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对于工程无法避让而占用的耕地，应剥离表层土质较优的耕作层土壤，选择合适的位置集中堆放，用于复垦耕地、劣质地或者其它耕地的土壤改良。工程施工过程中，工程施工单位必须按照</w:t>
      </w:r>
      <w:r>
        <w:rPr>
          <w:rFonts w:hint="eastAsia" w:cs="Times New Roman"/>
          <w:highlight w:val="none"/>
          <w:lang w:val="en-US" w:eastAsia="zh-CN"/>
        </w:rPr>
        <w:t>“</w:t>
      </w:r>
      <w:r>
        <w:rPr>
          <w:rFonts w:hint="default" w:ascii="Times New Roman" w:hAnsi="Times New Roman" w:cs="Times New Roman"/>
          <w:highlight w:val="none"/>
          <w:lang w:val="en-US" w:eastAsia="zh-CN"/>
        </w:rPr>
        <w:t>先剥离、收集耕作层土壤，再施工</w:t>
      </w:r>
      <w:r>
        <w:rPr>
          <w:rFonts w:hint="eastAsia" w:cs="Times New Roman"/>
          <w:highlight w:val="none"/>
          <w:lang w:val="en-US" w:eastAsia="zh-CN"/>
        </w:rPr>
        <w:t>”</w:t>
      </w:r>
      <w:r>
        <w:rPr>
          <w:rFonts w:hint="default" w:ascii="Times New Roman" w:hAnsi="Times New Roman" w:cs="Times New Roman"/>
          <w:highlight w:val="none"/>
          <w:lang w:val="en-US" w:eastAsia="zh-CN"/>
        </w:rPr>
        <w:t>的原则进行施工，避免耕作层土壤资源的浪费。为确保土壤肥力，最大限度地恢复耕植条件，施工单位要保证施工临时占用耕地的剥离厚度在20cm以上。工程完工后，及时对施工临时占用的耕地进行复垦，并进行水利设施配套和土壤熟化。</w:t>
      </w:r>
    </w:p>
    <w:p w14:paraId="11C9D272">
      <w:pPr>
        <w:bidi w:val="0"/>
        <w:rPr>
          <w:rFonts w:hint="default"/>
          <w:highlight w:val="none"/>
          <w:lang w:val="en-US" w:eastAsia="zh-CN"/>
        </w:rPr>
      </w:pPr>
      <w:r>
        <w:rPr>
          <w:rFonts w:hint="default"/>
          <w:highlight w:val="none"/>
          <w:lang w:val="en-US" w:eastAsia="zh-CN"/>
        </w:rPr>
        <w:t>（3）防止土地退化</w:t>
      </w:r>
    </w:p>
    <w:p w14:paraId="1639AB1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结合灌溉规划、水土保持规划的实施，合理调整农业、林业结构，通过实施退耕还林还草，种植业内部结构调整、营造农田防护林网等措施，提高农业生态经济系统的承载力。开展农作物之间的立体种植，实行间、套、复种；优化林种和树种结构，注重乔灌草相结合，推广针阔混交林，调高造林的抗逆性。合理规划灌溉用水量和灌溉方式，避免因灌溉不当和排水不畅造成土地退化。严格执行封山育林等措施，防治边治理、边破坏的资源开发利用方式。</w:t>
      </w:r>
    </w:p>
    <w:p w14:paraId="18EEE9E5">
      <w:pPr>
        <w:bidi w:val="0"/>
        <w:rPr>
          <w:rFonts w:hint="default"/>
          <w:highlight w:val="none"/>
          <w:lang w:val="en-US" w:eastAsia="zh-CN"/>
        </w:rPr>
      </w:pPr>
      <w:r>
        <w:rPr>
          <w:rFonts w:hint="default"/>
          <w:highlight w:val="none"/>
          <w:lang w:val="en-US" w:eastAsia="zh-CN"/>
        </w:rPr>
        <w:t>（4）推进土地节约集约利用</w:t>
      </w:r>
    </w:p>
    <w:p w14:paraId="55E5887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在流域内大力发展循环生态农业，集约农业等有利于资源和环境保护的农业生产模式。结合区域定位，功能目标和发展规模，加强规划管控与项目引导，优化土地利用结构与布局，引导流域内等乡镇走向集约内涵型发展之路。</w:t>
      </w:r>
    </w:p>
    <w:p w14:paraId="77FFCCEB">
      <w:pPr>
        <w:pStyle w:val="4"/>
        <w:bidi w:val="0"/>
        <w:rPr>
          <w:rFonts w:hint="default"/>
          <w:highlight w:val="none"/>
          <w:lang w:val="en-US" w:eastAsia="zh-CN"/>
        </w:rPr>
      </w:pPr>
      <w:r>
        <w:rPr>
          <w:rFonts w:hint="default"/>
          <w:highlight w:val="none"/>
          <w:lang w:val="en-US" w:eastAsia="zh-CN"/>
        </w:rPr>
        <w:t>环境敏感区保护对策措施</w:t>
      </w:r>
    </w:p>
    <w:p w14:paraId="73093CF3">
      <w:pPr>
        <w:pStyle w:val="5"/>
        <w:bidi w:val="0"/>
        <w:rPr>
          <w:rFonts w:hint="default"/>
          <w:highlight w:val="none"/>
          <w:lang w:val="en-US" w:eastAsia="zh-CN"/>
        </w:rPr>
      </w:pPr>
      <w:r>
        <w:rPr>
          <w:rFonts w:hint="default"/>
          <w:highlight w:val="none"/>
          <w:lang w:val="en-US" w:eastAsia="zh-CN"/>
        </w:rPr>
        <w:t>饮用水水源保护对策措施</w:t>
      </w:r>
    </w:p>
    <w:p w14:paraId="1DB064B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本次冷龙沟流域综合规划范围内有乡城县集中式饮用水水源地。尼色拥水库建成后现有水源地将撤销，尼色拥水库作为新的饮用水水源地。</w:t>
      </w:r>
    </w:p>
    <w:p w14:paraId="08CDB85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禁止在饮用水水源一级管控区内新建</w:t>
      </w:r>
      <w:r>
        <w:rPr>
          <w:rFonts w:hint="eastAsia" w:cs="Times New Roman"/>
          <w:highlight w:val="none"/>
          <w:lang w:val="en-US" w:eastAsia="zh-CN"/>
        </w:rPr>
        <w:t>（</w:t>
      </w:r>
      <w:r>
        <w:rPr>
          <w:rFonts w:hint="default" w:ascii="Times New Roman" w:hAnsi="Times New Roman" w:cs="Times New Roman"/>
          <w:highlight w:val="none"/>
          <w:lang w:val="en-US" w:eastAsia="zh-CN"/>
        </w:rPr>
        <w:t>改建、扩建</w:t>
      </w:r>
      <w:r>
        <w:rPr>
          <w:rFonts w:hint="eastAsia" w:cs="Times New Roman"/>
          <w:highlight w:val="none"/>
          <w:lang w:val="en-US" w:eastAsia="zh-CN"/>
        </w:rPr>
        <w:t>）</w:t>
      </w:r>
      <w:r>
        <w:rPr>
          <w:rFonts w:hint="default" w:ascii="Times New Roman" w:hAnsi="Times New Roman" w:cs="Times New Roman"/>
          <w:highlight w:val="none"/>
          <w:lang w:val="en-US" w:eastAsia="zh-CN"/>
        </w:rPr>
        <w:t>与供水设施和保护水源无关的建设项目，禁止从事种植、放养畜禽、网箱养殖、旅游、游泳、垂钓或者其他可能污染饮用水水体的活动。禁止在饮用水水源二级管控区内开发房地产、建设宾馆、餐饮以及新建</w:t>
      </w:r>
      <w:r>
        <w:rPr>
          <w:rFonts w:hint="eastAsia" w:cs="Times New Roman"/>
          <w:highlight w:val="none"/>
          <w:lang w:val="en-US" w:eastAsia="zh-CN"/>
        </w:rPr>
        <w:t>（</w:t>
      </w:r>
      <w:r>
        <w:rPr>
          <w:rFonts w:hint="default" w:ascii="Times New Roman" w:hAnsi="Times New Roman" w:cs="Times New Roman"/>
          <w:highlight w:val="none"/>
          <w:lang w:val="en-US" w:eastAsia="zh-CN"/>
        </w:rPr>
        <w:t>改建、扩建</w:t>
      </w:r>
      <w:r>
        <w:rPr>
          <w:rFonts w:hint="eastAsia" w:cs="Times New Roman"/>
          <w:highlight w:val="none"/>
          <w:lang w:val="en-US" w:eastAsia="zh-CN"/>
        </w:rPr>
        <w:t>）</w:t>
      </w:r>
      <w:r>
        <w:rPr>
          <w:rFonts w:hint="default" w:ascii="Times New Roman" w:hAnsi="Times New Roman" w:cs="Times New Roman"/>
          <w:highlight w:val="none"/>
          <w:lang w:val="en-US" w:eastAsia="zh-CN"/>
        </w:rPr>
        <w:t>排放污染物的建设项目，禁止设置排污口、城市垃圾、粪便和易溶、有毒有害废弃物堆放场和转运站，禁止利用未经净化的污水灌溉农田。禁止在饮用水水源准保护区内新建(扩建)化工、造纸、电镀、印染、酿造、矿井水氢离子浓度指数</w:t>
      </w:r>
      <w:r>
        <w:rPr>
          <w:rFonts w:hint="eastAsia" w:cs="Times New Roman"/>
          <w:highlight w:val="none"/>
          <w:lang w:val="en-US" w:eastAsia="zh-CN"/>
        </w:rPr>
        <w:t>（</w:t>
      </w:r>
      <w:r>
        <w:rPr>
          <w:rFonts w:hint="default" w:ascii="Times New Roman" w:hAnsi="Times New Roman" w:cs="Times New Roman"/>
          <w:highlight w:val="none"/>
          <w:lang w:val="en-US" w:eastAsia="zh-CN"/>
        </w:rPr>
        <w:t>pH 值</w:t>
      </w:r>
      <w:r>
        <w:rPr>
          <w:rFonts w:hint="eastAsia" w:cs="Times New Roman"/>
          <w:highlight w:val="none"/>
          <w:lang w:val="en-US" w:eastAsia="zh-CN"/>
        </w:rPr>
        <w:t>）</w:t>
      </w:r>
      <w:r>
        <w:rPr>
          <w:rFonts w:hint="default" w:ascii="Times New Roman" w:hAnsi="Times New Roman" w:cs="Times New Roman"/>
          <w:highlight w:val="none"/>
          <w:lang w:val="en-US" w:eastAsia="zh-CN"/>
        </w:rPr>
        <w:t>低于3以下的煤炭采选以及其它对水体污染严重的建设项目，其它改建、扩建建设项目不得增加排污量。禁止装载危险化学品、有毒有害物质、油类的车辆驶入一、二级管控区。</w:t>
      </w:r>
    </w:p>
    <w:p w14:paraId="159DC04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严格执行《中华人民共和国水污染防治法》《饮用水水源保护区污染防治管理规定》（环境保护令第 16 号）、《关于进一步加强饮用水水源安全保障工作的通知》（环办〔2009〕30号）等水源保护区相关管理规定。按照《饮用水水源保护区标志技术要求》（HJ/T433-2008）的要求规范设置饮用水水源保护区界标、交通警示牌、宣传牌。</w:t>
      </w:r>
    </w:p>
    <w:p w14:paraId="3AA10978">
      <w:pPr>
        <w:pStyle w:val="5"/>
        <w:bidi w:val="0"/>
        <w:rPr>
          <w:rFonts w:hint="default"/>
          <w:highlight w:val="none"/>
          <w:lang w:val="en-US" w:eastAsia="zh-CN"/>
        </w:rPr>
      </w:pPr>
      <w:r>
        <w:rPr>
          <w:rFonts w:hint="default"/>
          <w:highlight w:val="none"/>
          <w:lang w:val="en-US" w:eastAsia="zh-CN"/>
        </w:rPr>
        <w:t>其他环境敏感区保护对策措施</w:t>
      </w:r>
    </w:p>
    <w:p w14:paraId="4D4E654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根据现场调查及相关部门叠图可知，本次冷龙沟流域综合规划范围内均不涉及自然保护区、森林公园等生态敏感区，对其不会产生影响。</w:t>
      </w:r>
    </w:p>
    <w:p w14:paraId="44C121F4">
      <w:pPr>
        <w:pStyle w:val="4"/>
        <w:bidi w:val="0"/>
        <w:rPr>
          <w:rFonts w:hint="default"/>
          <w:highlight w:val="none"/>
          <w:lang w:val="en-US" w:eastAsia="zh-CN"/>
        </w:rPr>
      </w:pPr>
      <w:r>
        <w:rPr>
          <w:rFonts w:hint="default"/>
          <w:highlight w:val="none"/>
          <w:lang w:val="en-US" w:eastAsia="zh-CN"/>
        </w:rPr>
        <w:t>环境管理、监理与监测措施</w:t>
      </w:r>
    </w:p>
    <w:p w14:paraId="043DB1D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对于在建及未建工程，都必须履行《环境影响评价法》的相关规定，在施工前由业主委托环评单位进行环境影响评价，环境保护措施按相应的环境影响报告书及环保部门的批复要求进行。</w:t>
      </w:r>
    </w:p>
    <w:p w14:paraId="1423FA8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国家环境保护管理规定，规划工程在施工期间应设置环境保护管理机构，业务上接受当地生态环境部门的指导。其职责是贯彻执行国家方针、政策及法规；负责工程日常的环境管理工作；负责各阶段的环境监测与监理计划及环保措施的实施；接受相关部门的环境监督与检查。</w:t>
      </w:r>
    </w:p>
    <w:p w14:paraId="4AAA982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建设项目工程环境监理及水土保持监理的有关规定，规划工程建设单位应委托具有相应资质的单位开展工程环境监理及水土保持监理工作，在施工期间对所有实施环保项目的专业部门及工程项目承包商的环境保护工作进行监督、检查、管理。</w:t>
      </w:r>
    </w:p>
    <w:p w14:paraId="5157171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加强施工期和运行期的环境监测工作。工程施工和运行期间，应开展水质、大气、噪声、人群健康、水土保持等监测工作，了解工程建设及运行期间各个阶段的环境质量状况，为环境管理提供依据。</w:t>
      </w:r>
    </w:p>
    <w:p w14:paraId="55E7FFCD">
      <w:pPr>
        <w:ind w:left="0" w:leftChars="0" w:firstLine="0" w:firstLineChars="0"/>
        <w:rPr>
          <w:rFonts w:hint="default" w:ascii="Times New Roman" w:hAnsi="Times New Roman" w:cs="Times New Roman"/>
          <w:highlight w:val="none"/>
          <w:lang w:val="en-US" w:eastAsia="zh-CN"/>
        </w:rPr>
      </w:pPr>
    </w:p>
    <w:p w14:paraId="4C6E47AC">
      <w:pPr>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39CD5072">
      <w:pPr>
        <w:pStyle w:val="2"/>
        <w:bidi w:val="0"/>
        <w:rPr>
          <w:rFonts w:hint="default"/>
          <w:highlight w:val="none"/>
          <w:lang w:val="en-US" w:eastAsia="zh-CN"/>
        </w:rPr>
      </w:pPr>
      <w:bookmarkStart w:id="78" w:name="_Toc28975"/>
      <w:r>
        <w:rPr>
          <w:rFonts w:hint="default"/>
          <w:highlight w:val="none"/>
          <w:lang w:val="en-US" w:eastAsia="zh-CN"/>
        </w:rPr>
        <w:t>环境监测与环境影响跟踪评价计划和建设项目环境影响评价要求</w:t>
      </w:r>
      <w:bookmarkEnd w:id="78"/>
    </w:p>
    <w:p w14:paraId="102D9BF3">
      <w:pPr>
        <w:pStyle w:val="3"/>
        <w:bidi w:val="0"/>
        <w:rPr>
          <w:rFonts w:hint="default"/>
          <w:highlight w:val="none"/>
          <w:lang w:val="en-US" w:eastAsia="zh-CN"/>
        </w:rPr>
      </w:pPr>
      <w:bookmarkStart w:id="79" w:name="_Toc23614"/>
      <w:r>
        <w:rPr>
          <w:rFonts w:hint="default"/>
          <w:highlight w:val="none"/>
          <w:lang w:val="en-US" w:eastAsia="zh-CN"/>
        </w:rPr>
        <w:t>监测与跟踪评价原则</w:t>
      </w:r>
      <w:bookmarkEnd w:id="79"/>
    </w:p>
    <w:p w14:paraId="6445242C">
      <w:pPr>
        <w:rPr>
          <w:rFonts w:hint="default" w:ascii="Times New Roman" w:hAnsi="Times New Roman" w:cs="Times New Roman"/>
          <w:b/>
          <w:bCs/>
          <w:highlight w:val="none"/>
          <w:lang w:val="en-US" w:eastAsia="zh-CN"/>
        </w:rPr>
      </w:pPr>
      <w:r>
        <w:rPr>
          <w:rFonts w:hint="eastAsia" w:cs="Times New Roman"/>
          <w:b/>
          <w:bCs/>
          <w:highlight w:val="none"/>
          <w:lang w:val="en-US" w:eastAsia="zh-CN"/>
        </w:rPr>
        <w:t>1、</w:t>
      </w:r>
      <w:r>
        <w:rPr>
          <w:rFonts w:hint="default" w:ascii="Times New Roman" w:hAnsi="Times New Roman" w:cs="Times New Roman"/>
          <w:b/>
          <w:bCs/>
          <w:highlight w:val="none"/>
          <w:lang w:val="en-US" w:eastAsia="zh-CN"/>
        </w:rPr>
        <w:t>重点突出原则</w:t>
      </w:r>
    </w:p>
    <w:p w14:paraId="050E097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监测和跟踪评价项目应是流域水电开发建设影响的重点环境因子，代表性较强，能反应流域环境受影响程度及其变化趋势。</w:t>
      </w:r>
    </w:p>
    <w:p w14:paraId="61A2C814">
      <w:pPr>
        <w:rPr>
          <w:rFonts w:hint="default" w:ascii="Times New Roman" w:hAnsi="Times New Roman" w:cs="Times New Roman"/>
          <w:b/>
          <w:bCs/>
          <w:highlight w:val="none"/>
          <w:lang w:val="en-US" w:eastAsia="zh-CN"/>
        </w:rPr>
      </w:pPr>
      <w:r>
        <w:rPr>
          <w:rFonts w:hint="eastAsia" w:cs="Times New Roman"/>
          <w:b/>
          <w:bCs/>
          <w:highlight w:val="none"/>
          <w:lang w:val="en-US" w:eastAsia="zh-CN"/>
        </w:rPr>
        <w:t>2、</w:t>
      </w:r>
      <w:r>
        <w:rPr>
          <w:rFonts w:hint="default" w:ascii="Times New Roman" w:hAnsi="Times New Roman" w:cs="Times New Roman"/>
          <w:b/>
          <w:bCs/>
          <w:highlight w:val="none"/>
          <w:lang w:val="en-US" w:eastAsia="zh-CN"/>
        </w:rPr>
        <w:t>全面性原则</w:t>
      </w:r>
    </w:p>
    <w:p w14:paraId="1D6178C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监测和跟踪评价范围、对象和时段应覆盖规划河段及影响地区，以便全面了解规划河段和周围环境的变化，以及环境变化 对规划实施的影响。</w:t>
      </w:r>
    </w:p>
    <w:p w14:paraId="67AA7243">
      <w:pPr>
        <w:rPr>
          <w:rFonts w:hint="default" w:ascii="Times New Roman" w:hAnsi="Times New Roman" w:cs="Times New Roman"/>
          <w:b/>
          <w:bCs/>
          <w:highlight w:val="none"/>
          <w:lang w:val="en-US" w:eastAsia="zh-CN"/>
        </w:rPr>
      </w:pPr>
      <w:r>
        <w:rPr>
          <w:rFonts w:hint="eastAsia" w:cs="Times New Roman"/>
          <w:b/>
          <w:bCs/>
          <w:highlight w:val="none"/>
          <w:lang w:val="en-US" w:eastAsia="zh-CN"/>
        </w:rPr>
        <w:t>3、</w:t>
      </w:r>
      <w:r>
        <w:rPr>
          <w:rFonts w:hint="default" w:ascii="Times New Roman" w:hAnsi="Times New Roman" w:cs="Times New Roman"/>
          <w:b/>
          <w:bCs/>
          <w:highlight w:val="none"/>
          <w:lang w:val="en-US" w:eastAsia="zh-CN"/>
        </w:rPr>
        <w:t>协调一致原则</w:t>
      </w:r>
    </w:p>
    <w:p w14:paraId="328F4F1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监测和跟踪评价应与本次规划紧密结合，力求监控规划方案实施全过程中主要环境因子的动态变化，以协调水利设施建设与流域环境保护之间的关系。</w:t>
      </w:r>
    </w:p>
    <w:p w14:paraId="1095E326">
      <w:pPr>
        <w:rPr>
          <w:rFonts w:hint="default" w:ascii="Times New Roman" w:hAnsi="Times New Roman" w:cs="Times New Roman"/>
          <w:highlight w:val="none"/>
          <w:lang w:val="en-US" w:eastAsia="zh-CN"/>
        </w:rPr>
      </w:pPr>
      <w:r>
        <w:rPr>
          <w:rFonts w:hint="eastAsia" w:cs="Times New Roman"/>
          <w:b/>
          <w:bCs/>
          <w:highlight w:val="none"/>
          <w:lang w:val="en-US" w:eastAsia="zh-CN"/>
        </w:rPr>
        <w:t>4、</w:t>
      </w:r>
      <w:r>
        <w:rPr>
          <w:rFonts w:hint="default" w:ascii="Times New Roman" w:hAnsi="Times New Roman" w:cs="Times New Roman"/>
          <w:b/>
          <w:bCs/>
          <w:highlight w:val="none"/>
          <w:lang w:val="en-US" w:eastAsia="zh-CN"/>
        </w:rPr>
        <w:t>经济性与可操作性原则</w:t>
      </w:r>
    </w:p>
    <w:p w14:paraId="78F4E01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按照相关专业技术规范，监测项目、频次、时段和方法以满足本监测和跟踪任务为前提，尽量利用现有监测机构成果，新建站点的设置要可操作性强，力求以较少的投入获得较完整的环境监测数据。</w:t>
      </w:r>
    </w:p>
    <w:p w14:paraId="7F7B7E47">
      <w:pPr>
        <w:rPr>
          <w:rFonts w:hint="default" w:ascii="Times New Roman" w:hAnsi="Times New Roman" w:cs="Times New Roman"/>
          <w:b/>
          <w:bCs/>
          <w:highlight w:val="none"/>
          <w:lang w:val="en-US" w:eastAsia="zh-CN"/>
        </w:rPr>
      </w:pPr>
      <w:r>
        <w:rPr>
          <w:rFonts w:hint="eastAsia" w:cs="Times New Roman"/>
          <w:b/>
          <w:bCs/>
          <w:highlight w:val="none"/>
          <w:lang w:val="en-US" w:eastAsia="zh-CN"/>
        </w:rPr>
        <w:t>5、</w:t>
      </w:r>
      <w:r>
        <w:rPr>
          <w:rFonts w:hint="default" w:ascii="Times New Roman" w:hAnsi="Times New Roman" w:cs="Times New Roman"/>
          <w:b/>
          <w:bCs/>
          <w:highlight w:val="none"/>
          <w:lang w:val="en-US" w:eastAsia="zh-CN"/>
        </w:rPr>
        <w:t>环境监测机构</w:t>
      </w:r>
    </w:p>
    <w:p w14:paraId="5769BD3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充分利用现有的有关标准和监测系统，监测规划实施后的环境影响。若发现问题，应及时找出原因，采取措施消除污染源与其它不利影响，并上报环境保护和水利行政主管部门。</w:t>
      </w:r>
    </w:p>
    <w:p w14:paraId="5C870D78">
      <w:pPr>
        <w:pStyle w:val="3"/>
        <w:bidi w:val="0"/>
        <w:rPr>
          <w:rFonts w:hint="default"/>
          <w:highlight w:val="none"/>
          <w:lang w:val="en-US" w:eastAsia="zh-CN"/>
        </w:rPr>
      </w:pPr>
      <w:bookmarkStart w:id="80" w:name="_Toc26909"/>
      <w:r>
        <w:rPr>
          <w:rFonts w:hint="default"/>
          <w:highlight w:val="none"/>
          <w:lang w:val="en-US" w:eastAsia="zh-CN"/>
        </w:rPr>
        <w:t>目的和任务</w:t>
      </w:r>
      <w:bookmarkEnd w:id="80"/>
    </w:p>
    <w:p w14:paraId="394F9FE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环境监测和环境影响跟踪评价是规划环境影响评价的组成部分，同时也是规划实施的重要内容。环境影响跟踪评价成果的好坏关系到规划环境影响评价的效果以及规划的科学实施。</w:t>
      </w:r>
    </w:p>
    <w:p w14:paraId="6971D8B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综合规划的实施将对冷龙沟的生态环境和社会环境产生一定影响，对流域生态、水资源与水环境等部分环境因子的影响具有潜在性、长期性和不可逆性，为此，有必要对规划实施后的环境状况进行监测和跟踪评价，以检验规划环评结论的准确性，分析规划的不确定性，分析与评估规划实施所采取的预防和减轻不良环境影响对策和措施的有效性，并对规划进一步实施可能造成的环境影响进行预测性评价，调查有关部门与公众对规划实施所产生的环境影响及不良环境影响减缓措施的意见，提出规划方案调整、修改直至终止规划实施的建议，进一步提出预防或减轻不良环境影响措施的改进意见。</w:t>
      </w:r>
    </w:p>
    <w:p w14:paraId="31486B33">
      <w:pPr>
        <w:pStyle w:val="3"/>
        <w:bidi w:val="0"/>
        <w:rPr>
          <w:rFonts w:hint="default"/>
          <w:highlight w:val="none"/>
          <w:lang w:val="en-US" w:eastAsia="zh-CN"/>
        </w:rPr>
      </w:pPr>
      <w:bookmarkStart w:id="81" w:name="_Toc18888"/>
      <w:r>
        <w:rPr>
          <w:rFonts w:hint="default"/>
          <w:highlight w:val="none"/>
          <w:lang w:val="en-US" w:eastAsia="zh-CN"/>
        </w:rPr>
        <w:t>环境监测计划</w:t>
      </w:r>
      <w:bookmarkEnd w:id="81"/>
    </w:p>
    <w:p w14:paraId="627EF071">
      <w:pPr>
        <w:pStyle w:val="4"/>
        <w:bidi w:val="0"/>
        <w:rPr>
          <w:rFonts w:hint="default"/>
          <w:highlight w:val="none"/>
        </w:rPr>
      </w:pPr>
      <w:r>
        <w:rPr>
          <w:rFonts w:hint="default"/>
          <w:highlight w:val="none"/>
          <w:lang w:val="en-US" w:eastAsia="zh-CN"/>
        </w:rPr>
        <w:t>水文情势观测</w:t>
      </w:r>
    </w:p>
    <w:p w14:paraId="4ED09A87">
      <w:pPr>
        <w:rPr>
          <w:rFonts w:hint="default" w:ascii="Times New Roman" w:hAnsi="Times New Roman" w:cs="Times New Roman"/>
          <w:highlight w:val="none"/>
        </w:rPr>
      </w:pPr>
      <w:r>
        <w:rPr>
          <w:rFonts w:hint="default" w:ascii="Times New Roman" w:hAnsi="Times New Roman" w:cs="Times New Roman"/>
          <w:highlight w:val="none"/>
        </w:rPr>
        <w:t>以流域水文情报资料为基础，重点监测流域及减水河段水文情势，主要为流量、泥沙等，原则</w:t>
      </w:r>
      <w:r>
        <w:rPr>
          <w:rFonts w:hint="eastAsia" w:cs="Times New Roman"/>
          <w:highlight w:val="none"/>
          <w:lang w:val="en-US" w:eastAsia="zh-CN"/>
        </w:rPr>
        <w:t>上</w:t>
      </w:r>
      <w:r>
        <w:rPr>
          <w:rFonts w:hint="default" w:ascii="Times New Roman" w:hAnsi="Times New Roman" w:cs="Times New Roman"/>
          <w:highlight w:val="none"/>
        </w:rPr>
        <w:t>每年进行一次观测。</w:t>
      </w:r>
    </w:p>
    <w:p w14:paraId="0285C333">
      <w:pPr>
        <w:pStyle w:val="4"/>
        <w:bidi w:val="0"/>
        <w:rPr>
          <w:rFonts w:hint="default"/>
          <w:highlight w:val="none"/>
        </w:rPr>
      </w:pPr>
      <w:r>
        <w:rPr>
          <w:rFonts w:hint="default"/>
          <w:highlight w:val="none"/>
        </w:rPr>
        <w:t>水环境监测</w:t>
      </w:r>
    </w:p>
    <w:p w14:paraId="593043DB">
      <w:pPr>
        <w:pStyle w:val="5"/>
        <w:bidi w:val="0"/>
        <w:rPr>
          <w:rFonts w:hint="default"/>
          <w:highlight w:val="none"/>
        </w:rPr>
      </w:pPr>
      <w:r>
        <w:rPr>
          <w:rFonts w:hint="default"/>
          <w:highlight w:val="none"/>
          <w:lang w:val="en-US" w:eastAsia="zh-CN"/>
        </w:rPr>
        <w:t>河流</w:t>
      </w:r>
      <w:r>
        <w:rPr>
          <w:rFonts w:hint="default"/>
          <w:highlight w:val="none"/>
        </w:rPr>
        <w:t>水质监测</w:t>
      </w:r>
    </w:p>
    <w:p w14:paraId="73458D72">
      <w:pPr>
        <w:bidi w:val="0"/>
        <w:rPr>
          <w:rFonts w:hint="default"/>
          <w:highlight w:val="none"/>
          <w:lang w:val="en-US" w:eastAsia="zh-CN"/>
        </w:rPr>
      </w:pPr>
      <w:r>
        <w:rPr>
          <w:rFonts w:hint="default"/>
          <w:highlight w:val="none"/>
        </w:rPr>
        <w:t>（1）监测</w:t>
      </w:r>
      <w:r>
        <w:rPr>
          <w:rFonts w:hint="default"/>
          <w:highlight w:val="none"/>
          <w:lang w:val="en-US" w:eastAsia="zh-CN"/>
        </w:rPr>
        <w:t>点位</w:t>
      </w:r>
    </w:p>
    <w:p w14:paraId="388DB52D">
      <w:pPr>
        <w:bidi w:val="0"/>
        <w:rPr>
          <w:rFonts w:hint="default" w:ascii="Times New Roman" w:hAnsi="Times New Roman" w:cs="Times New Roman"/>
          <w:highlight w:val="none"/>
        </w:rPr>
      </w:pPr>
      <w:r>
        <w:rPr>
          <w:rFonts w:hint="default" w:ascii="Times New Roman" w:hAnsi="Times New Roman" w:cs="Times New Roman"/>
          <w:highlight w:val="none"/>
        </w:rPr>
        <w:t>为掌握工程运行对河流水质的影响，在工程建设区的上、下游</w:t>
      </w:r>
      <w:r>
        <w:rPr>
          <w:rFonts w:hint="default" w:ascii="Times New Roman" w:hAnsi="Times New Roman" w:cs="Times New Roman"/>
          <w:highlight w:val="none"/>
          <w:lang w:val="en-US" w:eastAsia="zh-CN"/>
        </w:rPr>
        <w:t>及冷龙沟汇入口断面</w:t>
      </w:r>
      <w:r>
        <w:rPr>
          <w:rFonts w:hint="default" w:ascii="Times New Roman" w:hAnsi="Times New Roman" w:cs="Times New Roman"/>
          <w:highlight w:val="none"/>
        </w:rPr>
        <w:t>，具体点位详见</w:t>
      </w:r>
      <w:r>
        <w:rPr>
          <w:rFonts w:hint="default" w:ascii="Times New Roman" w:hAnsi="Times New Roman" w:cs="Times New Roman"/>
          <w:highlight w:val="none"/>
          <w:lang w:val="en-US"/>
        </w:rPr>
        <w:fldChar w:fldCharType="begin"/>
      </w:r>
      <w:r>
        <w:rPr>
          <w:rFonts w:hint="default" w:ascii="Times New Roman" w:hAnsi="Times New Roman" w:cs="Times New Roman"/>
          <w:highlight w:val="none"/>
          <w:lang w:val="en-US"/>
        </w:rPr>
        <w:instrText xml:space="preserve"> REF _Ref32346 \h </w:instrText>
      </w:r>
      <w:r>
        <w:rPr>
          <w:rFonts w:hint="default" w:ascii="Times New Roman" w:hAnsi="Times New Roman" w:cs="Times New Roman"/>
          <w:highlight w:val="none"/>
          <w:lang w:val="en-US"/>
        </w:rPr>
        <w:fldChar w:fldCharType="separate"/>
      </w:r>
      <w:r>
        <w:rPr>
          <w:rFonts w:hint="default" w:ascii="Times New Roman" w:hAnsi="Times New Roman" w:cs="Times New Roman"/>
          <w:highlight w:val="none"/>
        </w:rPr>
        <w:t>表 53</w:t>
      </w:r>
      <w:r>
        <w:rPr>
          <w:rFonts w:hint="default" w:ascii="Times New Roman" w:hAnsi="Times New Roman" w:cs="Times New Roman"/>
          <w:highlight w:val="none"/>
          <w:lang w:val="en-US"/>
        </w:rPr>
        <w:fldChar w:fldCharType="end"/>
      </w:r>
      <w:r>
        <w:rPr>
          <w:rFonts w:hint="default" w:ascii="Times New Roman" w:hAnsi="Times New Roman" w:cs="Times New Roman"/>
          <w:highlight w:val="none"/>
        </w:rPr>
        <w:t>。</w:t>
      </w:r>
    </w:p>
    <w:p w14:paraId="19B9DF01">
      <w:pPr>
        <w:bidi w:val="0"/>
        <w:rPr>
          <w:rFonts w:hint="default"/>
          <w:highlight w:val="none"/>
        </w:rPr>
      </w:pPr>
      <w:r>
        <w:rPr>
          <w:rFonts w:hint="default"/>
          <w:highlight w:val="none"/>
        </w:rPr>
        <w:t>（2）监测技术要求</w:t>
      </w:r>
    </w:p>
    <w:p w14:paraId="6BEBC261">
      <w:pPr>
        <w:bidi w:val="0"/>
        <w:rPr>
          <w:rFonts w:hint="default" w:ascii="Times New Roman" w:hAnsi="Times New Roman" w:cs="Times New Roman" w:eastAsiaTheme="minorEastAsia"/>
          <w:szCs w:val="24"/>
          <w:highlight w:val="none"/>
          <w:lang w:eastAsia="zh-CN"/>
        </w:rPr>
      </w:pPr>
      <w:r>
        <w:rPr>
          <w:rFonts w:hint="default" w:ascii="Times New Roman" w:hAnsi="Times New Roman" w:cs="Times New Roman"/>
          <w:highlight w:val="none"/>
        </w:rPr>
        <w:t>运营期地表水监测项目重点结合工程涉及水域的水质本底状况进行选择。运 行期河流水质监测项目、监测周期、监测时段及频率见</w:t>
      </w:r>
      <w:r>
        <w:rPr>
          <w:rFonts w:hint="default" w:ascii="Times New Roman" w:hAnsi="Times New Roman" w:cs="Times New Roman"/>
          <w:highlight w:val="none"/>
          <w:lang w:val="en-US"/>
        </w:rPr>
        <w:fldChar w:fldCharType="begin"/>
      </w:r>
      <w:r>
        <w:rPr>
          <w:rFonts w:hint="default" w:ascii="Times New Roman" w:hAnsi="Times New Roman" w:cs="Times New Roman"/>
          <w:highlight w:val="none"/>
          <w:lang w:val="en-US"/>
        </w:rPr>
        <w:instrText xml:space="preserve"> REF _Ref32346 \h </w:instrText>
      </w:r>
      <w:r>
        <w:rPr>
          <w:rFonts w:hint="default" w:ascii="Times New Roman" w:hAnsi="Times New Roman" w:cs="Times New Roman"/>
          <w:highlight w:val="none"/>
          <w:lang w:val="en-US"/>
        </w:rPr>
        <w:fldChar w:fldCharType="separate"/>
      </w:r>
      <w:r>
        <w:rPr>
          <w:rFonts w:hint="default" w:ascii="Times New Roman" w:hAnsi="Times New Roman" w:cs="Times New Roman"/>
          <w:highlight w:val="none"/>
        </w:rPr>
        <w:t>表 53</w:t>
      </w:r>
      <w:r>
        <w:rPr>
          <w:rFonts w:hint="default" w:ascii="Times New Roman" w:hAnsi="Times New Roman" w:cs="Times New Roman"/>
          <w:highlight w:val="none"/>
          <w:lang w:val="en-US"/>
        </w:rPr>
        <w:fldChar w:fldCharType="end"/>
      </w:r>
      <w:r>
        <w:rPr>
          <w:rFonts w:hint="default" w:ascii="Times New Roman" w:hAnsi="Times New Roman" w:cs="Times New Roman"/>
          <w:highlight w:val="none"/>
        </w:rPr>
        <w:t>。河流水质监测技术要求一览表</w:t>
      </w:r>
      <w:r>
        <w:rPr>
          <w:rFonts w:hint="default" w:ascii="Times New Roman" w:hAnsi="Times New Roman" w:cs="Times New Roman"/>
          <w:highlight w:val="none"/>
          <w:lang w:eastAsia="zh-CN"/>
        </w:rPr>
        <w:t>。</w:t>
      </w:r>
    </w:p>
    <w:p w14:paraId="6FBAC69E">
      <w:pPr>
        <w:pStyle w:val="11"/>
        <w:spacing w:line="86" w:lineRule="auto"/>
        <w:jc w:val="center"/>
        <w:rPr>
          <w:rFonts w:hint="default" w:ascii="Times New Roman" w:hAnsi="Times New Roman" w:eastAsia="黑体" w:cs="Times New Roman"/>
          <w:sz w:val="2"/>
          <w:highlight w:val="none"/>
          <w:lang w:val="en-US" w:eastAsia="zh-CN"/>
        </w:rPr>
      </w:pPr>
      <w:bookmarkStart w:id="82" w:name="_Ref32346"/>
      <w:bookmarkStart w:id="83" w:name="_Ref32303"/>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66</w:t>
      </w:r>
      <w:r>
        <w:rPr>
          <w:rFonts w:hint="default" w:ascii="Times New Roman" w:hAnsi="Times New Roman" w:cs="Times New Roman"/>
          <w:highlight w:val="none"/>
        </w:rPr>
        <w:fldChar w:fldCharType="end"/>
      </w:r>
      <w:bookmarkEnd w:id="82"/>
      <w:r>
        <w:rPr>
          <w:rFonts w:hint="default" w:ascii="Times New Roman" w:hAnsi="Times New Roman" w:cs="Times New Roman"/>
          <w:highlight w:val="none"/>
          <w:lang w:val="en-US" w:eastAsia="zh-CN"/>
        </w:rPr>
        <w:t xml:space="preserve"> 河流水质监测技术要求一览表</w:t>
      </w:r>
      <w:bookmarkEnd w:id="83"/>
    </w:p>
    <w:tbl>
      <w:tblPr>
        <w:tblStyle w:val="24"/>
        <w:tblW w:w="8306" w:type="dxa"/>
        <w:tblInd w:w="1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FFFF00"/>
        <w:tblLayout w:type="fixed"/>
        <w:tblCellMar>
          <w:top w:w="0" w:type="dxa"/>
          <w:left w:w="0" w:type="dxa"/>
          <w:bottom w:w="0" w:type="dxa"/>
          <w:right w:w="0" w:type="dxa"/>
        </w:tblCellMar>
      </w:tblPr>
      <w:tblGrid>
        <w:gridCol w:w="845"/>
        <w:gridCol w:w="3759"/>
        <w:gridCol w:w="2278"/>
        <w:gridCol w:w="1424"/>
      </w:tblGrid>
      <w:tr w14:paraId="5C41D6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FFFF00"/>
          <w:tblCellMar>
            <w:top w:w="0" w:type="dxa"/>
            <w:left w:w="0" w:type="dxa"/>
            <w:bottom w:w="0" w:type="dxa"/>
            <w:right w:w="0" w:type="dxa"/>
          </w:tblCellMar>
        </w:tblPrEx>
        <w:trPr>
          <w:trHeight w:val="342" w:hRule="atLeast"/>
        </w:trPr>
        <w:tc>
          <w:tcPr>
            <w:tcW w:w="845" w:type="dxa"/>
            <w:tcBorders>
              <w:top w:val="single" w:color="auto" w:sz="4" w:space="0"/>
              <w:left w:val="single" w:color="auto" w:sz="4" w:space="0"/>
              <w:bottom w:val="single" w:color="auto" w:sz="4" w:space="0"/>
              <w:right w:val="single" w:color="auto" w:sz="4" w:space="0"/>
            </w:tcBorders>
            <w:shd w:val="clear" w:color="auto" w:fill="auto"/>
            <w:vAlign w:val="center"/>
          </w:tcPr>
          <w:p w14:paraId="2CDE4B54">
            <w:pPr>
              <w:pStyle w:val="22"/>
              <w:shd w:val="clear"/>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序号</w:t>
            </w:r>
          </w:p>
        </w:tc>
        <w:tc>
          <w:tcPr>
            <w:tcW w:w="3759" w:type="dxa"/>
            <w:tcBorders>
              <w:top w:val="single" w:color="auto" w:sz="4" w:space="0"/>
              <w:left w:val="single" w:color="auto" w:sz="4" w:space="0"/>
              <w:bottom w:val="single" w:color="auto" w:sz="4" w:space="0"/>
              <w:right w:val="single" w:color="auto" w:sz="4" w:space="0"/>
            </w:tcBorders>
            <w:shd w:val="clear" w:color="auto" w:fill="auto"/>
            <w:vAlign w:val="center"/>
          </w:tcPr>
          <w:p w14:paraId="70E4A412">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监测断面及编号</w:t>
            </w:r>
          </w:p>
        </w:tc>
        <w:tc>
          <w:tcPr>
            <w:tcW w:w="2278" w:type="dxa"/>
            <w:tcBorders>
              <w:top w:val="single" w:color="auto" w:sz="4" w:space="0"/>
              <w:left w:val="single" w:color="auto" w:sz="4" w:space="0"/>
              <w:bottom w:val="single" w:color="auto" w:sz="4" w:space="0"/>
              <w:right w:val="single" w:color="auto" w:sz="4" w:space="0"/>
            </w:tcBorders>
            <w:shd w:val="clear" w:color="auto" w:fill="auto"/>
            <w:vAlign w:val="center"/>
          </w:tcPr>
          <w:p w14:paraId="32C3B44C">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监测项目</w:t>
            </w:r>
          </w:p>
        </w:tc>
        <w:tc>
          <w:tcPr>
            <w:tcW w:w="1424" w:type="dxa"/>
            <w:tcBorders>
              <w:top w:val="single" w:color="auto" w:sz="4" w:space="0"/>
              <w:left w:val="single" w:color="auto" w:sz="4" w:space="0"/>
              <w:bottom w:val="single" w:color="auto" w:sz="4" w:space="0"/>
              <w:right w:val="single" w:color="auto" w:sz="4" w:space="0"/>
            </w:tcBorders>
            <w:shd w:val="clear" w:color="auto" w:fill="auto"/>
            <w:vAlign w:val="center"/>
          </w:tcPr>
          <w:p w14:paraId="13DF644D">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监测频率及时间</w:t>
            </w:r>
          </w:p>
        </w:tc>
      </w:tr>
      <w:tr w14:paraId="021788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FFFF00"/>
          <w:tblCellMar>
            <w:top w:w="0" w:type="dxa"/>
            <w:left w:w="0" w:type="dxa"/>
            <w:bottom w:w="0" w:type="dxa"/>
            <w:right w:w="0" w:type="dxa"/>
          </w:tblCellMar>
        </w:tblPrEx>
        <w:trPr>
          <w:trHeight w:val="329" w:hRule="atLeast"/>
        </w:trPr>
        <w:tc>
          <w:tcPr>
            <w:tcW w:w="845" w:type="dxa"/>
            <w:tcBorders>
              <w:top w:val="single" w:color="auto" w:sz="4" w:space="0"/>
              <w:left w:val="single" w:color="auto" w:sz="4" w:space="0"/>
              <w:bottom w:val="single" w:color="auto" w:sz="4" w:space="0"/>
              <w:right w:val="single" w:color="auto" w:sz="4" w:space="0"/>
            </w:tcBorders>
            <w:shd w:val="clear" w:color="auto" w:fill="auto"/>
            <w:vAlign w:val="center"/>
          </w:tcPr>
          <w:p w14:paraId="2C8EA164">
            <w:pPr>
              <w:pStyle w:val="22"/>
              <w:shd w:val="clear"/>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1</w:t>
            </w:r>
          </w:p>
        </w:tc>
        <w:tc>
          <w:tcPr>
            <w:tcW w:w="3759" w:type="dxa"/>
            <w:tcBorders>
              <w:top w:val="single" w:color="auto" w:sz="4" w:space="0"/>
              <w:left w:val="single" w:color="auto" w:sz="4" w:space="0"/>
              <w:bottom w:val="single" w:color="auto" w:sz="4" w:space="0"/>
              <w:right w:val="single" w:color="auto" w:sz="4" w:space="0"/>
            </w:tcBorders>
            <w:shd w:val="clear" w:color="auto" w:fill="auto"/>
            <w:vAlign w:val="center"/>
          </w:tcPr>
          <w:p w14:paraId="02827161">
            <w:pPr>
              <w:pStyle w:val="22"/>
              <w:shd w:val="clear"/>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尼色拥水库库尾</w:t>
            </w:r>
          </w:p>
        </w:tc>
        <w:tc>
          <w:tcPr>
            <w:tcW w:w="227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BB3F818">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SS 、pH 、DO 、BOD</w:t>
            </w:r>
            <w:r>
              <w:rPr>
                <w:rFonts w:hint="default" w:ascii="Times New Roman" w:hAnsi="Times New Roman" w:cs="Times New Roman"/>
                <w:highlight w:val="none"/>
                <w:vertAlign w:val="subscript"/>
              </w:rPr>
              <w:t>5</w:t>
            </w:r>
            <w:r>
              <w:rPr>
                <w:rFonts w:hint="default" w:ascii="Times New Roman" w:hAnsi="Times New Roman" w:cs="Times New Roman"/>
                <w:highlight w:val="none"/>
              </w:rPr>
              <w:t>、</w:t>
            </w:r>
          </w:p>
          <w:p w14:paraId="37188455">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COD</w:t>
            </w:r>
            <w:r>
              <w:rPr>
                <w:rFonts w:hint="default" w:ascii="Times New Roman" w:hAnsi="Times New Roman" w:cs="Times New Roman"/>
                <w:highlight w:val="none"/>
                <w:vertAlign w:val="subscript"/>
              </w:rPr>
              <w:t>Cr</w:t>
            </w:r>
            <w:r>
              <w:rPr>
                <w:rFonts w:hint="default" w:ascii="Times New Roman" w:hAnsi="Times New Roman" w:cs="Times New Roman"/>
                <w:highlight w:val="none"/>
              </w:rPr>
              <w:t>、高锰酸盐指数、</w:t>
            </w:r>
          </w:p>
          <w:p w14:paraId="03EF122F">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TN 、TP、石油类、粪大肠菌群、阴离子表面活性剂等 11项</w:t>
            </w:r>
          </w:p>
        </w:tc>
        <w:tc>
          <w:tcPr>
            <w:tcW w:w="142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49EFF42">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运营期每年丰、  平、枯水期各监 测1次，每次连续监测3日</w:t>
            </w:r>
          </w:p>
        </w:tc>
      </w:tr>
      <w:tr w14:paraId="79F52E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FFFF00"/>
          <w:tblCellMar>
            <w:top w:w="0" w:type="dxa"/>
            <w:left w:w="0" w:type="dxa"/>
            <w:bottom w:w="0" w:type="dxa"/>
            <w:right w:w="0" w:type="dxa"/>
          </w:tblCellMar>
        </w:tblPrEx>
        <w:trPr>
          <w:trHeight w:val="336" w:hRule="atLeast"/>
        </w:trPr>
        <w:tc>
          <w:tcPr>
            <w:tcW w:w="845" w:type="dxa"/>
            <w:tcBorders>
              <w:top w:val="single" w:color="auto" w:sz="4" w:space="0"/>
              <w:left w:val="single" w:color="auto" w:sz="4" w:space="0"/>
              <w:bottom w:val="single" w:color="auto" w:sz="4" w:space="0"/>
              <w:right w:val="single" w:color="auto" w:sz="4" w:space="0"/>
            </w:tcBorders>
            <w:shd w:val="clear" w:color="auto" w:fill="auto"/>
            <w:vAlign w:val="center"/>
          </w:tcPr>
          <w:p w14:paraId="6FC783BF">
            <w:pPr>
              <w:pStyle w:val="22"/>
              <w:shd w:val="clear"/>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2</w:t>
            </w:r>
          </w:p>
        </w:tc>
        <w:tc>
          <w:tcPr>
            <w:tcW w:w="3759" w:type="dxa"/>
            <w:tcBorders>
              <w:top w:val="single" w:color="auto" w:sz="4" w:space="0"/>
              <w:left w:val="single" w:color="auto" w:sz="4" w:space="0"/>
              <w:bottom w:val="single" w:color="auto" w:sz="4" w:space="0"/>
              <w:right w:val="single" w:color="auto" w:sz="4" w:space="0"/>
            </w:tcBorders>
            <w:shd w:val="clear" w:color="auto" w:fill="auto"/>
            <w:vAlign w:val="center"/>
          </w:tcPr>
          <w:p w14:paraId="257CD818">
            <w:pPr>
              <w:pStyle w:val="22"/>
              <w:shd w:val="clear"/>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尼色拥水库大坝</w:t>
            </w:r>
          </w:p>
        </w:tc>
        <w:tc>
          <w:tcPr>
            <w:tcW w:w="2278" w:type="dxa"/>
            <w:vMerge w:val="continue"/>
            <w:tcBorders>
              <w:top w:val="single" w:color="auto" w:sz="4" w:space="0"/>
              <w:left w:val="single" w:color="auto" w:sz="4" w:space="0"/>
              <w:bottom w:val="single" w:color="auto" w:sz="4" w:space="0"/>
              <w:right w:val="single" w:color="000000" w:sz="6" w:space="0"/>
            </w:tcBorders>
            <w:shd w:val="clear" w:color="auto" w:fill="auto"/>
            <w:vAlign w:val="center"/>
          </w:tcPr>
          <w:p w14:paraId="35A00082">
            <w:pPr>
              <w:pStyle w:val="22"/>
              <w:shd w:val="clear"/>
              <w:bidi w:val="0"/>
              <w:jc w:val="center"/>
              <w:rPr>
                <w:rFonts w:hint="default" w:ascii="Times New Roman" w:hAnsi="Times New Roman" w:cs="Times New Roman"/>
                <w:highlight w:val="none"/>
              </w:rPr>
            </w:pPr>
          </w:p>
        </w:tc>
        <w:tc>
          <w:tcPr>
            <w:tcW w:w="1424" w:type="dxa"/>
            <w:vMerge w:val="continue"/>
            <w:tcBorders>
              <w:top w:val="single" w:color="auto" w:sz="4" w:space="0"/>
              <w:left w:val="single" w:color="000000" w:sz="6" w:space="0"/>
              <w:bottom w:val="single" w:color="auto" w:sz="4" w:space="0"/>
              <w:right w:val="single" w:color="auto" w:sz="4" w:space="0"/>
            </w:tcBorders>
            <w:shd w:val="clear" w:color="auto" w:fill="auto"/>
            <w:vAlign w:val="center"/>
          </w:tcPr>
          <w:p w14:paraId="0BBA24A7">
            <w:pPr>
              <w:pStyle w:val="22"/>
              <w:shd w:val="clear"/>
              <w:bidi w:val="0"/>
              <w:jc w:val="center"/>
              <w:rPr>
                <w:rFonts w:hint="default" w:ascii="Times New Roman" w:hAnsi="Times New Roman" w:cs="Times New Roman"/>
                <w:highlight w:val="none"/>
              </w:rPr>
            </w:pPr>
          </w:p>
        </w:tc>
      </w:tr>
      <w:tr w14:paraId="6F84E2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FFFF00"/>
          <w:tblCellMar>
            <w:top w:w="0" w:type="dxa"/>
            <w:left w:w="0" w:type="dxa"/>
            <w:bottom w:w="0" w:type="dxa"/>
            <w:right w:w="0" w:type="dxa"/>
          </w:tblCellMar>
        </w:tblPrEx>
        <w:trPr>
          <w:trHeight w:val="339" w:hRule="atLeast"/>
        </w:trPr>
        <w:tc>
          <w:tcPr>
            <w:tcW w:w="845" w:type="dxa"/>
            <w:tcBorders>
              <w:top w:val="single" w:color="auto" w:sz="4" w:space="0"/>
              <w:left w:val="single" w:color="auto" w:sz="4" w:space="0"/>
              <w:bottom w:val="single" w:color="auto" w:sz="4" w:space="0"/>
              <w:right w:val="single" w:color="auto" w:sz="4" w:space="0"/>
            </w:tcBorders>
            <w:shd w:val="clear" w:color="auto" w:fill="auto"/>
            <w:vAlign w:val="center"/>
          </w:tcPr>
          <w:p w14:paraId="143CBDF4">
            <w:pPr>
              <w:pStyle w:val="22"/>
              <w:shd w:val="clear"/>
              <w:bidi w:val="0"/>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lang w:val="en-US" w:eastAsia="zh-CN"/>
              </w:rPr>
              <w:t>3</w:t>
            </w:r>
          </w:p>
        </w:tc>
        <w:tc>
          <w:tcPr>
            <w:tcW w:w="3759" w:type="dxa"/>
            <w:tcBorders>
              <w:top w:val="single" w:color="auto" w:sz="4" w:space="0"/>
              <w:left w:val="single" w:color="auto" w:sz="4" w:space="0"/>
              <w:bottom w:val="single" w:color="auto" w:sz="4" w:space="0"/>
              <w:right w:val="single" w:color="auto" w:sz="4" w:space="0"/>
            </w:tcBorders>
            <w:shd w:val="clear" w:color="auto" w:fill="auto"/>
            <w:vAlign w:val="center"/>
          </w:tcPr>
          <w:p w14:paraId="4DA41385">
            <w:pPr>
              <w:pStyle w:val="22"/>
              <w:shd w:val="clear"/>
              <w:bidi w:val="0"/>
              <w:jc w:val="center"/>
              <w:rPr>
                <w:rFonts w:hint="default" w:ascii="Times New Roman" w:hAnsi="Times New Roman" w:cs="Times New Roman"/>
                <w:highlight w:val="none"/>
              </w:rPr>
            </w:pPr>
            <w:r>
              <w:rPr>
                <w:rFonts w:hint="default" w:ascii="Times New Roman" w:hAnsi="Times New Roman" w:cs="Times New Roman"/>
                <w:highlight w:val="none"/>
              </w:rPr>
              <w:t>冷龙沟汇入口断面</w:t>
            </w:r>
          </w:p>
        </w:tc>
        <w:tc>
          <w:tcPr>
            <w:tcW w:w="2278" w:type="dxa"/>
            <w:vMerge w:val="continue"/>
            <w:tcBorders>
              <w:top w:val="single" w:color="auto" w:sz="4" w:space="0"/>
              <w:left w:val="single" w:color="auto" w:sz="4" w:space="0"/>
              <w:bottom w:val="single" w:color="auto" w:sz="4" w:space="0"/>
              <w:right w:val="single" w:color="000000" w:sz="6" w:space="0"/>
            </w:tcBorders>
            <w:shd w:val="clear" w:color="auto" w:fill="auto"/>
            <w:vAlign w:val="center"/>
          </w:tcPr>
          <w:p w14:paraId="3D08690E">
            <w:pPr>
              <w:pStyle w:val="22"/>
              <w:shd w:val="clear"/>
              <w:bidi w:val="0"/>
              <w:jc w:val="center"/>
              <w:rPr>
                <w:rFonts w:hint="default" w:ascii="Times New Roman" w:hAnsi="Times New Roman" w:cs="Times New Roman"/>
                <w:highlight w:val="none"/>
              </w:rPr>
            </w:pPr>
          </w:p>
        </w:tc>
        <w:tc>
          <w:tcPr>
            <w:tcW w:w="1424" w:type="dxa"/>
            <w:vMerge w:val="continue"/>
            <w:tcBorders>
              <w:top w:val="single" w:color="auto" w:sz="4" w:space="0"/>
              <w:left w:val="single" w:color="000000" w:sz="6" w:space="0"/>
              <w:bottom w:val="single" w:color="auto" w:sz="4" w:space="0"/>
              <w:right w:val="single" w:color="auto" w:sz="4" w:space="0"/>
            </w:tcBorders>
            <w:shd w:val="clear" w:color="auto" w:fill="auto"/>
            <w:vAlign w:val="center"/>
          </w:tcPr>
          <w:p w14:paraId="1587F43C">
            <w:pPr>
              <w:pStyle w:val="22"/>
              <w:shd w:val="clear"/>
              <w:bidi w:val="0"/>
              <w:jc w:val="center"/>
              <w:rPr>
                <w:rFonts w:hint="default" w:ascii="Times New Roman" w:hAnsi="Times New Roman" w:cs="Times New Roman"/>
                <w:highlight w:val="none"/>
              </w:rPr>
            </w:pPr>
          </w:p>
        </w:tc>
      </w:tr>
    </w:tbl>
    <w:p w14:paraId="4EF66D1D">
      <w:pPr>
        <w:bidi w:val="0"/>
        <w:rPr>
          <w:rFonts w:hint="default"/>
          <w:highlight w:val="none"/>
        </w:rPr>
      </w:pPr>
      <w:r>
        <w:rPr>
          <w:rFonts w:hint="default"/>
          <w:highlight w:val="none"/>
        </w:rPr>
        <w:t>（3）监测</w:t>
      </w:r>
      <w:r>
        <w:rPr>
          <w:rFonts w:hint="eastAsia"/>
          <w:highlight w:val="none"/>
          <w:lang w:eastAsia="zh-CN"/>
        </w:rPr>
        <w:t>、</w:t>
      </w:r>
      <w:r>
        <w:rPr>
          <w:rFonts w:hint="eastAsia"/>
          <w:highlight w:val="none"/>
          <w:lang w:val="en-US" w:eastAsia="zh-CN"/>
        </w:rPr>
        <w:t>采样</w:t>
      </w:r>
      <w:r>
        <w:rPr>
          <w:rFonts w:hint="default"/>
          <w:highlight w:val="none"/>
        </w:rPr>
        <w:t>方法</w:t>
      </w:r>
    </w:p>
    <w:p w14:paraId="7841B11B">
      <w:pPr>
        <w:bidi w:val="0"/>
        <w:rPr>
          <w:rFonts w:hint="default" w:ascii="Times New Roman" w:hAnsi="Times New Roman" w:cs="Times New Roman"/>
          <w:highlight w:val="none"/>
        </w:rPr>
      </w:pPr>
      <w:r>
        <w:rPr>
          <w:rFonts w:ascii="宋体" w:hAnsi="宋体" w:eastAsia="宋体" w:cs="宋体"/>
          <w:spacing w:val="-1"/>
          <w:sz w:val="24"/>
          <w:szCs w:val="24"/>
          <w:highlight w:val="none"/>
        </w:rPr>
        <w:t>按照《地表水环境质量标准》</w:t>
      </w:r>
      <w:r>
        <w:rPr>
          <w:rFonts w:hint="default" w:ascii="Times New Roman" w:hAnsi="Times New Roman" w:eastAsia="宋体" w:cs="Times New Roman"/>
          <w:spacing w:val="-1"/>
          <w:sz w:val="24"/>
          <w:szCs w:val="24"/>
          <w:highlight w:val="none"/>
        </w:rPr>
        <w:t>（</w:t>
      </w:r>
      <w:r>
        <w:rPr>
          <w:rFonts w:hint="default" w:ascii="Times New Roman" w:hAnsi="Times New Roman" w:eastAsia="Times New Roman" w:cs="Times New Roman"/>
          <w:spacing w:val="-1"/>
          <w:sz w:val="24"/>
          <w:szCs w:val="24"/>
          <w:highlight w:val="none"/>
        </w:rPr>
        <w:t>GB3838-2002</w:t>
      </w:r>
      <w:r>
        <w:rPr>
          <w:rFonts w:hint="default" w:ascii="Times New Roman" w:hAnsi="Times New Roman" w:eastAsia="宋体" w:cs="Times New Roman"/>
          <w:spacing w:val="-1"/>
          <w:sz w:val="24"/>
          <w:szCs w:val="24"/>
          <w:highlight w:val="none"/>
        </w:rPr>
        <w:t>）、《地表水环境质量监测技术规范》（HJ 91.2</w:t>
      </w:r>
      <w:r>
        <w:rPr>
          <w:rFonts w:hint="eastAsia" w:ascii="Times New Roman" w:hAnsi="Times New Roman" w:eastAsia="宋体" w:cs="Times New Roman"/>
          <w:spacing w:val="-1"/>
          <w:sz w:val="24"/>
          <w:szCs w:val="24"/>
          <w:highlight w:val="none"/>
          <w:lang w:val="en-US" w:eastAsia="zh-CN"/>
        </w:rPr>
        <w:t>-</w:t>
      </w:r>
      <w:r>
        <w:rPr>
          <w:rFonts w:hint="default" w:ascii="Times New Roman" w:hAnsi="Times New Roman" w:eastAsia="宋体" w:cs="Times New Roman"/>
          <w:spacing w:val="-1"/>
          <w:sz w:val="24"/>
          <w:szCs w:val="24"/>
          <w:highlight w:val="none"/>
        </w:rPr>
        <w:t>2022）、《地表水和污水监测技术规范》（HJ/T91-2002）和原国家环保总局《水和废水监测分析方法（第四版）》等规定和方法进行</w:t>
      </w:r>
      <w:r>
        <w:rPr>
          <w:rFonts w:hint="default" w:ascii="Times New Roman" w:hAnsi="Times New Roman" w:eastAsia="宋体" w:cs="Times New Roman"/>
          <w:spacing w:val="-2"/>
          <w:sz w:val="24"/>
          <w:szCs w:val="24"/>
          <w:highlight w:val="none"/>
        </w:rPr>
        <w:t>。</w:t>
      </w:r>
    </w:p>
    <w:p w14:paraId="20327324">
      <w:pPr>
        <w:pStyle w:val="5"/>
        <w:bidi w:val="0"/>
        <w:rPr>
          <w:rFonts w:hint="default"/>
          <w:highlight w:val="none"/>
        </w:rPr>
      </w:pPr>
      <w:r>
        <w:rPr>
          <w:rFonts w:hint="default"/>
          <w:highlight w:val="none"/>
        </w:rPr>
        <w:t>水体富营养化监测</w:t>
      </w:r>
    </w:p>
    <w:p w14:paraId="3845AC3D">
      <w:pPr>
        <w:bidi w:val="0"/>
        <w:rPr>
          <w:rFonts w:hint="default" w:ascii="Times New Roman" w:hAnsi="Times New Roman" w:cs="Times New Roman"/>
          <w:highlight w:val="none"/>
        </w:rPr>
      </w:pPr>
      <w:r>
        <w:rPr>
          <w:rFonts w:hint="default" w:ascii="Times New Roman" w:hAnsi="Times New Roman" w:cs="Times New Roman"/>
          <w:highlight w:val="none"/>
        </w:rPr>
        <w:t>监测内容：在</w:t>
      </w:r>
      <w:r>
        <w:rPr>
          <w:rFonts w:hint="default" w:ascii="Times New Roman" w:hAnsi="Times New Roman" w:cs="Times New Roman"/>
          <w:highlight w:val="none"/>
          <w:lang w:val="en-US" w:eastAsia="zh-CN"/>
        </w:rPr>
        <w:t>尼色拥</w:t>
      </w:r>
      <w:r>
        <w:rPr>
          <w:rFonts w:hint="default" w:ascii="Times New Roman" w:hAnsi="Times New Roman" w:cs="Times New Roman"/>
          <w:highlight w:val="none"/>
        </w:rPr>
        <w:t>上下库区处进行水体富营养化监测，富营养化监测指标：总氮、总磷、叶绿素a、透明度、高锰酸盐指数。</w:t>
      </w:r>
    </w:p>
    <w:p w14:paraId="3501A9BA">
      <w:pPr>
        <w:bidi w:val="0"/>
        <w:rPr>
          <w:rFonts w:hint="default" w:ascii="Times New Roman" w:hAnsi="Times New Roman" w:cs="Times New Roman"/>
          <w:highlight w:val="none"/>
        </w:rPr>
      </w:pPr>
      <w:r>
        <w:rPr>
          <w:rFonts w:hint="default" w:ascii="Times New Roman" w:hAnsi="Times New Roman" w:cs="Times New Roman"/>
          <w:highlight w:val="none"/>
        </w:rPr>
        <w:t>监测频次：一年监测一次，监测时间定在6~8月。</w:t>
      </w:r>
    </w:p>
    <w:p w14:paraId="0AA47833">
      <w:pPr>
        <w:pStyle w:val="5"/>
        <w:bidi w:val="0"/>
        <w:rPr>
          <w:rFonts w:hint="default"/>
          <w:highlight w:val="none"/>
        </w:rPr>
      </w:pPr>
      <w:r>
        <w:rPr>
          <w:rFonts w:hint="default"/>
          <w:highlight w:val="none"/>
          <w:lang w:val="en-US" w:eastAsia="zh-CN"/>
        </w:rPr>
        <w:t>饮用水水源地监测</w:t>
      </w:r>
    </w:p>
    <w:p w14:paraId="4233FED9">
      <w:pPr>
        <w:rPr>
          <w:rFonts w:hint="default" w:ascii="Times New Roman" w:hAnsi="Times New Roman" w:cs="Times New Roman"/>
          <w:highlight w:val="none"/>
          <w:lang w:val="en-US"/>
        </w:rPr>
      </w:pPr>
      <w:r>
        <w:rPr>
          <w:rFonts w:hint="default" w:ascii="Times New Roman" w:hAnsi="Times New Roman" w:cs="Times New Roman"/>
          <w:highlight w:val="none"/>
          <w:lang w:val="en-US" w:eastAsia="zh-CN"/>
        </w:rPr>
        <w:t>目前冷龙沟流域已划定乡城县集中式饮用水水源地保护区，施工期间水源地水质监测按照生态环境部门要求开展监测。</w:t>
      </w:r>
    </w:p>
    <w:p w14:paraId="6DE538A1">
      <w:pPr>
        <w:pStyle w:val="4"/>
        <w:bidi w:val="0"/>
        <w:rPr>
          <w:rFonts w:hint="default"/>
          <w:highlight w:val="none"/>
        </w:rPr>
      </w:pPr>
      <w:bookmarkStart w:id="84" w:name="bookmark148"/>
      <w:bookmarkEnd w:id="84"/>
      <w:r>
        <w:rPr>
          <w:rFonts w:hint="default"/>
          <w:highlight w:val="none"/>
        </w:rPr>
        <w:t>生态监测</w:t>
      </w:r>
    </w:p>
    <w:p w14:paraId="73290898">
      <w:pPr>
        <w:pStyle w:val="5"/>
        <w:bidi w:val="0"/>
        <w:rPr>
          <w:rFonts w:hint="default"/>
          <w:highlight w:val="none"/>
        </w:rPr>
      </w:pPr>
      <w:r>
        <w:rPr>
          <w:rFonts w:hint="default"/>
          <w:highlight w:val="none"/>
        </w:rPr>
        <w:t>陆生生态监测</w:t>
      </w:r>
    </w:p>
    <w:p w14:paraId="7E67AD7B">
      <w:pPr>
        <w:bidi w:val="0"/>
        <w:rPr>
          <w:rFonts w:hint="default"/>
          <w:highlight w:val="none"/>
        </w:rPr>
      </w:pPr>
      <w:r>
        <w:rPr>
          <w:rFonts w:hint="default"/>
          <w:highlight w:val="none"/>
        </w:rPr>
        <w:t>（1）监测范围</w:t>
      </w:r>
    </w:p>
    <w:p w14:paraId="0BB30D34">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两侧第一重山脊线以内的区域。</w:t>
      </w:r>
    </w:p>
    <w:p w14:paraId="3C015839">
      <w:pPr>
        <w:bidi w:val="0"/>
        <w:rPr>
          <w:rFonts w:hint="default"/>
          <w:highlight w:val="none"/>
        </w:rPr>
      </w:pPr>
      <w:r>
        <w:rPr>
          <w:rFonts w:hint="default"/>
          <w:highlight w:val="none"/>
        </w:rPr>
        <w:t>（2）监测点位布设</w:t>
      </w:r>
    </w:p>
    <w:p w14:paraId="73C61D23">
      <w:pPr>
        <w:bidi w:val="0"/>
        <w:rPr>
          <w:rFonts w:hint="default" w:ascii="Times New Roman" w:hAnsi="Times New Roman" w:cs="Times New Roman"/>
          <w:highlight w:val="none"/>
        </w:rPr>
      </w:pPr>
      <w:r>
        <w:rPr>
          <w:rFonts w:hint="default" w:ascii="Times New Roman" w:hAnsi="Times New Roman" w:cs="Times New Roman"/>
          <w:highlight w:val="none"/>
        </w:rPr>
        <w:t>拟在</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中游、下游等地布点监测，监测点位可根据规划的工程的实际范围有所调整。</w:t>
      </w:r>
    </w:p>
    <w:p w14:paraId="30977818">
      <w:pPr>
        <w:bidi w:val="0"/>
        <w:rPr>
          <w:rFonts w:hint="default"/>
          <w:highlight w:val="none"/>
        </w:rPr>
      </w:pPr>
      <w:r>
        <w:rPr>
          <w:rFonts w:hint="default"/>
          <w:highlight w:val="none"/>
        </w:rPr>
        <w:t>（3）监测内容</w:t>
      </w:r>
    </w:p>
    <w:p w14:paraId="043C5356">
      <w:pPr>
        <w:bidi w:val="0"/>
        <w:rPr>
          <w:rFonts w:hint="default" w:ascii="Times New Roman" w:hAnsi="Times New Roman" w:cs="Times New Roman"/>
          <w:highlight w:val="none"/>
        </w:rPr>
      </w:pPr>
      <w:r>
        <w:rPr>
          <w:rFonts w:hint="default" w:ascii="Times New Roman" w:hAnsi="Times New Roman" w:cs="Times New Roman"/>
          <w:highlight w:val="none"/>
        </w:rPr>
        <w:t>监测水土流失及水土保持情况；记录草本样方内的种类组成、盖度，灌木样方内的种类组成、冠幅，乔木样方内的种类组成、胸径、枝下高；动物及鸟类组成和数量；重点调查区内野生鸟类、兽类的分布情况及种群数量的变化情况。</w:t>
      </w:r>
    </w:p>
    <w:p w14:paraId="7CBAEA3C">
      <w:pPr>
        <w:bidi w:val="0"/>
        <w:rPr>
          <w:rFonts w:hint="default"/>
          <w:highlight w:val="none"/>
        </w:rPr>
      </w:pPr>
      <w:r>
        <w:rPr>
          <w:rFonts w:hint="default"/>
          <w:highlight w:val="none"/>
        </w:rPr>
        <w:t>（4）监测方法</w:t>
      </w:r>
    </w:p>
    <w:p w14:paraId="6B3B7C51">
      <w:pPr>
        <w:bidi w:val="0"/>
        <w:rPr>
          <w:rFonts w:hint="default" w:ascii="Times New Roman" w:hAnsi="Times New Roman" w:cs="Times New Roman"/>
          <w:highlight w:val="none"/>
        </w:rPr>
      </w:pPr>
      <w:r>
        <w:rPr>
          <w:rFonts w:hint="default" w:ascii="Times New Roman" w:hAnsi="Times New Roman" w:cs="Times New Roman"/>
          <w:highlight w:val="none"/>
        </w:rPr>
        <w:t>植物：在各点位根据陆生生物组成设置固定样线2~3条，根据各样线群落面积确定设置的样地数量，着重调查植物的垂直和水平分布、植物物种。此外，监测过程中应密切关注外来入侵种的种类、数量、入侵速度。</w:t>
      </w:r>
    </w:p>
    <w:p w14:paraId="6F72AC70">
      <w:pPr>
        <w:bidi w:val="0"/>
        <w:rPr>
          <w:rFonts w:hint="default" w:ascii="Times New Roman" w:hAnsi="Times New Roman" w:cs="Times New Roman"/>
          <w:highlight w:val="none"/>
        </w:rPr>
      </w:pPr>
      <w:r>
        <w:rPr>
          <w:rFonts w:hint="default" w:ascii="Times New Roman" w:hAnsi="Times New Roman" w:cs="Times New Roman"/>
          <w:highlight w:val="none"/>
        </w:rPr>
        <w:t>动物：两栖类和爬行类样方：采用抓捕法、访问法调查两栖类和爬行类动物种类、数量、分布特征等。</w:t>
      </w:r>
    </w:p>
    <w:p w14:paraId="44384DA2">
      <w:pPr>
        <w:bidi w:val="0"/>
        <w:rPr>
          <w:rFonts w:hint="default" w:ascii="Times New Roman" w:hAnsi="Times New Roman" w:cs="Times New Roman"/>
          <w:highlight w:val="none"/>
        </w:rPr>
      </w:pPr>
      <w:r>
        <w:rPr>
          <w:rFonts w:hint="default" w:ascii="Times New Roman" w:hAnsi="Times New Roman" w:cs="Times New Roman"/>
          <w:highlight w:val="none"/>
        </w:rPr>
        <w:t>小型兽类样方：采用日铗法、访问法调查小型兽类动物种类、数量、分布特征等。</w:t>
      </w:r>
    </w:p>
    <w:p w14:paraId="3C116002">
      <w:pPr>
        <w:bidi w:val="0"/>
        <w:rPr>
          <w:rFonts w:hint="default" w:ascii="Times New Roman" w:hAnsi="Times New Roman" w:cs="Times New Roman"/>
          <w:highlight w:val="none"/>
        </w:rPr>
      </w:pPr>
      <w:r>
        <w:rPr>
          <w:rFonts w:hint="default" w:ascii="Times New Roman" w:hAnsi="Times New Roman" w:cs="Times New Roman"/>
          <w:highlight w:val="none"/>
        </w:rPr>
        <w:t>鸟类样方：采用观测法、访问法调查鸟类种类、数量、分布特征等。</w:t>
      </w:r>
    </w:p>
    <w:p w14:paraId="520CCEEA">
      <w:pPr>
        <w:bidi w:val="0"/>
        <w:rPr>
          <w:rFonts w:hint="default"/>
          <w:highlight w:val="none"/>
        </w:rPr>
      </w:pPr>
      <w:r>
        <w:rPr>
          <w:rFonts w:hint="default"/>
          <w:highlight w:val="none"/>
        </w:rPr>
        <w:t>（5）监测时间及频次</w:t>
      </w:r>
    </w:p>
    <w:p w14:paraId="5AF67DD6">
      <w:pPr>
        <w:bidi w:val="0"/>
        <w:rPr>
          <w:rFonts w:hint="default" w:ascii="Times New Roman" w:hAnsi="Times New Roman" w:cs="Times New Roman"/>
          <w:b/>
          <w:bCs/>
          <w:spacing w:val="-6"/>
          <w:szCs w:val="24"/>
          <w:highlight w:val="none"/>
        </w:rPr>
      </w:pPr>
      <w:r>
        <w:rPr>
          <w:rFonts w:hint="default" w:ascii="Times New Roman" w:hAnsi="Times New Roman" w:cs="Times New Roman"/>
          <w:highlight w:val="none"/>
        </w:rPr>
        <w:t>规划实施阶段以每年监测1次，规划实施后每5年监测1次，每次监测时在一个年度内分别进行雨季和秋季2期监测，物候观测则考虑春、夏、秋季各1期；重点关注的珍稀保护物种每年观测1次。</w:t>
      </w:r>
    </w:p>
    <w:p w14:paraId="687B14CF">
      <w:pPr>
        <w:pStyle w:val="5"/>
        <w:bidi w:val="0"/>
        <w:rPr>
          <w:rFonts w:hint="default"/>
          <w:highlight w:val="none"/>
        </w:rPr>
      </w:pPr>
      <w:r>
        <w:rPr>
          <w:rFonts w:hint="default"/>
          <w:highlight w:val="none"/>
        </w:rPr>
        <w:t>水生生态监测</w:t>
      </w:r>
    </w:p>
    <w:p w14:paraId="51611FCC">
      <w:pPr>
        <w:bidi w:val="0"/>
        <w:rPr>
          <w:rFonts w:hint="default"/>
          <w:highlight w:val="none"/>
        </w:rPr>
      </w:pPr>
      <w:r>
        <w:rPr>
          <w:rFonts w:hint="default"/>
          <w:highlight w:val="none"/>
        </w:rPr>
        <w:t>（1）监测范围</w:t>
      </w:r>
    </w:p>
    <w:p w14:paraId="4E2018F3">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干流及支流。</w:t>
      </w:r>
    </w:p>
    <w:p w14:paraId="482A5078">
      <w:pPr>
        <w:bidi w:val="0"/>
        <w:rPr>
          <w:rFonts w:hint="default"/>
          <w:highlight w:val="none"/>
        </w:rPr>
      </w:pPr>
      <w:r>
        <w:rPr>
          <w:rFonts w:hint="default"/>
          <w:highlight w:val="none"/>
        </w:rPr>
        <w:t>（2）监测断面</w:t>
      </w:r>
    </w:p>
    <w:p w14:paraId="391D99E1">
      <w:pPr>
        <w:bidi w:val="0"/>
        <w:rPr>
          <w:rFonts w:hint="default" w:ascii="Times New Roman" w:hAnsi="Times New Roman" w:cs="Times New Roman"/>
          <w:highlight w:val="none"/>
        </w:rPr>
      </w:pPr>
      <w:r>
        <w:rPr>
          <w:rFonts w:hint="default" w:ascii="Times New Roman" w:hAnsi="Times New Roman" w:cs="Times New Roman"/>
          <w:highlight w:val="none"/>
        </w:rPr>
        <w:t>结合</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生境特点及规划实施的环境影响预测结果，在</w:t>
      </w:r>
      <w:r>
        <w:rPr>
          <w:rFonts w:hint="default" w:ascii="Times New Roman" w:hAnsi="Times New Roman" w:cs="Times New Roman"/>
          <w:highlight w:val="none"/>
          <w:lang w:val="en-US" w:eastAsia="zh-CN"/>
        </w:rPr>
        <w:t>尼色拥水库</w:t>
      </w:r>
      <w:r>
        <w:rPr>
          <w:rFonts w:hint="default" w:ascii="Times New Roman" w:hAnsi="Times New Roman" w:cs="Times New Roman"/>
          <w:highlight w:val="none"/>
        </w:rPr>
        <w:t>水库库尾布设</w:t>
      </w:r>
      <w:r>
        <w:rPr>
          <w:rFonts w:hint="default" w:ascii="Times New Roman" w:hAnsi="Times New Roman" w:cs="Times New Roman"/>
          <w:highlight w:val="none"/>
          <w:lang w:val="en-US" w:eastAsia="zh-CN"/>
        </w:rPr>
        <w:t>1</w:t>
      </w:r>
      <w:r>
        <w:rPr>
          <w:rFonts w:hint="default" w:ascii="Times New Roman" w:hAnsi="Times New Roman" w:cs="Times New Roman"/>
          <w:highlight w:val="none"/>
        </w:rPr>
        <w:t>个监测断面。</w:t>
      </w:r>
    </w:p>
    <w:p w14:paraId="38543545">
      <w:pPr>
        <w:bidi w:val="0"/>
        <w:rPr>
          <w:rFonts w:hint="default"/>
          <w:highlight w:val="none"/>
        </w:rPr>
      </w:pPr>
      <w:r>
        <w:rPr>
          <w:rFonts w:hint="default"/>
          <w:highlight w:val="none"/>
        </w:rPr>
        <w:t>（3）监测内容</w:t>
      </w:r>
    </w:p>
    <w:p w14:paraId="52825181">
      <w:pPr>
        <w:bidi w:val="0"/>
        <w:rPr>
          <w:rFonts w:hint="default" w:ascii="Times New Roman" w:hAnsi="Times New Roman" w:cs="Times New Roman"/>
          <w:highlight w:val="none"/>
        </w:rPr>
      </w:pPr>
      <w:r>
        <w:rPr>
          <w:rFonts w:hint="default" w:ascii="Times New Roman" w:hAnsi="Times New Roman" w:cs="Times New Roman"/>
          <w:highlight w:val="none"/>
        </w:rPr>
        <w:t>鱼类组成、分布及资源量变化、浮游植物、浮游动物、底栖动物和水生维管束植物种类组成和数量，鱼类的产卵场、越冬场、索饵场的分布特征与生境特点，河道连通性恢复效果，鱼类增殖放流效果，鱼类栖息地保护效果等。</w:t>
      </w:r>
    </w:p>
    <w:p w14:paraId="45EC0874">
      <w:pPr>
        <w:bidi w:val="0"/>
        <w:rPr>
          <w:rFonts w:hint="default"/>
          <w:highlight w:val="none"/>
        </w:rPr>
      </w:pPr>
      <w:r>
        <w:rPr>
          <w:rFonts w:hint="default"/>
          <w:highlight w:val="none"/>
        </w:rPr>
        <w:t>（4）监测时间及频次</w:t>
      </w:r>
    </w:p>
    <w:p w14:paraId="47AACFC8">
      <w:pPr>
        <w:bidi w:val="0"/>
        <w:rPr>
          <w:rFonts w:hint="default" w:ascii="Times New Roman" w:hAnsi="Times New Roman" w:cs="Times New Roman"/>
          <w:szCs w:val="24"/>
          <w:highlight w:val="none"/>
        </w:rPr>
      </w:pPr>
      <w:r>
        <w:rPr>
          <w:rFonts w:hint="default" w:ascii="Times New Roman" w:hAnsi="Times New Roman" w:cs="Times New Roman"/>
          <w:highlight w:val="none"/>
        </w:rPr>
        <w:t>规划实施阶段，每年监测1次；规划实施后，每2个水文年监测1次。调查时间为每年4~9月。同时应根据鱼类资源变化情况调整监测计划，建议每5年进行系统调整。</w:t>
      </w:r>
    </w:p>
    <w:p w14:paraId="1CA4C27B">
      <w:pPr>
        <w:pStyle w:val="3"/>
        <w:bidi w:val="0"/>
        <w:rPr>
          <w:rFonts w:hint="default"/>
          <w:highlight w:val="none"/>
          <w:lang w:val="en-US" w:eastAsia="zh-CN"/>
        </w:rPr>
      </w:pPr>
      <w:bookmarkStart w:id="85" w:name="bookmark153"/>
      <w:bookmarkEnd w:id="85"/>
      <w:bookmarkStart w:id="86" w:name="_Toc32163"/>
      <w:r>
        <w:rPr>
          <w:rFonts w:hint="default"/>
          <w:highlight w:val="none"/>
          <w:lang w:val="en-US" w:eastAsia="zh-CN"/>
        </w:rPr>
        <w:t>环境影响跟踪评价计划</w:t>
      </w:r>
      <w:bookmarkEnd w:id="86"/>
    </w:p>
    <w:p w14:paraId="74781F5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环境影响评价法》和《建设项目环境保护管理条例》，建议有关部门对规划的重要工程进行环境影响跟踪评价。有关部门应根据跟踪评价的结论，及时提出规划方案调整的意见与建议，供规划编制与审批单位参考。</w:t>
      </w:r>
    </w:p>
    <w:p w14:paraId="3BFB9DD5">
      <w:pPr>
        <w:pStyle w:val="4"/>
        <w:bidi w:val="0"/>
        <w:rPr>
          <w:rFonts w:hint="default"/>
          <w:highlight w:val="none"/>
          <w:lang w:val="en-US" w:eastAsia="zh-CN"/>
        </w:rPr>
      </w:pPr>
      <w:r>
        <w:rPr>
          <w:rFonts w:hint="default"/>
          <w:highlight w:val="none"/>
          <w:lang w:val="en-US" w:eastAsia="zh-CN"/>
        </w:rPr>
        <w:t>跟踪评价的目的</w:t>
      </w:r>
    </w:p>
    <w:p w14:paraId="7EC7622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以改善区域环境质量和保障区域生态安全为目标，规划编制机关结合流域生态环境质量变化情况、国家和地方最新的生态环境管理要求和公众对规划实施产生的生态环境影响的意见，对已经和正在产生的环境影响进行监测、调查和评价，分析规划实施的实际环境影响，评估规划采取的预防或者减轻不良生态环境影响的对策和措施的有效性，研判规划实施是否对生态环境产生了重大影响，对规划已实施部分造成的生态环境问题提出解决方案，对规划后续实施内容提出优化调整建议或减轻不良生态环境影响的对策和措施。</w:t>
      </w:r>
    </w:p>
    <w:p w14:paraId="60096F97">
      <w:pPr>
        <w:pStyle w:val="4"/>
        <w:bidi w:val="0"/>
        <w:rPr>
          <w:rFonts w:hint="default"/>
          <w:highlight w:val="none"/>
        </w:rPr>
      </w:pPr>
      <w:r>
        <w:rPr>
          <w:rFonts w:hint="default"/>
          <w:highlight w:val="none"/>
        </w:rPr>
        <w:t>跟踪评价内容</w:t>
      </w:r>
    </w:p>
    <w:p w14:paraId="6753183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rPr>
        <w:t>调查规划已实施的主要内容，包括空间范围、布局、结构与规模等，说明规划是否实施完毕；对比规划和规划环评确定的发展目标，说明规划实施过程中水资源的消耗量和利用量，分析规划已实施部分的水资源利用率及其变化情况；回顾规划实施至开展跟踪评价期间是否发生突发环境事件及其发生的原因、采取的应急措施及效果，调查规划的环境风险防范措施实施情况；调查规划实施以来生态环境影响减缓对策和措施的实施情况，包括对规划环评及审查意见提出的规划优化调整建议的采纳和执行情况等。</w:t>
      </w:r>
    </w:p>
    <w:p w14:paraId="49E94CC3">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rPr>
        <w:t>调查规划实施受影响区域的生态环境演变趋势和关键驱动因素，分析</w:t>
      </w: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综合规划实施产生的实际生态环境影响；对比“三线一单”要求，分析流域环境承载力存在的问题及其与规划实施的关联性。</w:t>
      </w:r>
    </w:p>
    <w:p w14:paraId="1504E34B">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征求相关部门及专家意见，全面了解流域主要环境问题和规划制约因素，收集规划实施以来公众对规划产生的环境影响的投诉意见，并分析原因。</w:t>
      </w:r>
    </w:p>
    <w:p w14:paraId="411A404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rPr>
        <w:t>对比评估规划实际产生的生态环境影响范围、程度和规划环评预测结论，若差异较大，需深入分析原因；分析本报告书提出的预防或者减轻不良生态环境影响的对策措施的有效性，根据评估结果，可提出进一步的措施建议。</w:t>
      </w:r>
    </w:p>
    <w:p w14:paraId="010D5C72">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根据规划已实施情况、生态环境影响对比评估、生态环境影响减缓对策 和措施有效性分析等内容，结合国家和地方最新生态环境管理要求，提出规划优化调整或修订的建议。</w:t>
      </w:r>
    </w:p>
    <w:p w14:paraId="60CFBF59">
      <w:pPr>
        <w:bidi w:val="0"/>
        <w:rPr>
          <w:rFonts w:hint="default"/>
          <w:highlight w:val="none"/>
        </w:rPr>
      </w:pPr>
      <w:r>
        <w:rPr>
          <w:rFonts w:hint="default"/>
          <w:highlight w:val="none"/>
          <w:lang w:eastAsia="zh-CN"/>
        </w:rPr>
        <w:t>（</w:t>
      </w:r>
      <w:r>
        <w:rPr>
          <w:rFonts w:hint="default"/>
          <w:highlight w:val="none"/>
          <w:lang w:val="en-US" w:eastAsia="zh-CN"/>
        </w:rPr>
        <w:t>6）</w:t>
      </w:r>
      <w:r>
        <w:rPr>
          <w:rFonts w:hint="default"/>
          <w:highlight w:val="none"/>
        </w:rPr>
        <w:t>归纳和总结跟踪评价工作成果，形成结论。</w:t>
      </w:r>
    </w:p>
    <w:p w14:paraId="3756D873">
      <w:pPr>
        <w:pStyle w:val="4"/>
        <w:bidi w:val="0"/>
        <w:rPr>
          <w:rFonts w:hint="default"/>
          <w:highlight w:val="none"/>
        </w:rPr>
      </w:pPr>
      <w:bookmarkStart w:id="87" w:name="bookmark151"/>
      <w:bookmarkEnd w:id="87"/>
      <w:r>
        <w:rPr>
          <w:rFonts w:hint="default"/>
          <w:highlight w:val="none"/>
        </w:rPr>
        <w:t>跟踪评价程序</w:t>
      </w:r>
    </w:p>
    <w:p w14:paraId="50AB7E6A">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rPr>
        <w:t>通过调查规划实施情况、受影响区域的生态环境演变趋势，分析规划实 施产生的实际生态环境影响，并与环境影响评价文件预测的影响状况进行比较和评估。</w:t>
      </w:r>
    </w:p>
    <w:p w14:paraId="37DBF3DD">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rPr>
        <w:t>对规划已实施部分，如规划实施中采取的预防或者减轻不良生态环境影响的对策和措施有效，且符合国家和地方最新的生态环境管理要求，可提出继续实施原规划方案的建议。如对策和措施不能满足国家和地方最新的生态环境管理要求，结合公众意见，对规划已实施部分造成的不良生态环境影响提出整改措施。</w:t>
      </w:r>
    </w:p>
    <w:p w14:paraId="382B6A97">
      <w:pPr>
        <w:bidi w:val="0"/>
        <w:rPr>
          <w:rFonts w:hint="default" w:ascii="Times New Roman" w:hAnsi="Times New Roman" w:cs="Times New Roman"/>
          <w:szCs w:val="24"/>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对规划未实施部分，基于国家和地方最新的生态环境管理要求或必要的影响预测分析，提出规划后续实施的生态环境影响减缓对策和措施。如规划未实施部分与原规划相比在资源能源消耗、主要污染物排放、生态环境影响等方面发生了较大的变化，或规划后续实施不能满足国家和地方最新的生态环境管理要求，应提出规划优化调整或修订的建议。</w:t>
      </w:r>
    </w:p>
    <w:p w14:paraId="2787BF59">
      <w:pPr>
        <w:bidi w:val="0"/>
        <w:rPr>
          <w:rFonts w:hint="default"/>
          <w:highlight w:val="none"/>
        </w:rPr>
      </w:pPr>
      <w:r>
        <w:rPr>
          <w:rFonts w:hint="default"/>
          <w:highlight w:val="none"/>
          <w:lang w:eastAsia="zh-CN"/>
        </w:rPr>
        <w:t>（</w:t>
      </w:r>
      <w:r>
        <w:rPr>
          <w:rFonts w:hint="default"/>
          <w:highlight w:val="none"/>
          <w:lang w:val="en-US" w:eastAsia="zh-CN"/>
        </w:rPr>
        <w:t>4）</w:t>
      </w:r>
      <w:r>
        <w:rPr>
          <w:rFonts w:hint="default"/>
          <w:highlight w:val="none"/>
        </w:rPr>
        <w:t>跟踪评价工作成果应与规划编制机关进行充分衔接和互动。</w:t>
      </w:r>
    </w:p>
    <w:p w14:paraId="78E9F40F">
      <w:pPr>
        <w:pStyle w:val="4"/>
        <w:bidi w:val="0"/>
        <w:rPr>
          <w:rFonts w:hint="default"/>
          <w:highlight w:val="none"/>
        </w:rPr>
      </w:pPr>
      <w:bookmarkStart w:id="88" w:name="bookmark152"/>
      <w:bookmarkEnd w:id="88"/>
      <w:r>
        <w:rPr>
          <w:rFonts w:hint="default"/>
          <w:highlight w:val="none"/>
        </w:rPr>
        <w:t>跟踪评价方案</w:t>
      </w:r>
    </w:p>
    <w:p w14:paraId="7D7390E7">
      <w:pPr>
        <w:bidi w:val="0"/>
        <w:rPr>
          <w:rFonts w:hint="default"/>
          <w:highlight w:val="none"/>
        </w:rPr>
      </w:pPr>
      <w:r>
        <w:rPr>
          <w:rFonts w:hint="default"/>
          <w:highlight w:val="none"/>
          <w:lang w:eastAsia="zh-CN"/>
        </w:rPr>
        <w:t>（</w:t>
      </w:r>
      <w:r>
        <w:rPr>
          <w:rFonts w:hint="default"/>
          <w:highlight w:val="none"/>
          <w:lang w:val="en-US" w:eastAsia="zh-CN"/>
        </w:rPr>
        <w:t>1）</w:t>
      </w:r>
      <w:r>
        <w:rPr>
          <w:rFonts w:hint="default"/>
          <w:highlight w:val="none"/>
        </w:rPr>
        <w:t>跟踪评价时段</w:t>
      </w:r>
    </w:p>
    <w:p w14:paraId="53D22619">
      <w:pPr>
        <w:bidi w:val="0"/>
        <w:rPr>
          <w:rFonts w:hint="default" w:ascii="Times New Roman" w:hAnsi="Times New Roman" w:cs="Times New Roman"/>
          <w:highlight w:val="none"/>
        </w:rPr>
      </w:pPr>
      <w:r>
        <w:rPr>
          <w:rFonts w:hint="default" w:ascii="Times New Roman" w:hAnsi="Times New Roman" w:cs="Times New Roman"/>
          <w:highlight w:val="none"/>
        </w:rPr>
        <w:t>根据规划实施情况及重点工程建设进度，适时开展</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综合规划跟踪评价。</w:t>
      </w:r>
    </w:p>
    <w:p w14:paraId="4406CE3C">
      <w:pPr>
        <w:bidi w:val="0"/>
        <w:rPr>
          <w:rFonts w:hint="default"/>
          <w:highlight w:val="none"/>
        </w:rPr>
      </w:pPr>
      <w:r>
        <w:rPr>
          <w:rFonts w:hint="default"/>
          <w:highlight w:val="none"/>
          <w:lang w:eastAsia="zh-CN"/>
        </w:rPr>
        <w:t>（</w:t>
      </w:r>
      <w:r>
        <w:rPr>
          <w:rFonts w:hint="default"/>
          <w:highlight w:val="none"/>
          <w:lang w:val="en-US" w:eastAsia="zh-CN"/>
        </w:rPr>
        <w:t>2）</w:t>
      </w:r>
      <w:r>
        <w:rPr>
          <w:rFonts w:hint="default"/>
          <w:highlight w:val="none"/>
        </w:rPr>
        <w:t>跟踪评价重点</w:t>
      </w:r>
    </w:p>
    <w:p w14:paraId="6F8A71BF">
      <w:pPr>
        <w:bidi w:val="0"/>
        <w:rPr>
          <w:rFonts w:hint="default" w:ascii="Times New Roman" w:hAnsi="Times New Roman" w:cs="Times New Roman"/>
          <w:highlight w:val="none"/>
        </w:rPr>
      </w:pPr>
      <w:r>
        <w:rPr>
          <w:rFonts w:hint="default" w:ascii="Times New Roman" w:hAnsi="Times New Roman" w:cs="Times New Roman"/>
          <w:highlight w:val="none"/>
        </w:rPr>
        <w:t>重点对</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综合规划实施对水环境和生态环境影响实施跟踪评价。</w:t>
      </w:r>
    </w:p>
    <w:p w14:paraId="71843F7D">
      <w:pPr>
        <w:bidi w:val="0"/>
        <w:rPr>
          <w:rFonts w:hint="default"/>
          <w:highlight w:val="none"/>
        </w:rPr>
      </w:pPr>
      <w:r>
        <w:rPr>
          <w:rFonts w:hint="default"/>
          <w:highlight w:val="none"/>
          <w:lang w:eastAsia="zh-CN"/>
        </w:rPr>
        <w:t>（</w:t>
      </w:r>
      <w:r>
        <w:rPr>
          <w:rFonts w:hint="default"/>
          <w:highlight w:val="none"/>
          <w:lang w:val="en-US" w:eastAsia="zh-CN"/>
        </w:rPr>
        <w:t>3）</w:t>
      </w:r>
      <w:r>
        <w:rPr>
          <w:rFonts w:hint="default"/>
          <w:highlight w:val="none"/>
        </w:rPr>
        <w:t>跟踪评价执行单位及实施安排</w:t>
      </w:r>
    </w:p>
    <w:p w14:paraId="44B533C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规划环境影响跟踪评价的监督单位为地方及国家环境保护行政主管部门，执行单位为规划编制机关。具体实施安排为，县级以上地方人民政府环境保护主管部门发现规划实施过程中产生重大不良环境影响或者收到规划编制机关不良环境影响跟踪评价结果报告的，应当逐级上报至组织审查规划环境影响评价文件的环境保护主管部门；组织审查规划环境影响评价文件的环境保护主管部门接到报告后，应当及时进行核查；必要时，应当向规划审批机关提出改进规划实施或者修订规划的建议。</w:t>
      </w:r>
    </w:p>
    <w:p w14:paraId="424D3A20">
      <w:pPr>
        <w:pStyle w:val="3"/>
        <w:bidi w:val="0"/>
        <w:rPr>
          <w:rFonts w:hint="default"/>
          <w:highlight w:val="none"/>
          <w:lang w:val="en-US" w:eastAsia="zh-CN"/>
        </w:rPr>
      </w:pPr>
      <w:bookmarkStart w:id="89" w:name="_Toc23921"/>
      <w:r>
        <w:rPr>
          <w:rFonts w:hint="default"/>
          <w:highlight w:val="none"/>
          <w:lang w:val="en-US" w:eastAsia="zh-CN"/>
        </w:rPr>
        <w:t>建设项目环境影响评价的重点内容和基本要求</w:t>
      </w:r>
      <w:bookmarkEnd w:id="89"/>
    </w:p>
    <w:p w14:paraId="6A8908D0">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综合规划的重点工程即</w:t>
      </w:r>
      <w:r>
        <w:rPr>
          <w:rFonts w:hint="default" w:ascii="Times New Roman" w:hAnsi="Times New Roman" w:cs="Times New Roman"/>
          <w:highlight w:val="none"/>
          <w:lang w:val="en-US" w:eastAsia="zh-CN"/>
        </w:rPr>
        <w:t>尼色拥水库</w:t>
      </w:r>
      <w:r>
        <w:rPr>
          <w:rFonts w:hint="default" w:ascii="Times New Roman" w:hAnsi="Times New Roman" w:cs="Times New Roman"/>
          <w:highlight w:val="none"/>
        </w:rPr>
        <w:t>。为了更好的保护</w:t>
      </w:r>
      <w:r>
        <w:rPr>
          <w:rFonts w:hint="default" w:ascii="Times New Roman" w:hAnsi="Times New Roman" w:cs="Times New Roman"/>
          <w:highlight w:val="none"/>
          <w:lang w:val="en-US" w:eastAsia="zh-CN"/>
        </w:rPr>
        <w:t>冷龙沟流域</w:t>
      </w:r>
      <w:r>
        <w:rPr>
          <w:rFonts w:hint="default" w:ascii="Times New Roman" w:hAnsi="Times New Roman" w:cs="Times New Roman"/>
          <w:highlight w:val="none"/>
        </w:rPr>
        <w:t>生态环境，实现其可持续发展，对</w:t>
      </w:r>
      <w:r>
        <w:rPr>
          <w:rFonts w:hint="default" w:ascii="Times New Roman" w:hAnsi="Times New Roman" w:cs="Times New Roman"/>
          <w:highlight w:val="none"/>
          <w:lang w:val="en-US" w:eastAsia="zh-CN"/>
        </w:rPr>
        <w:t>尼色拥</w:t>
      </w:r>
      <w:r>
        <w:rPr>
          <w:rFonts w:hint="default" w:ascii="Times New Roman" w:hAnsi="Times New Roman" w:cs="Times New Roman"/>
          <w:highlight w:val="none"/>
        </w:rPr>
        <w:t>工程下阶段项目环评提出以下要求：</w:t>
      </w:r>
    </w:p>
    <w:p w14:paraId="5A228E49">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rPr>
        <w:t>在项目环评阶段，结合</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运行调度方案，深化初期蓄水期及运行期水文情势影响分析，重点关注对坝下河段的影响</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水库建设会影响下游城区饮用水水源地，施工期应落实相关措施，保障施工期城区水源稳定供给</w:t>
      </w:r>
      <w:r>
        <w:rPr>
          <w:rFonts w:hint="default" w:ascii="Times New Roman" w:hAnsi="Times New Roman" w:cs="Times New Roman"/>
          <w:highlight w:val="none"/>
        </w:rPr>
        <w:t>；</w:t>
      </w:r>
      <w:r>
        <w:rPr>
          <w:rFonts w:hint="default" w:ascii="Times New Roman" w:hAnsi="Times New Roman" w:cs="Times New Roman"/>
          <w:highlight w:val="none"/>
          <w:lang w:val="en-US" w:eastAsia="zh-CN"/>
        </w:rPr>
        <w:t>尼色拥水库</w:t>
      </w:r>
      <w:r>
        <w:rPr>
          <w:rFonts w:hint="default" w:ascii="Times New Roman" w:hAnsi="Times New Roman" w:cs="Times New Roman"/>
          <w:highlight w:val="none"/>
        </w:rPr>
        <w:t>建设单位应根据规划环评要求提出有效稳妥的解决方案，并予以全面落实；</w:t>
      </w:r>
    </w:p>
    <w:p w14:paraId="0C11DB29">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rPr>
        <w:t>结合</w:t>
      </w:r>
      <w:r>
        <w:rPr>
          <w:rFonts w:hint="default" w:ascii="Times New Roman" w:hAnsi="Times New Roman" w:cs="Times New Roman"/>
          <w:highlight w:val="none"/>
          <w:lang w:val="en-US" w:eastAsia="zh-CN"/>
        </w:rPr>
        <w:t>冷龙沟</w:t>
      </w:r>
      <w:r>
        <w:rPr>
          <w:rFonts w:hint="default" w:ascii="Times New Roman" w:hAnsi="Times New Roman" w:cs="Times New Roman"/>
          <w:highlight w:val="none"/>
        </w:rPr>
        <w:t>水生生态现状和水文情势影响分析，充分论证项目对鱼类的影响，并提出有针对性的水生生态保护措施和观测研究方案，最大程度的降低工程建设及运行对流域水生生态的影响；</w:t>
      </w:r>
    </w:p>
    <w:p w14:paraId="67528714">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应进一步优化施工布置，减少施工占地，应加强工程占地对植物的影响分析，并提出针对性的保护和恢复措施；</w:t>
      </w:r>
    </w:p>
    <w:p w14:paraId="652D007F">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rPr>
        <w:t>在</w:t>
      </w:r>
      <w:r>
        <w:rPr>
          <w:rFonts w:hint="default" w:ascii="Times New Roman" w:hAnsi="Times New Roman" w:cs="Times New Roman"/>
          <w:highlight w:val="none"/>
          <w:lang w:val="en-US" w:eastAsia="zh-CN"/>
        </w:rPr>
        <w:t>尼色拥水库</w:t>
      </w:r>
      <w:r>
        <w:rPr>
          <w:rFonts w:hint="default" w:ascii="Times New Roman" w:hAnsi="Times New Roman" w:cs="Times New Roman"/>
          <w:highlight w:val="none"/>
        </w:rPr>
        <w:t>可行性研究阶段，</w:t>
      </w:r>
      <w:r>
        <w:rPr>
          <w:rFonts w:hint="default" w:ascii="Times New Roman" w:hAnsi="Times New Roman" w:cs="Times New Roman"/>
          <w:highlight w:val="none"/>
          <w:lang w:val="en-US" w:eastAsia="zh-CN"/>
        </w:rPr>
        <w:t>重点论证水库建设水水源地的影响，及</w:t>
      </w:r>
      <w:r>
        <w:rPr>
          <w:rFonts w:hint="default" w:ascii="Times New Roman" w:hAnsi="Times New Roman" w:cs="Times New Roman"/>
          <w:highlight w:val="none"/>
        </w:rPr>
        <w:t>优化</w:t>
      </w:r>
      <w:r>
        <w:rPr>
          <w:rFonts w:hint="default" w:ascii="Times New Roman" w:hAnsi="Times New Roman" w:cs="Times New Roman"/>
          <w:highlight w:val="none"/>
          <w:lang w:val="en-US" w:eastAsia="zh-CN"/>
        </w:rPr>
        <w:t>取水</w:t>
      </w:r>
      <w:r>
        <w:rPr>
          <w:rFonts w:hint="default" w:ascii="Times New Roman" w:hAnsi="Times New Roman" w:cs="Times New Roman"/>
          <w:highlight w:val="none"/>
        </w:rPr>
        <w:t>方案。</w:t>
      </w:r>
    </w:p>
    <w:p w14:paraId="5112BB16">
      <w:pPr>
        <w:bidi w:val="0"/>
        <w:rPr>
          <w:rFonts w:hint="default" w:ascii="Times New Roman" w:hAnsi="Times New Roman" w:cs="Times New Roman"/>
          <w:highlight w:val="none"/>
          <w:lang w:val="en-US" w:eastAsia="zh-CN"/>
        </w:rPr>
      </w:pPr>
    </w:p>
    <w:p w14:paraId="32AFC5B6">
      <w:pPr>
        <w:bidi w:val="0"/>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4ED18516">
      <w:pPr>
        <w:pStyle w:val="2"/>
        <w:bidi w:val="0"/>
        <w:rPr>
          <w:rFonts w:hint="default"/>
          <w:highlight w:val="none"/>
          <w:lang w:val="en-US" w:eastAsia="zh-CN"/>
        </w:rPr>
      </w:pPr>
      <w:bookmarkStart w:id="90" w:name="_Toc5397"/>
      <w:r>
        <w:rPr>
          <w:rFonts w:hint="default"/>
          <w:highlight w:val="none"/>
          <w:lang w:val="en-US" w:eastAsia="zh-CN"/>
        </w:rPr>
        <w:t>公众参与和会商意见</w:t>
      </w:r>
      <w:bookmarkEnd w:id="90"/>
    </w:p>
    <w:p w14:paraId="59318F4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中华人民共和国环境保护法》《规划环境影响评价条例》及《环境影响评价公众参与办法》（生态环境部令第4号）有关规划环境影响评价公众参与的相关规定，在冷龙沟流域综合规划环境影响评价过程中，环评单位采取多种形式调查了公众对规划方案和环境影响报告书简本的意见和建议。</w:t>
      </w:r>
    </w:p>
    <w:p w14:paraId="36A398E0">
      <w:pPr>
        <w:pStyle w:val="3"/>
        <w:bidi w:val="0"/>
        <w:rPr>
          <w:rFonts w:hint="default"/>
          <w:highlight w:val="none"/>
          <w:lang w:val="en-US" w:eastAsia="zh-CN"/>
        </w:rPr>
      </w:pPr>
      <w:bookmarkStart w:id="91" w:name="_Toc19824"/>
      <w:r>
        <w:rPr>
          <w:rFonts w:hint="default"/>
          <w:highlight w:val="none"/>
          <w:lang w:val="en-US" w:eastAsia="zh-CN"/>
        </w:rPr>
        <w:t>公众参与的目的与原则</w:t>
      </w:r>
      <w:bookmarkEnd w:id="91"/>
    </w:p>
    <w:p w14:paraId="057951C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环境影响评价公众参与的目的是维护公众合法的环境权益，在环境影响评价中体现以人为本的原则，更全面地了解环境背景信息，发现潜在环境问题，提高环境影响评价的科学性和针对性。通过公众参与，提出经济有效并切实可行的减缓不利社会环境影响的措施，平衡各方面利益，化解不良环境影响可能带来的社会矛盾，推动政府决策的民主化和科学化。</w:t>
      </w:r>
    </w:p>
    <w:p w14:paraId="6E5A8FE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通过建立公众参与双向交流的机制，让公众了解冷龙沟流域综合规划，辅助确认规划可能引起的重大环境问题及环保措施的可行性；充分考虑公众的看法和意见，发挥公众监督的作用，以使本次规划能被公众充分认可，提高规划的环境、经济和社会效益，实施可持续发展战略。</w:t>
      </w:r>
    </w:p>
    <w:p w14:paraId="2E94E353">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本次公众参与调查实行公开、平等、广泛和便利的原则进行。</w:t>
      </w:r>
    </w:p>
    <w:p w14:paraId="107D80A1">
      <w:pPr>
        <w:pStyle w:val="3"/>
        <w:bidi w:val="0"/>
        <w:rPr>
          <w:rFonts w:hint="default"/>
          <w:highlight w:val="none"/>
          <w:lang w:val="en-US" w:eastAsia="zh-CN"/>
        </w:rPr>
      </w:pPr>
      <w:bookmarkStart w:id="92" w:name="_Toc6464"/>
      <w:r>
        <w:rPr>
          <w:rFonts w:hint="default"/>
          <w:highlight w:val="none"/>
          <w:lang w:val="en-US" w:eastAsia="zh-CN"/>
        </w:rPr>
        <w:t>公众参与的内容与作用</w:t>
      </w:r>
      <w:bookmarkEnd w:id="92"/>
    </w:p>
    <w:p w14:paraId="4EA1FC7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公众参与调查是规划编制部门、环评方与公众之间的一种双向交流途径，在本次环评中实施公众参与的内容和主要作用有：</w:t>
      </w:r>
    </w:p>
    <w:p w14:paraId="5485E68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（1）使影响区的公众及时了解规划布局和环境影响评价的信息，并能通过正常渠道表达自己的意见，为规划方案的决策与顺利实施打下基础；</w:t>
      </w:r>
    </w:p>
    <w:p w14:paraId="2CC1ADD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（2）让公众参与辨析规划实施可能引起的潜在环境问题，了解公众关注的环境问题，以便采取相应措施，减小规划对环境的影响；</w:t>
      </w:r>
    </w:p>
    <w:p w14:paraId="28BD8C4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（3）了解公众的看法、意见和建议，集思广益，维护公众的切身利益，使公众监督项目建设相应环保措施的落实；</w:t>
      </w:r>
    </w:p>
    <w:p w14:paraId="760326E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（4）增强本次环评的合理性和社会可接受性，确保环保措施的针对性、可行性和合理性；</w:t>
      </w:r>
    </w:p>
    <w:p w14:paraId="3339CB3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（5）动员公众参与环境保护，提高公民的环保意识和环境保护的积极性。</w:t>
      </w:r>
    </w:p>
    <w:p w14:paraId="7571FD6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（6）平衡各方面利益，化解不良环境影响可能带来的社会矛盾，推动政府决策的民主化和科学化。</w:t>
      </w:r>
    </w:p>
    <w:p w14:paraId="26A61AA4">
      <w:pPr>
        <w:pStyle w:val="3"/>
        <w:bidi w:val="0"/>
        <w:rPr>
          <w:rFonts w:hint="default"/>
          <w:highlight w:val="none"/>
          <w:lang w:val="en-US" w:eastAsia="zh-CN"/>
        </w:rPr>
      </w:pPr>
      <w:bookmarkStart w:id="93" w:name="_Toc24347"/>
      <w:r>
        <w:rPr>
          <w:rFonts w:hint="default"/>
          <w:highlight w:val="none"/>
          <w:lang w:val="en-US" w:eastAsia="zh-CN"/>
        </w:rPr>
        <w:t>公众参与对象、方式与过程</w:t>
      </w:r>
      <w:bookmarkEnd w:id="93"/>
    </w:p>
    <w:p w14:paraId="55C6F722">
      <w:pPr>
        <w:pStyle w:val="4"/>
        <w:bidi w:val="0"/>
        <w:rPr>
          <w:rFonts w:hint="default"/>
          <w:highlight w:val="none"/>
          <w:lang w:val="en-US" w:eastAsia="zh-CN"/>
        </w:rPr>
      </w:pPr>
      <w:r>
        <w:rPr>
          <w:rFonts w:hint="default"/>
          <w:highlight w:val="none"/>
          <w:lang w:val="en-US" w:eastAsia="zh-CN"/>
        </w:rPr>
        <w:t>公众参与对象</w:t>
      </w:r>
    </w:p>
    <w:p w14:paraId="01C451C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冷龙沟流域综合规划环境影响评价的公众参与对象主要分为团体和个人。团体为规划涉及香巴拉镇热郎宫村、冷龙村、色尔宫村，个人为关注本规划的个人。</w:t>
      </w:r>
    </w:p>
    <w:p w14:paraId="14D15078">
      <w:pPr>
        <w:pStyle w:val="4"/>
        <w:bidi w:val="0"/>
        <w:rPr>
          <w:rFonts w:hint="default"/>
          <w:highlight w:val="none"/>
          <w:lang w:val="en-US" w:eastAsia="zh-CN"/>
        </w:rPr>
      </w:pPr>
      <w:r>
        <w:rPr>
          <w:rFonts w:hint="default"/>
          <w:highlight w:val="none"/>
          <w:lang w:val="en-US" w:eastAsia="zh-CN"/>
        </w:rPr>
        <w:t>参与形式</w:t>
      </w:r>
    </w:p>
    <w:p w14:paraId="5A99925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为广泛调查乡城县各行业主管部门及公众的意见和建议，冷龙沟流域综合规划环境影响评价共开展了2次信息公示，此外，报告初稿完成后通过问卷调查（主要为团体）及会商等公众参与形式，调查了相关部门对本次规划及规划环境影响评价的意见和建议。</w:t>
      </w:r>
    </w:p>
    <w:p w14:paraId="438905B2">
      <w:pPr>
        <w:pStyle w:val="4"/>
        <w:bidi w:val="0"/>
        <w:rPr>
          <w:rFonts w:hint="default"/>
          <w:highlight w:val="none"/>
          <w:lang w:val="en-US" w:eastAsia="zh-CN"/>
        </w:rPr>
      </w:pPr>
      <w:r>
        <w:rPr>
          <w:rFonts w:hint="default"/>
          <w:highlight w:val="none"/>
          <w:lang w:val="en-US" w:eastAsia="zh-CN"/>
        </w:rPr>
        <w:t>参与过程</w:t>
      </w:r>
    </w:p>
    <w:p w14:paraId="25918955">
      <w:pPr>
        <w:pStyle w:val="5"/>
        <w:bidi w:val="0"/>
        <w:rPr>
          <w:rFonts w:hint="default"/>
          <w:highlight w:val="none"/>
          <w:lang w:val="en-US" w:eastAsia="zh-CN"/>
        </w:rPr>
      </w:pPr>
      <w:r>
        <w:rPr>
          <w:rFonts w:hint="default"/>
          <w:highlight w:val="none"/>
          <w:lang w:val="en-US" w:eastAsia="zh-CN"/>
        </w:rPr>
        <w:t>第一次环境信息公开</w:t>
      </w:r>
    </w:p>
    <w:p w14:paraId="0EF44810">
      <w:pPr>
        <w:bidi w:val="0"/>
        <w:rPr>
          <w:rFonts w:hint="default"/>
          <w:highlight w:val="none"/>
          <w:lang w:val="en-US" w:eastAsia="zh-CN"/>
        </w:rPr>
      </w:pPr>
      <w:r>
        <w:rPr>
          <w:rFonts w:hint="default"/>
          <w:highlight w:val="none"/>
          <w:lang w:val="en-US" w:eastAsia="zh-CN"/>
        </w:rPr>
        <w:t>（1）公开内容及日期</w:t>
      </w:r>
    </w:p>
    <w:p w14:paraId="5882BCA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乡城县水利局于2024年07月12日在乡城县人民政府官网对本规划环评信息进行首次公示，公开内容包括：</w:t>
      </w:r>
    </w:p>
    <w:p w14:paraId="37C29271">
      <w:pPr>
        <w:numPr>
          <w:ilvl w:val="0"/>
          <w:numId w:val="65"/>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规划名称及概要</w:t>
      </w:r>
    </w:p>
    <w:p w14:paraId="21E7DD82">
      <w:pPr>
        <w:numPr>
          <w:ilvl w:val="0"/>
          <w:numId w:val="65"/>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规划编制组织单位名称及联系方式</w:t>
      </w:r>
    </w:p>
    <w:p w14:paraId="5DC85B50">
      <w:pPr>
        <w:numPr>
          <w:ilvl w:val="0"/>
          <w:numId w:val="65"/>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规划环评编制单位和联系方式</w:t>
      </w:r>
    </w:p>
    <w:p w14:paraId="7D9775DA">
      <w:pPr>
        <w:numPr>
          <w:ilvl w:val="0"/>
          <w:numId w:val="65"/>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征求公众意见的主要事项</w:t>
      </w:r>
    </w:p>
    <w:p w14:paraId="5348A5FE">
      <w:pPr>
        <w:numPr>
          <w:ilvl w:val="0"/>
          <w:numId w:val="65"/>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公众意见表的提交方式和途径</w:t>
      </w:r>
    </w:p>
    <w:p w14:paraId="6E6BA2B6">
      <w:pPr>
        <w:bidi w:val="0"/>
        <w:rPr>
          <w:rFonts w:hint="default"/>
          <w:highlight w:val="none"/>
          <w:lang w:val="en-US" w:eastAsia="zh-CN"/>
        </w:rPr>
      </w:pPr>
      <w:r>
        <w:rPr>
          <w:rFonts w:hint="default"/>
          <w:highlight w:val="none"/>
          <w:lang w:val="en-US" w:eastAsia="zh-CN"/>
        </w:rPr>
        <w:t>（2）公开方式</w:t>
      </w:r>
    </w:p>
    <w:p w14:paraId="64B1528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首次公示采用网络公示，公示时间为10个工作日，公示图片见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_Ref26342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rPr>
        <w:t>图 3</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14:paraId="19DAB5D6">
      <w:pPr>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5268595" cy="7131685"/>
            <wp:effectExtent l="0" t="0" r="8255" b="12065"/>
            <wp:docPr id="6" name="图片 6" descr="27303d6c10e0410d3da2e767975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7303d6c10e0410d3da2e7679755118"/>
                    <pic:cNvPicPr>
                      <a:picLocks noChangeAspect="1"/>
                    </pic:cNvPicPr>
                  </pic:nvPicPr>
                  <pic:blipFill>
                    <a:blip r:embed="rId41"/>
                    <a:stretch>
                      <a:fillRect/>
                    </a:stretch>
                  </pic:blipFill>
                  <pic:spPr>
                    <a:xfrm>
                      <a:off x="0" y="0"/>
                      <a:ext cx="5268595" cy="7131685"/>
                    </a:xfrm>
                    <a:prstGeom prst="rect">
                      <a:avLst/>
                    </a:prstGeom>
                  </pic:spPr>
                </pic:pic>
              </a:graphicData>
            </a:graphic>
          </wp:inline>
        </w:drawing>
      </w:r>
    </w:p>
    <w:p w14:paraId="011CB728">
      <w:pPr>
        <w:pStyle w:val="11"/>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图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图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18</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第一次信息网络公示截图</w:t>
      </w:r>
    </w:p>
    <w:p w14:paraId="0BCA7E9C">
      <w:pPr>
        <w:bidi w:val="0"/>
        <w:rPr>
          <w:rFonts w:hint="default"/>
          <w:highlight w:val="none"/>
          <w:lang w:val="en-US" w:eastAsia="zh-CN"/>
        </w:rPr>
      </w:pPr>
      <w:r>
        <w:rPr>
          <w:rFonts w:hint="default"/>
          <w:highlight w:val="none"/>
          <w:lang w:val="en-US" w:eastAsia="zh-CN"/>
        </w:rPr>
        <w:t>（3）公示结果</w:t>
      </w:r>
    </w:p>
    <w:p w14:paraId="77D22F9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截至2024年7月26日，该次公示未收到任何公众来信、邮件、传真及电话。</w:t>
      </w:r>
    </w:p>
    <w:p w14:paraId="14967CC2">
      <w:pPr>
        <w:pStyle w:val="5"/>
        <w:bidi w:val="0"/>
        <w:rPr>
          <w:rFonts w:hint="default"/>
          <w:highlight w:val="none"/>
          <w:lang w:val="en-US" w:eastAsia="zh-CN"/>
        </w:rPr>
      </w:pPr>
      <w:r>
        <w:rPr>
          <w:rFonts w:hint="default"/>
          <w:highlight w:val="none"/>
          <w:lang w:val="en-US" w:eastAsia="zh-CN"/>
        </w:rPr>
        <w:t>第二次环境信息公开</w:t>
      </w:r>
    </w:p>
    <w:p w14:paraId="4A443ADA">
      <w:pPr>
        <w:numPr>
          <w:ilvl w:val="0"/>
          <w:numId w:val="66"/>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网络公示</w:t>
      </w:r>
    </w:p>
    <w:p w14:paraId="0834E485">
      <w:pPr>
        <w:bidi w:val="0"/>
        <w:rPr>
          <w:rFonts w:hint="default" w:ascii="Times New Roman" w:hAnsi="Times New Roman" w:cs="Times New Roman"/>
          <w:highlight w:val="none"/>
          <w:lang w:val="en-US" w:eastAsia="zh-CN"/>
        </w:rPr>
      </w:pPr>
    </w:p>
    <w:p w14:paraId="0DFEFBCA">
      <w:pPr>
        <w:numPr>
          <w:ilvl w:val="0"/>
          <w:numId w:val="66"/>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登报公示</w:t>
      </w:r>
    </w:p>
    <w:p w14:paraId="4F194E81">
      <w:pPr>
        <w:numPr>
          <w:ilvl w:val="0"/>
          <w:numId w:val="0"/>
        </w:numPr>
        <w:bidi w:val="0"/>
        <w:ind w:leftChars="200"/>
        <w:rPr>
          <w:rFonts w:hint="default" w:ascii="Times New Roman" w:hAnsi="Times New Roman" w:cs="Times New Roman"/>
          <w:highlight w:val="none"/>
          <w:lang w:val="en-US" w:eastAsia="zh-CN"/>
        </w:rPr>
      </w:pPr>
    </w:p>
    <w:p w14:paraId="5012D7EA">
      <w:pPr>
        <w:numPr>
          <w:ilvl w:val="0"/>
          <w:numId w:val="66"/>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张贴公示</w:t>
      </w:r>
    </w:p>
    <w:p w14:paraId="7C4D7A2E">
      <w:pPr>
        <w:bidi w:val="0"/>
        <w:rPr>
          <w:rFonts w:hint="default" w:ascii="Times New Roman" w:hAnsi="Times New Roman" w:cs="Times New Roman"/>
          <w:highlight w:val="none"/>
          <w:lang w:val="en-US" w:eastAsia="zh-CN"/>
        </w:rPr>
      </w:pPr>
    </w:p>
    <w:p w14:paraId="3EA82E5B">
      <w:pPr>
        <w:numPr>
          <w:ilvl w:val="0"/>
          <w:numId w:val="66"/>
        </w:numPr>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公示结果</w:t>
      </w:r>
    </w:p>
    <w:p w14:paraId="32C8D8D4">
      <w:pPr>
        <w:numPr>
          <w:ilvl w:val="0"/>
          <w:numId w:val="0"/>
        </w:numPr>
        <w:bidi w:val="0"/>
        <w:ind w:leftChars="200"/>
        <w:rPr>
          <w:rFonts w:hint="default" w:ascii="Times New Roman" w:hAnsi="Times New Roman" w:cs="Times New Roman"/>
          <w:highlight w:val="none"/>
          <w:lang w:val="en-US" w:eastAsia="zh-CN"/>
        </w:rPr>
      </w:pPr>
    </w:p>
    <w:p w14:paraId="4CA86172">
      <w:pPr>
        <w:pStyle w:val="3"/>
        <w:bidi w:val="0"/>
        <w:rPr>
          <w:rFonts w:hint="default"/>
          <w:highlight w:val="none"/>
          <w:lang w:val="en-US" w:eastAsia="zh-CN"/>
        </w:rPr>
      </w:pPr>
      <w:bookmarkStart w:id="94" w:name="_Toc14805"/>
      <w:r>
        <w:rPr>
          <w:rFonts w:hint="default"/>
          <w:highlight w:val="none"/>
          <w:lang w:val="en-US" w:eastAsia="zh-CN"/>
        </w:rPr>
        <w:t>问卷调查</w:t>
      </w:r>
      <w:bookmarkEnd w:id="94"/>
    </w:p>
    <w:p w14:paraId="01560FAE">
      <w:pPr>
        <w:pStyle w:val="4"/>
        <w:bidi w:val="0"/>
        <w:rPr>
          <w:rFonts w:hint="default"/>
          <w:highlight w:val="none"/>
          <w:lang w:val="en-US" w:eastAsia="zh-CN"/>
        </w:rPr>
      </w:pPr>
      <w:r>
        <w:rPr>
          <w:rFonts w:hint="default"/>
          <w:highlight w:val="none"/>
          <w:lang w:val="en-US" w:eastAsia="zh-CN"/>
        </w:rPr>
        <w:t>单位意见调查</w:t>
      </w:r>
    </w:p>
    <w:p w14:paraId="3316209F">
      <w:pPr>
        <w:bidi w:val="0"/>
        <w:rPr>
          <w:rFonts w:hint="default"/>
          <w:highlight w:val="none"/>
          <w:lang w:val="en-US" w:eastAsia="zh-CN"/>
        </w:rPr>
      </w:pPr>
      <w:r>
        <w:rPr>
          <w:rFonts w:hint="default"/>
          <w:highlight w:val="none"/>
          <w:lang w:val="en-US" w:eastAsia="zh-CN"/>
        </w:rPr>
        <w:t>（1）调查情况</w:t>
      </w:r>
    </w:p>
    <w:p w14:paraId="61D1745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该项目第二次信息公示及征求意见稿公示后，乡城县水利局人员及环评技术人员即向流域沿线相关部门发放单位问卷调查表。本次调查，共发出单位征询意见表XX份，收回XX份，回收率XXX%。</w:t>
      </w:r>
    </w:p>
    <w:p w14:paraId="63A8210F">
      <w:pPr>
        <w:rPr>
          <w:rFonts w:hint="default" w:ascii="Times New Roman" w:hAnsi="Times New Roman" w:cs="Times New Roman"/>
          <w:highlight w:val="none"/>
          <w:lang w:val="en-US" w:eastAsia="zh-CN"/>
        </w:rPr>
      </w:pPr>
    </w:p>
    <w:p w14:paraId="7AD55750">
      <w:pPr>
        <w:pStyle w:val="11"/>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67</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调查单位团体及意见反馈情况表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1DFEA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5FC1A0A4">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区县</w:t>
            </w:r>
          </w:p>
        </w:tc>
        <w:tc>
          <w:tcPr>
            <w:tcW w:w="2841" w:type="dxa"/>
          </w:tcPr>
          <w:p w14:paraId="2D00519C">
            <w:pPr>
              <w:pStyle w:val="22"/>
              <w:bidi w:val="0"/>
              <w:rPr>
                <w:rFonts w:hint="default" w:ascii="Times New Roman" w:hAnsi="Times New Roman" w:cs="Times New Roman"/>
                <w:highlight w:val="none"/>
                <w:lang w:val="en-US" w:eastAsia="zh-CN"/>
              </w:rPr>
            </w:pPr>
          </w:p>
        </w:tc>
        <w:tc>
          <w:tcPr>
            <w:tcW w:w="2841" w:type="dxa"/>
          </w:tcPr>
          <w:p w14:paraId="2F9C9482">
            <w:pPr>
              <w:pStyle w:val="22"/>
              <w:bidi w:val="0"/>
              <w:rPr>
                <w:rFonts w:hint="default" w:ascii="Times New Roman" w:hAnsi="Times New Roman" w:cs="Times New Roman"/>
                <w:highlight w:val="none"/>
                <w:lang w:val="en-US" w:eastAsia="zh-CN"/>
              </w:rPr>
            </w:pPr>
          </w:p>
        </w:tc>
      </w:tr>
      <w:tr w14:paraId="26944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1E864E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乡城县</w:t>
            </w:r>
          </w:p>
        </w:tc>
        <w:tc>
          <w:tcPr>
            <w:tcW w:w="2841" w:type="dxa"/>
          </w:tcPr>
          <w:p w14:paraId="71E709D9">
            <w:pPr>
              <w:pStyle w:val="22"/>
              <w:bidi w:val="0"/>
              <w:rPr>
                <w:rFonts w:hint="default" w:ascii="Times New Roman" w:hAnsi="Times New Roman" w:cs="Times New Roman"/>
                <w:highlight w:val="none"/>
                <w:lang w:val="en-US" w:eastAsia="zh-CN"/>
              </w:rPr>
            </w:pPr>
          </w:p>
        </w:tc>
        <w:tc>
          <w:tcPr>
            <w:tcW w:w="2841" w:type="dxa"/>
          </w:tcPr>
          <w:p w14:paraId="528F3034">
            <w:pPr>
              <w:pStyle w:val="22"/>
              <w:bidi w:val="0"/>
              <w:rPr>
                <w:rFonts w:hint="default" w:ascii="Times New Roman" w:hAnsi="Times New Roman" w:cs="Times New Roman"/>
                <w:highlight w:val="none"/>
                <w:lang w:val="en-US" w:eastAsia="zh-CN"/>
              </w:rPr>
            </w:pPr>
          </w:p>
        </w:tc>
      </w:tr>
      <w:tr w14:paraId="7C0F3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53E634D">
            <w:pPr>
              <w:pStyle w:val="22"/>
              <w:bidi w:val="0"/>
              <w:rPr>
                <w:rFonts w:hint="default" w:ascii="Times New Roman" w:hAnsi="Times New Roman" w:cs="Times New Roman"/>
                <w:highlight w:val="none"/>
                <w:lang w:val="en-US" w:eastAsia="zh-CN"/>
              </w:rPr>
            </w:pPr>
          </w:p>
        </w:tc>
        <w:tc>
          <w:tcPr>
            <w:tcW w:w="2841" w:type="dxa"/>
          </w:tcPr>
          <w:p w14:paraId="37E272B9">
            <w:pPr>
              <w:pStyle w:val="22"/>
              <w:bidi w:val="0"/>
              <w:rPr>
                <w:rFonts w:hint="default" w:ascii="Times New Roman" w:hAnsi="Times New Roman" w:cs="Times New Roman"/>
                <w:highlight w:val="none"/>
                <w:lang w:val="en-US" w:eastAsia="zh-CN"/>
              </w:rPr>
            </w:pPr>
          </w:p>
        </w:tc>
        <w:tc>
          <w:tcPr>
            <w:tcW w:w="2841" w:type="dxa"/>
          </w:tcPr>
          <w:p w14:paraId="68E2301E">
            <w:pPr>
              <w:pStyle w:val="22"/>
              <w:bidi w:val="0"/>
              <w:rPr>
                <w:rFonts w:hint="default" w:ascii="Times New Roman" w:hAnsi="Times New Roman" w:cs="Times New Roman"/>
                <w:highlight w:val="none"/>
                <w:lang w:val="en-US" w:eastAsia="zh-CN"/>
              </w:rPr>
            </w:pPr>
          </w:p>
        </w:tc>
      </w:tr>
    </w:tbl>
    <w:p w14:paraId="0F6C8641">
      <w:pPr>
        <w:ind w:left="0" w:leftChars="0" w:firstLine="480" w:firstLineChars="200"/>
        <w:rPr>
          <w:rFonts w:hint="default" w:ascii="Times New Roman" w:hAnsi="Times New Roman" w:cs="Times New Roman"/>
          <w:highlight w:val="none"/>
          <w:lang w:val="en-US" w:eastAsia="zh-CN"/>
        </w:rPr>
      </w:pPr>
    </w:p>
    <w:p w14:paraId="1277897F">
      <w:pPr>
        <w:bidi w:val="0"/>
        <w:rPr>
          <w:rFonts w:hint="default"/>
          <w:highlight w:val="none"/>
          <w:lang w:val="en-US" w:eastAsia="zh-CN"/>
        </w:rPr>
      </w:pPr>
      <w:r>
        <w:rPr>
          <w:rFonts w:hint="default"/>
          <w:highlight w:val="none"/>
          <w:lang w:val="en-US" w:eastAsia="zh-CN"/>
        </w:rPr>
        <w:t>（2）意见分析</w:t>
      </w:r>
    </w:p>
    <w:p w14:paraId="2658AB43">
      <w:pPr>
        <w:ind w:left="0" w:leftChars="0" w:firstLine="480" w:firstLineChars="200"/>
        <w:rPr>
          <w:rFonts w:hint="default" w:ascii="Times New Roman" w:hAnsi="Times New Roman" w:cs="Times New Roman"/>
          <w:highlight w:val="none"/>
          <w:lang w:val="en-US" w:eastAsia="zh-CN"/>
        </w:rPr>
      </w:pPr>
    </w:p>
    <w:p w14:paraId="35EC2856">
      <w:pPr>
        <w:pStyle w:val="4"/>
        <w:bidi w:val="0"/>
        <w:rPr>
          <w:rFonts w:hint="default"/>
          <w:highlight w:val="none"/>
          <w:lang w:val="en-US" w:eastAsia="zh-CN"/>
        </w:rPr>
      </w:pPr>
      <w:r>
        <w:rPr>
          <w:rFonts w:hint="default"/>
          <w:highlight w:val="none"/>
          <w:lang w:val="en-US" w:eastAsia="zh-CN"/>
        </w:rPr>
        <w:t>公众问卷意见调查</w:t>
      </w:r>
    </w:p>
    <w:p w14:paraId="61C687CB">
      <w:pPr>
        <w:numPr>
          <w:ilvl w:val="0"/>
          <w:numId w:val="67"/>
        </w:numPr>
        <w:bidi w:val="0"/>
        <w:rPr>
          <w:rFonts w:hint="default"/>
          <w:highlight w:val="none"/>
          <w:lang w:val="en-US" w:eastAsia="zh-CN"/>
        </w:rPr>
      </w:pPr>
      <w:r>
        <w:rPr>
          <w:rFonts w:hint="default"/>
          <w:highlight w:val="none"/>
          <w:lang w:val="en-US" w:eastAsia="zh-CN"/>
        </w:rPr>
        <w:t>调查情况</w:t>
      </w:r>
    </w:p>
    <w:p w14:paraId="5B7F1A8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该项目环评第二次信息及简本公示后，本项目组向规划区内的相关政府部门代表及公众代表发放公参调查表，共发问卷表 XX 份，收回 XX 份，回收率XX%。本次公众个人征询情况见下表。</w:t>
      </w:r>
    </w:p>
    <w:p w14:paraId="44AAF7BD">
      <w:pPr>
        <w:pStyle w:val="11"/>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68</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公众调查对象详况</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1677"/>
        <w:gridCol w:w="2578"/>
        <w:gridCol w:w="1705"/>
        <w:gridCol w:w="1705"/>
      </w:tblGrid>
      <w:tr w14:paraId="5A63F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dxa"/>
          </w:tcPr>
          <w:p w14:paraId="5386E527">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1677" w:type="dxa"/>
          </w:tcPr>
          <w:p w14:paraId="403867D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调查内容</w:t>
            </w:r>
          </w:p>
        </w:tc>
        <w:tc>
          <w:tcPr>
            <w:tcW w:w="2578" w:type="dxa"/>
          </w:tcPr>
          <w:p w14:paraId="01812C93">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选择内容</w:t>
            </w:r>
          </w:p>
        </w:tc>
        <w:tc>
          <w:tcPr>
            <w:tcW w:w="1705" w:type="dxa"/>
          </w:tcPr>
          <w:p w14:paraId="4FBD333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人数（人）</w:t>
            </w:r>
          </w:p>
        </w:tc>
        <w:tc>
          <w:tcPr>
            <w:tcW w:w="1705" w:type="dxa"/>
          </w:tcPr>
          <w:p w14:paraId="2F24A699">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所占比例（%）</w:t>
            </w:r>
          </w:p>
        </w:tc>
      </w:tr>
      <w:tr w14:paraId="10270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dxa"/>
          </w:tcPr>
          <w:p w14:paraId="4A221BD3">
            <w:pPr>
              <w:pStyle w:val="22"/>
              <w:bidi w:val="0"/>
              <w:rPr>
                <w:rFonts w:hint="default" w:ascii="Times New Roman" w:hAnsi="Times New Roman" w:cs="Times New Roman"/>
                <w:highlight w:val="none"/>
                <w:lang w:val="en-US" w:eastAsia="zh-CN"/>
              </w:rPr>
            </w:pPr>
          </w:p>
        </w:tc>
        <w:tc>
          <w:tcPr>
            <w:tcW w:w="1677" w:type="dxa"/>
          </w:tcPr>
          <w:p w14:paraId="1B14F446">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性别</w:t>
            </w:r>
          </w:p>
        </w:tc>
        <w:tc>
          <w:tcPr>
            <w:tcW w:w="2578" w:type="dxa"/>
          </w:tcPr>
          <w:p w14:paraId="7BF7EC0F">
            <w:pPr>
              <w:pStyle w:val="22"/>
              <w:bidi w:val="0"/>
              <w:rPr>
                <w:rFonts w:hint="default" w:ascii="Times New Roman" w:hAnsi="Times New Roman" w:cs="Times New Roman"/>
                <w:highlight w:val="none"/>
                <w:lang w:val="en-US" w:eastAsia="zh-CN"/>
              </w:rPr>
            </w:pPr>
          </w:p>
        </w:tc>
        <w:tc>
          <w:tcPr>
            <w:tcW w:w="1705" w:type="dxa"/>
          </w:tcPr>
          <w:p w14:paraId="1F16F4BA">
            <w:pPr>
              <w:pStyle w:val="22"/>
              <w:bidi w:val="0"/>
              <w:rPr>
                <w:rFonts w:hint="default" w:ascii="Times New Roman" w:hAnsi="Times New Roman" w:cs="Times New Roman"/>
                <w:highlight w:val="none"/>
                <w:lang w:val="en-US" w:eastAsia="zh-CN"/>
              </w:rPr>
            </w:pPr>
          </w:p>
        </w:tc>
        <w:tc>
          <w:tcPr>
            <w:tcW w:w="1705" w:type="dxa"/>
          </w:tcPr>
          <w:p w14:paraId="7E2E8407">
            <w:pPr>
              <w:pStyle w:val="22"/>
              <w:bidi w:val="0"/>
              <w:rPr>
                <w:rFonts w:hint="default" w:ascii="Times New Roman" w:hAnsi="Times New Roman" w:cs="Times New Roman"/>
                <w:highlight w:val="none"/>
                <w:lang w:val="en-US" w:eastAsia="zh-CN"/>
              </w:rPr>
            </w:pPr>
          </w:p>
        </w:tc>
      </w:tr>
      <w:tr w14:paraId="16BBE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dxa"/>
          </w:tcPr>
          <w:p w14:paraId="720BD464">
            <w:pPr>
              <w:pStyle w:val="22"/>
              <w:bidi w:val="0"/>
              <w:rPr>
                <w:rFonts w:hint="default" w:ascii="Times New Roman" w:hAnsi="Times New Roman" w:cs="Times New Roman"/>
                <w:highlight w:val="none"/>
                <w:lang w:val="en-US" w:eastAsia="zh-CN"/>
              </w:rPr>
            </w:pPr>
          </w:p>
        </w:tc>
        <w:tc>
          <w:tcPr>
            <w:tcW w:w="1677" w:type="dxa"/>
          </w:tcPr>
          <w:p w14:paraId="519D15DA">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年龄</w:t>
            </w:r>
          </w:p>
        </w:tc>
        <w:tc>
          <w:tcPr>
            <w:tcW w:w="2578" w:type="dxa"/>
          </w:tcPr>
          <w:p w14:paraId="5D1B5A85">
            <w:pPr>
              <w:pStyle w:val="22"/>
              <w:bidi w:val="0"/>
              <w:rPr>
                <w:rFonts w:hint="default" w:ascii="Times New Roman" w:hAnsi="Times New Roman" w:cs="Times New Roman"/>
                <w:highlight w:val="none"/>
                <w:lang w:val="en-US" w:eastAsia="zh-CN"/>
              </w:rPr>
            </w:pPr>
          </w:p>
        </w:tc>
        <w:tc>
          <w:tcPr>
            <w:tcW w:w="1705" w:type="dxa"/>
          </w:tcPr>
          <w:p w14:paraId="5A1C561D">
            <w:pPr>
              <w:pStyle w:val="22"/>
              <w:bidi w:val="0"/>
              <w:rPr>
                <w:rFonts w:hint="default" w:ascii="Times New Roman" w:hAnsi="Times New Roman" w:cs="Times New Roman"/>
                <w:highlight w:val="none"/>
                <w:lang w:val="en-US" w:eastAsia="zh-CN"/>
              </w:rPr>
            </w:pPr>
          </w:p>
        </w:tc>
        <w:tc>
          <w:tcPr>
            <w:tcW w:w="1705" w:type="dxa"/>
          </w:tcPr>
          <w:p w14:paraId="3891DC65">
            <w:pPr>
              <w:pStyle w:val="22"/>
              <w:bidi w:val="0"/>
              <w:rPr>
                <w:rFonts w:hint="default" w:ascii="Times New Roman" w:hAnsi="Times New Roman" w:cs="Times New Roman"/>
                <w:highlight w:val="none"/>
                <w:lang w:val="en-US" w:eastAsia="zh-CN"/>
              </w:rPr>
            </w:pPr>
          </w:p>
        </w:tc>
      </w:tr>
      <w:tr w14:paraId="2F02D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dxa"/>
          </w:tcPr>
          <w:p w14:paraId="52DE73FA">
            <w:pPr>
              <w:pStyle w:val="22"/>
              <w:bidi w:val="0"/>
              <w:rPr>
                <w:rFonts w:hint="default" w:ascii="Times New Roman" w:hAnsi="Times New Roman" w:cs="Times New Roman"/>
                <w:highlight w:val="none"/>
                <w:lang w:val="en-US" w:eastAsia="zh-CN"/>
              </w:rPr>
            </w:pPr>
          </w:p>
        </w:tc>
        <w:tc>
          <w:tcPr>
            <w:tcW w:w="1677" w:type="dxa"/>
          </w:tcPr>
          <w:p w14:paraId="65ED417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文化程度</w:t>
            </w:r>
          </w:p>
        </w:tc>
        <w:tc>
          <w:tcPr>
            <w:tcW w:w="2578" w:type="dxa"/>
          </w:tcPr>
          <w:p w14:paraId="2DD7C860">
            <w:pPr>
              <w:pStyle w:val="22"/>
              <w:bidi w:val="0"/>
              <w:rPr>
                <w:rFonts w:hint="default" w:ascii="Times New Roman" w:hAnsi="Times New Roman" w:cs="Times New Roman"/>
                <w:highlight w:val="none"/>
                <w:lang w:val="en-US" w:eastAsia="zh-CN"/>
              </w:rPr>
            </w:pPr>
          </w:p>
        </w:tc>
        <w:tc>
          <w:tcPr>
            <w:tcW w:w="1705" w:type="dxa"/>
          </w:tcPr>
          <w:p w14:paraId="3C805A22">
            <w:pPr>
              <w:pStyle w:val="22"/>
              <w:bidi w:val="0"/>
              <w:rPr>
                <w:rFonts w:hint="default" w:ascii="Times New Roman" w:hAnsi="Times New Roman" w:cs="Times New Roman"/>
                <w:highlight w:val="none"/>
                <w:lang w:val="en-US" w:eastAsia="zh-CN"/>
              </w:rPr>
            </w:pPr>
          </w:p>
        </w:tc>
        <w:tc>
          <w:tcPr>
            <w:tcW w:w="1705" w:type="dxa"/>
          </w:tcPr>
          <w:p w14:paraId="2C202EE5">
            <w:pPr>
              <w:pStyle w:val="22"/>
              <w:bidi w:val="0"/>
              <w:rPr>
                <w:rFonts w:hint="default" w:ascii="Times New Roman" w:hAnsi="Times New Roman" w:cs="Times New Roman"/>
                <w:highlight w:val="none"/>
                <w:lang w:val="en-US" w:eastAsia="zh-CN"/>
              </w:rPr>
            </w:pPr>
          </w:p>
        </w:tc>
      </w:tr>
      <w:tr w14:paraId="4FBC1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dxa"/>
          </w:tcPr>
          <w:p w14:paraId="7F2A1E99">
            <w:pPr>
              <w:pStyle w:val="22"/>
              <w:bidi w:val="0"/>
              <w:rPr>
                <w:rFonts w:hint="default" w:ascii="Times New Roman" w:hAnsi="Times New Roman" w:cs="Times New Roman"/>
                <w:highlight w:val="none"/>
                <w:lang w:val="en-US" w:eastAsia="zh-CN"/>
              </w:rPr>
            </w:pPr>
          </w:p>
        </w:tc>
        <w:tc>
          <w:tcPr>
            <w:tcW w:w="1677" w:type="dxa"/>
          </w:tcPr>
          <w:p w14:paraId="07F010E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职业</w:t>
            </w:r>
          </w:p>
        </w:tc>
        <w:tc>
          <w:tcPr>
            <w:tcW w:w="2578" w:type="dxa"/>
          </w:tcPr>
          <w:p w14:paraId="234BA97A">
            <w:pPr>
              <w:pStyle w:val="22"/>
              <w:bidi w:val="0"/>
              <w:rPr>
                <w:rFonts w:hint="default" w:ascii="Times New Roman" w:hAnsi="Times New Roman" w:cs="Times New Roman"/>
                <w:highlight w:val="none"/>
                <w:lang w:val="en-US" w:eastAsia="zh-CN"/>
              </w:rPr>
            </w:pPr>
          </w:p>
        </w:tc>
        <w:tc>
          <w:tcPr>
            <w:tcW w:w="1705" w:type="dxa"/>
          </w:tcPr>
          <w:p w14:paraId="6E71B817">
            <w:pPr>
              <w:pStyle w:val="22"/>
              <w:bidi w:val="0"/>
              <w:rPr>
                <w:rFonts w:hint="default" w:ascii="Times New Roman" w:hAnsi="Times New Roman" w:cs="Times New Roman"/>
                <w:highlight w:val="none"/>
                <w:lang w:val="en-US" w:eastAsia="zh-CN"/>
              </w:rPr>
            </w:pPr>
          </w:p>
        </w:tc>
        <w:tc>
          <w:tcPr>
            <w:tcW w:w="1705" w:type="dxa"/>
          </w:tcPr>
          <w:p w14:paraId="6041C53A">
            <w:pPr>
              <w:pStyle w:val="22"/>
              <w:bidi w:val="0"/>
              <w:rPr>
                <w:rFonts w:hint="default" w:ascii="Times New Roman" w:hAnsi="Times New Roman" w:cs="Times New Roman"/>
                <w:highlight w:val="none"/>
                <w:lang w:val="en-US" w:eastAsia="zh-CN"/>
              </w:rPr>
            </w:pPr>
          </w:p>
        </w:tc>
      </w:tr>
    </w:tbl>
    <w:p w14:paraId="67875FF4">
      <w:pPr>
        <w:ind w:left="0" w:leftChars="0" w:firstLine="0" w:firstLineChars="0"/>
        <w:rPr>
          <w:rFonts w:hint="default" w:ascii="Times New Roman" w:hAnsi="Times New Roman" w:cs="Times New Roman"/>
          <w:highlight w:val="none"/>
          <w:lang w:val="en-US" w:eastAsia="zh-CN"/>
        </w:rPr>
      </w:pPr>
    </w:p>
    <w:p w14:paraId="0239C44E">
      <w:pPr>
        <w:bidi w:val="0"/>
        <w:rPr>
          <w:rFonts w:hint="default"/>
          <w:highlight w:val="none"/>
          <w:lang w:val="en-US" w:eastAsia="zh-CN"/>
        </w:rPr>
      </w:pPr>
      <w:r>
        <w:rPr>
          <w:rFonts w:hint="default"/>
          <w:highlight w:val="none"/>
          <w:lang w:val="en-US" w:eastAsia="zh-CN"/>
        </w:rPr>
        <w:t>（2）统计结果</w:t>
      </w:r>
    </w:p>
    <w:p w14:paraId="1AEFDFF4">
      <w:pPr>
        <w:pStyle w:val="11"/>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69</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工程建设的有关问题公众参与调查结果</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3900"/>
        <w:gridCol w:w="1145"/>
        <w:gridCol w:w="1187"/>
        <w:gridCol w:w="1638"/>
      </w:tblGrid>
      <w:tr w14:paraId="7545B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01AFA90C">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序号</w:t>
            </w:r>
          </w:p>
        </w:tc>
        <w:tc>
          <w:tcPr>
            <w:tcW w:w="3900" w:type="dxa"/>
          </w:tcPr>
          <w:p w14:paraId="6815A1F2">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调查内容</w:t>
            </w:r>
          </w:p>
        </w:tc>
        <w:tc>
          <w:tcPr>
            <w:tcW w:w="1145" w:type="dxa"/>
          </w:tcPr>
          <w:p w14:paraId="001E646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选择内容</w:t>
            </w:r>
          </w:p>
        </w:tc>
        <w:tc>
          <w:tcPr>
            <w:tcW w:w="1187" w:type="dxa"/>
          </w:tcPr>
          <w:p w14:paraId="1F0115AF">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人数（人）</w:t>
            </w:r>
          </w:p>
        </w:tc>
        <w:tc>
          <w:tcPr>
            <w:tcW w:w="1638" w:type="dxa"/>
          </w:tcPr>
          <w:p w14:paraId="3AE8C0C5">
            <w:pPr>
              <w:pStyle w:val="22"/>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所占比例（%）</w:t>
            </w:r>
          </w:p>
        </w:tc>
      </w:tr>
      <w:tr w14:paraId="1C956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3206F04A">
            <w:pPr>
              <w:pStyle w:val="22"/>
              <w:bidi w:val="0"/>
              <w:rPr>
                <w:rFonts w:hint="default" w:ascii="Times New Roman" w:hAnsi="Times New Roman" w:cs="Times New Roman"/>
                <w:highlight w:val="none"/>
                <w:lang w:val="en-US" w:eastAsia="zh-CN"/>
              </w:rPr>
            </w:pPr>
          </w:p>
        </w:tc>
        <w:tc>
          <w:tcPr>
            <w:tcW w:w="3900" w:type="dxa"/>
          </w:tcPr>
          <w:p w14:paraId="46087955">
            <w:pPr>
              <w:pStyle w:val="22"/>
              <w:bidi w:val="0"/>
              <w:rPr>
                <w:rFonts w:hint="default" w:ascii="Times New Roman" w:hAnsi="Times New Roman" w:cs="Times New Roman"/>
                <w:highlight w:val="none"/>
                <w:lang w:val="en-US" w:eastAsia="zh-CN"/>
              </w:rPr>
            </w:pPr>
          </w:p>
        </w:tc>
        <w:tc>
          <w:tcPr>
            <w:tcW w:w="1145" w:type="dxa"/>
          </w:tcPr>
          <w:p w14:paraId="50A383C8">
            <w:pPr>
              <w:pStyle w:val="22"/>
              <w:bidi w:val="0"/>
              <w:rPr>
                <w:rFonts w:hint="default" w:ascii="Times New Roman" w:hAnsi="Times New Roman" w:cs="Times New Roman"/>
                <w:highlight w:val="none"/>
                <w:lang w:val="en-US" w:eastAsia="zh-CN"/>
              </w:rPr>
            </w:pPr>
          </w:p>
        </w:tc>
        <w:tc>
          <w:tcPr>
            <w:tcW w:w="1187" w:type="dxa"/>
          </w:tcPr>
          <w:p w14:paraId="737D0AAF">
            <w:pPr>
              <w:pStyle w:val="22"/>
              <w:bidi w:val="0"/>
              <w:rPr>
                <w:rFonts w:hint="default" w:ascii="Times New Roman" w:hAnsi="Times New Roman" w:cs="Times New Roman"/>
                <w:highlight w:val="none"/>
                <w:lang w:val="en-US" w:eastAsia="zh-CN"/>
              </w:rPr>
            </w:pPr>
          </w:p>
        </w:tc>
        <w:tc>
          <w:tcPr>
            <w:tcW w:w="1638" w:type="dxa"/>
          </w:tcPr>
          <w:p w14:paraId="2637F401">
            <w:pPr>
              <w:pStyle w:val="22"/>
              <w:bidi w:val="0"/>
              <w:rPr>
                <w:rFonts w:hint="default" w:ascii="Times New Roman" w:hAnsi="Times New Roman" w:cs="Times New Roman"/>
                <w:highlight w:val="none"/>
                <w:lang w:val="en-US" w:eastAsia="zh-CN"/>
              </w:rPr>
            </w:pPr>
          </w:p>
        </w:tc>
      </w:tr>
      <w:tr w14:paraId="2F2B7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54ECCAB9">
            <w:pPr>
              <w:pStyle w:val="22"/>
              <w:bidi w:val="0"/>
              <w:rPr>
                <w:rFonts w:hint="default" w:ascii="Times New Roman" w:hAnsi="Times New Roman" w:cs="Times New Roman"/>
                <w:highlight w:val="none"/>
                <w:lang w:val="en-US" w:eastAsia="zh-CN"/>
              </w:rPr>
            </w:pPr>
          </w:p>
        </w:tc>
        <w:tc>
          <w:tcPr>
            <w:tcW w:w="3900" w:type="dxa"/>
          </w:tcPr>
          <w:p w14:paraId="792C7282">
            <w:pPr>
              <w:pStyle w:val="22"/>
              <w:bidi w:val="0"/>
              <w:rPr>
                <w:rFonts w:hint="default" w:ascii="Times New Roman" w:hAnsi="Times New Roman" w:cs="Times New Roman"/>
                <w:highlight w:val="none"/>
                <w:lang w:val="en-US" w:eastAsia="zh-CN"/>
              </w:rPr>
            </w:pPr>
          </w:p>
        </w:tc>
        <w:tc>
          <w:tcPr>
            <w:tcW w:w="1145" w:type="dxa"/>
          </w:tcPr>
          <w:p w14:paraId="78064B08">
            <w:pPr>
              <w:pStyle w:val="22"/>
              <w:bidi w:val="0"/>
              <w:rPr>
                <w:rFonts w:hint="default" w:ascii="Times New Roman" w:hAnsi="Times New Roman" w:cs="Times New Roman"/>
                <w:highlight w:val="none"/>
                <w:lang w:val="en-US" w:eastAsia="zh-CN"/>
              </w:rPr>
            </w:pPr>
          </w:p>
        </w:tc>
        <w:tc>
          <w:tcPr>
            <w:tcW w:w="1187" w:type="dxa"/>
          </w:tcPr>
          <w:p w14:paraId="4F16F2A3">
            <w:pPr>
              <w:pStyle w:val="22"/>
              <w:bidi w:val="0"/>
              <w:rPr>
                <w:rFonts w:hint="default" w:ascii="Times New Roman" w:hAnsi="Times New Roman" w:cs="Times New Roman"/>
                <w:highlight w:val="none"/>
                <w:lang w:val="en-US" w:eastAsia="zh-CN"/>
              </w:rPr>
            </w:pPr>
          </w:p>
        </w:tc>
        <w:tc>
          <w:tcPr>
            <w:tcW w:w="1638" w:type="dxa"/>
          </w:tcPr>
          <w:p w14:paraId="45613927">
            <w:pPr>
              <w:pStyle w:val="22"/>
              <w:bidi w:val="0"/>
              <w:rPr>
                <w:rFonts w:hint="default" w:ascii="Times New Roman" w:hAnsi="Times New Roman" w:cs="Times New Roman"/>
                <w:highlight w:val="none"/>
                <w:lang w:val="en-US" w:eastAsia="zh-CN"/>
              </w:rPr>
            </w:pPr>
          </w:p>
        </w:tc>
      </w:tr>
      <w:tr w14:paraId="3FF96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6E581240">
            <w:pPr>
              <w:pStyle w:val="22"/>
              <w:bidi w:val="0"/>
              <w:rPr>
                <w:rFonts w:hint="default" w:ascii="Times New Roman" w:hAnsi="Times New Roman" w:cs="Times New Roman"/>
                <w:highlight w:val="none"/>
                <w:lang w:val="en-US" w:eastAsia="zh-CN"/>
              </w:rPr>
            </w:pPr>
          </w:p>
        </w:tc>
        <w:tc>
          <w:tcPr>
            <w:tcW w:w="3900" w:type="dxa"/>
          </w:tcPr>
          <w:p w14:paraId="7B7A67E0">
            <w:pPr>
              <w:pStyle w:val="22"/>
              <w:bidi w:val="0"/>
              <w:rPr>
                <w:rFonts w:hint="default" w:ascii="Times New Roman" w:hAnsi="Times New Roman" w:cs="Times New Roman"/>
                <w:highlight w:val="none"/>
                <w:lang w:val="en-US" w:eastAsia="zh-CN"/>
              </w:rPr>
            </w:pPr>
          </w:p>
        </w:tc>
        <w:tc>
          <w:tcPr>
            <w:tcW w:w="1145" w:type="dxa"/>
          </w:tcPr>
          <w:p w14:paraId="1069E355">
            <w:pPr>
              <w:pStyle w:val="22"/>
              <w:bidi w:val="0"/>
              <w:rPr>
                <w:rFonts w:hint="default" w:ascii="Times New Roman" w:hAnsi="Times New Roman" w:cs="Times New Roman"/>
                <w:highlight w:val="none"/>
                <w:lang w:val="en-US" w:eastAsia="zh-CN"/>
              </w:rPr>
            </w:pPr>
          </w:p>
        </w:tc>
        <w:tc>
          <w:tcPr>
            <w:tcW w:w="1187" w:type="dxa"/>
          </w:tcPr>
          <w:p w14:paraId="77EB4FE2">
            <w:pPr>
              <w:pStyle w:val="22"/>
              <w:bidi w:val="0"/>
              <w:rPr>
                <w:rFonts w:hint="default" w:ascii="Times New Roman" w:hAnsi="Times New Roman" w:cs="Times New Roman"/>
                <w:highlight w:val="none"/>
                <w:lang w:val="en-US" w:eastAsia="zh-CN"/>
              </w:rPr>
            </w:pPr>
          </w:p>
        </w:tc>
        <w:tc>
          <w:tcPr>
            <w:tcW w:w="1638" w:type="dxa"/>
          </w:tcPr>
          <w:p w14:paraId="144834ED">
            <w:pPr>
              <w:pStyle w:val="22"/>
              <w:bidi w:val="0"/>
              <w:rPr>
                <w:rFonts w:hint="default" w:ascii="Times New Roman" w:hAnsi="Times New Roman" w:cs="Times New Roman"/>
                <w:highlight w:val="none"/>
                <w:lang w:val="en-US" w:eastAsia="zh-CN"/>
              </w:rPr>
            </w:pPr>
          </w:p>
        </w:tc>
      </w:tr>
      <w:tr w14:paraId="7D0CF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3ADFC95B">
            <w:pPr>
              <w:pStyle w:val="22"/>
              <w:bidi w:val="0"/>
              <w:rPr>
                <w:rFonts w:hint="default" w:ascii="Times New Roman" w:hAnsi="Times New Roman" w:cs="Times New Roman"/>
                <w:highlight w:val="none"/>
                <w:lang w:val="en-US" w:eastAsia="zh-CN"/>
              </w:rPr>
            </w:pPr>
          </w:p>
        </w:tc>
        <w:tc>
          <w:tcPr>
            <w:tcW w:w="3900" w:type="dxa"/>
          </w:tcPr>
          <w:p w14:paraId="7DAFB488">
            <w:pPr>
              <w:pStyle w:val="22"/>
              <w:bidi w:val="0"/>
              <w:rPr>
                <w:rFonts w:hint="default" w:ascii="Times New Roman" w:hAnsi="Times New Roman" w:cs="Times New Roman"/>
                <w:highlight w:val="none"/>
                <w:lang w:val="en-US" w:eastAsia="zh-CN"/>
              </w:rPr>
            </w:pPr>
          </w:p>
        </w:tc>
        <w:tc>
          <w:tcPr>
            <w:tcW w:w="1145" w:type="dxa"/>
          </w:tcPr>
          <w:p w14:paraId="45ED4504">
            <w:pPr>
              <w:pStyle w:val="22"/>
              <w:bidi w:val="0"/>
              <w:rPr>
                <w:rFonts w:hint="default" w:ascii="Times New Roman" w:hAnsi="Times New Roman" w:cs="Times New Roman"/>
                <w:highlight w:val="none"/>
                <w:lang w:val="en-US" w:eastAsia="zh-CN"/>
              </w:rPr>
            </w:pPr>
          </w:p>
        </w:tc>
        <w:tc>
          <w:tcPr>
            <w:tcW w:w="1187" w:type="dxa"/>
          </w:tcPr>
          <w:p w14:paraId="75B4430A">
            <w:pPr>
              <w:pStyle w:val="22"/>
              <w:bidi w:val="0"/>
              <w:rPr>
                <w:rFonts w:hint="default" w:ascii="Times New Roman" w:hAnsi="Times New Roman" w:cs="Times New Roman"/>
                <w:highlight w:val="none"/>
                <w:lang w:val="en-US" w:eastAsia="zh-CN"/>
              </w:rPr>
            </w:pPr>
          </w:p>
        </w:tc>
        <w:tc>
          <w:tcPr>
            <w:tcW w:w="1638" w:type="dxa"/>
          </w:tcPr>
          <w:p w14:paraId="5B6E6D23">
            <w:pPr>
              <w:pStyle w:val="22"/>
              <w:bidi w:val="0"/>
              <w:rPr>
                <w:rFonts w:hint="default" w:ascii="Times New Roman" w:hAnsi="Times New Roman" w:cs="Times New Roman"/>
                <w:highlight w:val="none"/>
                <w:lang w:val="en-US" w:eastAsia="zh-CN"/>
              </w:rPr>
            </w:pPr>
          </w:p>
        </w:tc>
      </w:tr>
      <w:tr w14:paraId="3084D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50CED510">
            <w:pPr>
              <w:pStyle w:val="22"/>
              <w:bidi w:val="0"/>
              <w:rPr>
                <w:rFonts w:hint="default" w:ascii="Times New Roman" w:hAnsi="Times New Roman" w:cs="Times New Roman"/>
                <w:highlight w:val="none"/>
                <w:lang w:val="en-US" w:eastAsia="zh-CN"/>
              </w:rPr>
            </w:pPr>
          </w:p>
        </w:tc>
        <w:tc>
          <w:tcPr>
            <w:tcW w:w="3900" w:type="dxa"/>
          </w:tcPr>
          <w:p w14:paraId="2A0493C5">
            <w:pPr>
              <w:pStyle w:val="22"/>
              <w:bidi w:val="0"/>
              <w:rPr>
                <w:rFonts w:hint="default" w:ascii="Times New Roman" w:hAnsi="Times New Roman" w:cs="Times New Roman"/>
                <w:highlight w:val="none"/>
                <w:lang w:val="en-US" w:eastAsia="zh-CN"/>
              </w:rPr>
            </w:pPr>
          </w:p>
        </w:tc>
        <w:tc>
          <w:tcPr>
            <w:tcW w:w="1145" w:type="dxa"/>
          </w:tcPr>
          <w:p w14:paraId="7A137A12">
            <w:pPr>
              <w:pStyle w:val="22"/>
              <w:bidi w:val="0"/>
              <w:rPr>
                <w:rFonts w:hint="default" w:ascii="Times New Roman" w:hAnsi="Times New Roman" w:cs="Times New Roman"/>
                <w:highlight w:val="none"/>
                <w:lang w:val="en-US" w:eastAsia="zh-CN"/>
              </w:rPr>
            </w:pPr>
          </w:p>
        </w:tc>
        <w:tc>
          <w:tcPr>
            <w:tcW w:w="1187" w:type="dxa"/>
          </w:tcPr>
          <w:p w14:paraId="5F02711A">
            <w:pPr>
              <w:pStyle w:val="22"/>
              <w:bidi w:val="0"/>
              <w:rPr>
                <w:rFonts w:hint="default" w:ascii="Times New Roman" w:hAnsi="Times New Roman" w:cs="Times New Roman"/>
                <w:highlight w:val="none"/>
                <w:lang w:val="en-US" w:eastAsia="zh-CN"/>
              </w:rPr>
            </w:pPr>
          </w:p>
        </w:tc>
        <w:tc>
          <w:tcPr>
            <w:tcW w:w="1638" w:type="dxa"/>
          </w:tcPr>
          <w:p w14:paraId="355A0C49">
            <w:pPr>
              <w:pStyle w:val="22"/>
              <w:bidi w:val="0"/>
              <w:rPr>
                <w:rFonts w:hint="default" w:ascii="Times New Roman" w:hAnsi="Times New Roman" w:cs="Times New Roman"/>
                <w:highlight w:val="none"/>
                <w:lang w:val="en-US" w:eastAsia="zh-CN"/>
              </w:rPr>
            </w:pPr>
          </w:p>
        </w:tc>
      </w:tr>
      <w:tr w14:paraId="7C696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630E000F">
            <w:pPr>
              <w:pStyle w:val="22"/>
              <w:bidi w:val="0"/>
              <w:rPr>
                <w:rFonts w:hint="default" w:ascii="Times New Roman" w:hAnsi="Times New Roman" w:cs="Times New Roman"/>
                <w:highlight w:val="none"/>
                <w:lang w:val="en-US" w:eastAsia="zh-CN"/>
              </w:rPr>
            </w:pPr>
          </w:p>
        </w:tc>
        <w:tc>
          <w:tcPr>
            <w:tcW w:w="3900" w:type="dxa"/>
          </w:tcPr>
          <w:p w14:paraId="6485D1F3">
            <w:pPr>
              <w:pStyle w:val="22"/>
              <w:bidi w:val="0"/>
              <w:rPr>
                <w:rFonts w:hint="default" w:ascii="Times New Roman" w:hAnsi="Times New Roman" w:cs="Times New Roman"/>
                <w:highlight w:val="none"/>
                <w:lang w:val="en-US" w:eastAsia="zh-CN"/>
              </w:rPr>
            </w:pPr>
          </w:p>
        </w:tc>
        <w:tc>
          <w:tcPr>
            <w:tcW w:w="1145" w:type="dxa"/>
          </w:tcPr>
          <w:p w14:paraId="381743F4">
            <w:pPr>
              <w:pStyle w:val="22"/>
              <w:bidi w:val="0"/>
              <w:rPr>
                <w:rFonts w:hint="default" w:ascii="Times New Roman" w:hAnsi="Times New Roman" w:cs="Times New Roman"/>
                <w:highlight w:val="none"/>
                <w:lang w:val="en-US" w:eastAsia="zh-CN"/>
              </w:rPr>
            </w:pPr>
          </w:p>
        </w:tc>
        <w:tc>
          <w:tcPr>
            <w:tcW w:w="1187" w:type="dxa"/>
          </w:tcPr>
          <w:p w14:paraId="555E08F8">
            <w:pPr>
              <w:pStyle w:val="22"/>
              <w:bidi w:val="0"/>
              <w:rPr>
                <w:rFonts w:hint="default" w:ascii="Times New Roman" w:hAnsi="Times New Roman" w:cs="Times New Roman"/>
                <w:highlight w:val="none"/>
                <w:lang w:val="en-US" w:eastAsia="zh-CN"/>
              </w:rPr>
            </w:pPr>
          </w:p>
        </w:tc>
        <w:tc>
          <w:tcPr>
            <w:tcW w:w="1638" w:type="dxa"/>
          </w:tcPr>
          <w:p w14:paraId="25C3CE14">
            <w:pPr>
              <w:pStyle w:val="22"/>
              <w:bidi w:val="0"/>
              <w:rPr>
                <w:rFonts w:hint="default" w:ascii="Times New Roman" w:hAnsi="Times New Roman" w:cs="Times New Roman"/>
                <w:highlight w:val="none"/>
                <w:lang w:val="en-US" w:eastAsia="zh-CN"/>
              </w:rPr>
            </w:pPr>
          </w:p>
        </w:tc>
      </w:tr>
      <w:tr w14:paraId="7D71C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dxa"/>
          </w:tcPr>
          <w:p w14:paraId="20517163">
            <w:pPr>
              <w:pStyle w:val="22"/>
              <w:bidi w:val="0"/>
              <w:rPr>
                <w:rFonts w:hint="default" w:ascii="Times New Roman" w:hAnsi="Times New Roman" w:cs="Times New Roman"/>
                <w:highlight w:val="none"/>
                <w:lang w:val="en-US" w:eastAsia="zh-CN"/>
              </w:rPr>
            </w:pPr>
          </w:p>
        </w:tc>
        <w:tc>
          <w:tcPr>
            <w:tcW w:w="3900" w:type="dxa"/>
          </w:tcPr>
          <w:p w14:paraId="1CD55146">
            <w:pPr>
              <w:pStyle w:val="22"/>
              <w:bidi w:val="0"/>
              <w:rPr>
                <w:rFonts w:hint="default" w:ascii="Times New Roman" w:hAnsi="Times New Roman" w:cs="Times New Roman"/>
                <w:highlight w:val="none"/>
                <w:lang w:val="en-US" w:eastAsia="zh-CN"/>
              </w:rPr>
            </w:pPr>
          </w:p>
        </w:tc>
        <w:tc>
          <w:tcPr>
            <w:tcW w:w="1145" w:type="dxa"/>
          </w:tcPr>
          <w:p w14:paraId="7C4EAE67">
            <w:pPr>
              <w:pStyle w:val="22"/>
              <w:bidi w:val="0"/>
              <w:rPr>
                <w:rFonts w:hint="default" w:ascii="Times New Roman" w:hAnsi="Times New Roman" w:cs="Times New Roman"/>
                <w:highlight w:val="none"/>
                <w:lang w:val="en-US" w:eastAsia="zh-CN"/>
              </w:rPr>
            </w:pPr>
          </w:p>
        </w:tc>
        <w:tc>
          <w:tcPr>
            <w:tcW w:w="1187" w:type="dxa"/>
          </w:tcPr>
          <w:p w14:paraId="5FD2EB52">
            <w:pPr>
              <w:pStyle w:val="22"/>
              <w:bidi w:val="0"/>
              <w:rPr>
                <w:rFonts w:hint="default" w:ascii="Times New Roman" w:hAnsi="Times New Roman" w:cs="Times New Roman"/>
                <w:highlight w:val="none"/>
                <w:lang w:val="en-US" w:eastAsia="zh-CN"/>
              </w:rPr>
            </w:pPr>
          </w:p>
        </w:tc>
        <w:tc>
          <w:tcPr>
            <w:tcW w:w="1638" w:type="dxa"/>
          </w:tcPr>
          <w:p w14:paraId="7EBEA035">
            <w:pPr>
              <w:pStyle w:val="22"/>
              <w:bidi w:val="0"/>
              <w:rPr>
                <w:rFonts w:hint="default" w:ascii="Times New Roman" w:hAnsi="Times New Roman" w:cs="Times New Roman"/>
                <w:highlight w:val="none"/>
                <w:lang w:val="en-US" w:eastAsia="zh-CN"/>
              </w:rPr>
            </w:pPr>
          </w:p>
        </w:tc>
      </w:tr>
    </w:tbl>
    <w:p w14:paraId="32DB49F5">
      <w:pPr>
        <w:ind w:left="0" w:leftChars="0" w:firstLine="0" w:firstLineChars="0"/>
        <w:rPr>
          <w:rFonts w:hint="default" w:ascii="Times New Roman" w:hAnsi="Times New Roman" w:cs="Times New Roman"/>
          <w:highlight w:val="none"/>
          <w:lang w:val="en-US" w:eastAsia="zh-CN"/>
        </w:rPr>
      </w:pPr>
    </w:p>
    <w:p w14:paraId="0460236B">
      <w:pPr>
        <w:bidi w:val="0"/>
        <w:rPr>
          <w:rFonts w:hint="default"/>
          <w:highlight w:val="none"/>
          <w:lang w:val="en-US" w:eastAsia="zh-CN"/>
        </w:rPr>
      </w:pPr>
      <w:r>
        <w:rPr>
          <w:rFonts w:hint="default"/>
          <w:highlight w:val="none"/>
          <w:lang w:val="en-US" w:eastAsia="zh-CN"/>
        </w:rPr>
        <w:t>（3）统计结果分析</w:t>
      </w:r>
    </w:p>
    <w:p w14:paraId="734C8F1F">
      <w:pPr>
        <w:pStyle w:val="3"/>
        <w:bidi w:val="0"/>
        <w:rPr>
          <w:rFonts w:hint="default"/>
          <w:highlight w:val="none"/>
          <w:lang w:val="en-US" w:eastAsia="zh-CN"/>
        </w:rPr>
      </w:pPr>
      <w:bookmarkStart w:id="95" w:name="_Toc27701"/>
      <w:r>
        <w:rPr>
          <w:rFonts w:hint="default"/>
          <w:highlight w:val="none"/>
          <w:lang w:val="en-US" w:eastAsia="zh-CN"/>
        </w:rPr>
        <w:t>对公众意见的采纳情况</w:t>
      </w:r>
      <w:bookmarkEnd w:id="95"/>
    </w:p>
    <w:p w14:paraId="332782E9">
      <w:pPr>
        <w:rPr>
          <w:rFonts w:hint="default" w:ascii="Times New Roman" w:hAnsi="Times New Roman" w:cs="Times New Roman"/>
          <w:highlight w:val="none"/>
          <w:lang w:val="en-US" w:eastAsia="zh-CN"/>
        </w:rPr>
      </w:pPr>
    </w:p>
    <w:p w14:paraId="6DF4D552">
      <w:pPr>
        <w:rPr>
          <w:rFonts w:hint="default" w:ascii="Times New Roman" w:hAnsi="Times New Roman" w:cs="Times New Roman"/>
          <w:highlight w:val="none"/>
          <w:lang w:val="en-US" w:eastAsia="zh-CN"/>
        </w:rPr>
      </w:pPr>
    </w:p>
    <w:p w14:paraId="7F44C37E">
      <w:pPr>
        <w:pStyle w:val="3"/>
        <w:bidi w:val="0"/>
        <w:rPr>
          <w:rFonts w:hint="default"/>
          <w:highlight w:val="none"/>
          <w:lang w:val="en-US" w:eastAsia="zh-CN"/>
        </w:rPr>
      </w:pPr>
      <w:bookmarkStart w:id="96" w:name="_Toc30488"/>
      <w:r>
        <w:rPr>
          <w:rFonts w:hint="default"/>
          <w:highlight w:val="none"/>
          <w:lang w:val="en-US" w:eastAsia="zh-CN"/>
        </w:rPr>
        <w:t>调查小结</w:t>
      </w:r>
      <w:bookmarkEnd w:id="96"/>
    </w:p>
    <w:p w14:paraId="227E09F6">
      <w:pPr>
        <w:pStyle w:val="4"/>
        <w:bidi w:val="0"/>
        <w:rPr>
          <w:rFonts w:hint="default" w:ascii="Times New Roman" w:hAnsi="Times New Roman" w:cs="Times New Roman"/>
          <w:highlight w:val="none"/>
          <w:lang w:val="en-US" w:eastAsia="zh-CN"/>
        </w:rPr>
        <w:sectPr>
          <w:pgSz w:w="11906" w:h="16838"/>
          <w:pgMar w:top="1440" w:right="1800" w:bottom="1440" w:left="1800" w:header="851" w:footer="992" w:gutter="0"/>
          <w:pgNumType w:fmt="decimal"/>
          <w:cols w:space="425" w:num="1"/>
          <w:docGrid w:type="lines" w:linePitch="312" w:charSpace="0"/>
        </w:sectPr>
      </w:pPr>
    </w:p>
    <w:p w14:paraId="06143B85">
      <w:pPr>
        <w:pStyle w:val="2"/>
        <w:bidi w:val="0"/>
        <w:rPr>
          <w:rFonts w:hint="default"/>
          <w:highlight w:val="none"/>
          <w:lang w:val="en-US" w:eastAsia="zh-CN"/>
        </w:rPr>
      </w:pPr>
      <w:bookmarkStart w:id="97" w:name="_Toc29524"/>
      <w:r>
        <w:rPr>
          <w:rFonts w:hint="default"/>
          <w:highlight w:val="none"/>
          <w:lang w:val="en-US" w:eastAsia="zh-CN"/>
        </w:rPr>
        <w:t>评价结论</w:t>
      </w:r>
      <w:bookmarkEnd w:id="97"/>
    </w:p>
    <w:p w14:paraId="1975C5FF">
      <w:pPr>
        <w:pStyle w:val="3"/>
        <w:bidi w:val="0"/>
        <w:rPr>
          <w:rFonts w:hint="default"/>
          <w:highlight w:val="none"/>
          <w:lang w:val="en-US" w:eastAsia="zh-CN"/>
        </w:rPr>
      </w:pPr>
      <w:bookmarkStart w:id="98" w:name="_Toc24358"/>
      <w:r>
        <w:rPr>
          <w:rFonts w:hint="default"/>
          <w:highlight w:val="none"/>
          <w:lang w:val="en-US" w:eastAsia="zh-CN"/>
        </w:rPr>
        <w:t>规划概况</w:t>
      </w:r>
      <w:bookmarkEnd w:id="98"/>
    </w:p>
    <w:p w14:paraId="1BECABBB">
      <w:pPr>
        <w:pStyle w:val="4"/>
        <w:bidi w:val="0"/>
        <w:rPr>
          <w:rFonts w:hint="default"/>
          <w:highlight w:val="none"/>
          <w:lang w:val="en-US" w:eastAsia="zh-CN"/>
        </w:rPr>
      </w:pPr>
      <w:r>
        <w:rPr>
          <w:rFonts w:hint="default"/>
          <w:highlight w:val="none"/>
          <w:lang w:val="en-US" w:eastAsia="zh-CN"/>
        </w:rPr>
        <w:t>规划范围</w:t>
      </w:r>
    </w:p>
    <w:p w14:paraId="2BB0BFF7">
      <w:pPr>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乡城县冷龙沟流域面积79.0km</w:t>
      </w:r>
      <w:r>
        <w:rPr>
          <w:rFonts w:hint="default" w:ascii="Times New Roman" w:hAnsi="Times New Roman" w:cs="Times New Roman"/>
          <w:highlight w:val="none"/>
          <w:vertAlign w:val="superscript"/>
          <w:lang w:eastAsia="zh-CN"/>
        </w:rPr>
        <w:t>2</w:t>
      </w:r>
      <w:r>
        <w:rPr>
          <w:rFonts w:hint="default" w:ascii="Times New Roman" w:hAnsi="Times New Roman" w:cs="Times New Roman"/>
          <w:highlight w:val="none"/>
          <w:lang w:eastAsia="zh-CN"/>
        </w:rPr>
        <w:t>，涉及热郎宫村、冷龙村、东宫村和色尔宫村4个行政村。</w:t>
      </w:r>
    </w:p>
    <w:p w14:paraId="7FAB1B89">
      <w:pPr>
        <w:pStyle w:val="4"/>
        <w:bidi w:val="0"/>
        <w:rPr>
          <w:rFonts w:hint="default"/>
          <w:highlight w:val="none"/>
          <w:lang w:val="en-US" w:eastAsia="zh-CN"/>
        </w:rPr>
      </w:pPr>
      <w:r>
        <w:rPr>
          <w:rFonts w:hint="default"/>
          <w:highlight w:val="none"/>
          <w:lang w:val="en-US" w:eastAsia="zh-CN"/>
        </w:rPr>
        <w:t>规划水平年</w:t>
      </w:r>
    </w:p>
    <w:p w14:paraId="3B39D2D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规划环评评价水平年与冷龙沟流域综合规划水平年基本保持一致，现状评价水平年为2022年（部分数据引用至2023年），近期影响预测水平年为2030年，远期影响预测水平年为2035年</w:t>
      </w:r>
      <w:r>
        <w:rPr>
          <w:rFonts w:hint="eastAsia" w:cs="Times New Roman"/>
          <w:highlight w:val="none"/>
          <w:lang w:val="en-US" w:eastAsia="zh-CN"/>
        </w:rPr>
        <w:t>。</w:t>
      </w:r>
    </w:p>
    <w:p w14:paraId="11BB147E">
      <w:pPr>
        <w:pStyle w:val="4"/>
        <w:bidi w:val="0"/>
        <w:rPr>
          <w:rFonts w:hint="default"/>
          <w:highlight w:val="none"/>
          <w:lang w:val="en-US" w:eastAsia="zh-CN"/>
        </w:rPr>
      </w:pPr>
      <w:r>
        <w:rPr>
          <w:rFonts w:hint="default"/>
          <w:highlight w:val="none"/>
          <w:lang w:val="en-US" w:eastAsia="zh-CN"/>
        </w:rPr>
        <w:t>规划目标</w:t>
      </w:r>
    </w:p>
    <w:p w14:paraId="54E1539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完善流域防洪减灾、水资源综合利用、水资源保护和生态修复、水土保持综合治理及流域综合管理五大体系，保障防洪安全、供水安全、粮食安全和生态安全，提高流域管理水平，支撑流域高质量发展。</w:t>
      </w:r>
    </w:p>
    <w:p w14:paraId="1FF6FE78">
      <w:pPr>
        <w:pStyle w:val="4"/>
        <w:bidi w:val="0"/>
        <w:rPr>
          <w:rFonts w:hint="default"/>
          <w:highlight w:val="none"/>
          <w:lang w:val="en-US" w:eastAsia="zh-CN"/>
        </w:rPr>
      </w:pPr>
      <w:r>
        <w:rPr>
          <w:rFonts w:hint="default"/>
          <w:highlight w:val="none"/>
          <w:lang w:val="en-US" w:eastAsia="zh-CN"/>
        </w:rPr>
        <w:t>规划内容</w:t>
      </w:r>
    </w:p>
    <w:p w14:paraId="0977D1C6">
      <w:pPr>
        <w:bidi w:val="0"/>
        <w:rPr>
          <w:rFonts w:hint="default"/>
          <w:highlight w:val="none"/>
          <w:lang w:val="en-US" w:eastAsia="zh-CN"/>
        </w:rPr>
      </w:pPr>
      <w:r>
        <w:rPr>
          <w:rFonts w:hint="default"/>
          <w:highlight w:val="none"/>
          <w:lang w:val="en-US" w:eastAsia="zh-CN"/>
        </w:rPr>
        <w:t>（1）完善防洪减灾体系，保障流域防洪安全</w:t>
      </w:r>
    </w:p>
    <w:p w14:paraId="03F1DD00">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合理安排洪水出路，保障防洪安全，力争常遇洪水不受灾，确保生活有序、生产正常；最大程度减少大洪水期间的灾害损失，控制特大洪水的影响范围与受灾损失程度；加大小流域综合治理力度，加强风险管理，减少山洪灾害损失；不断完善预测预警预报系统，建立防灾减灾风险评估和预警机制。</w:t>
      </w:r>
    </w:p>
    <w:p w14:paraId="799A8DBF">
      <w:pPr>
        <w:bidi w:val="0"/>
        <w:rPr>
          <w:rFonts w:hint="default"/>
          <w:highlight w:val="none"/>
          <w:lang w:val="en-US" w:eastAsia="zh-CN"/>
        </w:rPr>
      </w:pPr>
      <w:r>
        <w:rPr>
          <w:rFonts w:hint="default"/>
          <w:highlight w:val="none"/>
          <w:lang w:val="en-US" w:eastAsia="zh-CN"/>
        </w:rPr>
        <w:t>（2）合理利用和保护水资源，保障流域供水安全</w:t>
      </w:r>
    </w:p>
    <w:p w14:paraId="6CD7C41F">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根据《乡城县县域村镇体系规划和城市总体规划（2017</w:t>
      </w:r>
      <w:r>
        <w:rPr>
          <w:rFonts w:hint="eastAsia" w:cs="Times New Roman"/>
          <w:highlight w:val="none"/>
          <w:lang w:val="en-US" w:eastAsia="zh-CN"/>
        </w:rPr>
        <w:t>-</w:t>
      </w:r>
      <w:r>
        <w:rPr>
          <w:rFonts w:hint="default" w:ascii="Times New Roman" w:hAnsi="Times New Roman" w:cs="Times New Roman"/>
          <w:highlight w:val="none"/>
          <w:lang w:val="en-US" w:eastAsia="zh-CN"/>
        </w:rPr>
        <w:t>2035年)》：规划目标：至规划期末，县城及重点城镇（尼斯镇、青德镇、热打镇、水洼乡)镇区集中供水普及率达到100%，一般乡镇镇区集中供水普及率达到95%。供水水质全面达到《生活饮用水卫生标准》</w:t>
      </w:r>
      <w:r>
        <w:rPr>
          <w:rFonts w:hint="eastAsia" w:cs="Times New Roman"/>
          <w:highlight w:val="none"/>
          <w:lang w:val="en-US" w:eastAsia="zh-CN"/>
        </w:rPr>
        <w:t>（</w:t>
      </w:r>
      <w:r>
        <w:rPr>
          <w:rFonts w:hint="default" w:ascii="Times New Roman" w:hAnsi="Times New Roman" w:cs="Times New Roman"/>
          <w:highlight w:val="none"/>
          <w:lang w:val="en-US" w:eastAsia="zh-CN"/>
        </w:rPr>
        <w:t>GB5749-2022</w:t>
      </w:r>
      <w:r>
        <w:rPr>
          <w:rFonts w:hint="eastAsia" w:cs="Times New Roman"/>
          <w:highlight w:val="none"/>
          <w:lang w:val="en-US" w:eastAsia="zh-CN"/>
        </w:rPr>
        <w:t>）</w:t>
      </w:r>
      <w:r>
        <w:rPr>
          <w:rFonts w:hint="default" w:ascii="Times New Roman" w:hAnsi="Times New Roman" w:cs="Times New Roman"/>
          <w:highlight w:val="none"/>
          <w:lang w:val="en-US" w:eastAsia="zh-CN"/>
        </w:rPr>
        <w:t>和《城镇供水水质标准》。</w:t>
      </w:r>
    </w:p>
    <w:p w14:paraId="3C6D7B8E">
      <w:pPr>
        <w:bidi w:val="0"/>
        <w:rPr>
          <w:rFonts w:hint="default"/>
          <w:highlight w:val="none"/>
          <w:lang w:val="en-US" w:eastAsia="zh-CN"/>
        </w:rPr>
      </w:pPr>
      <w:r>
        <w:rPr>
          <w:rFonts w:hint="default"/>
          <w:highlight w:val="none"/>
          <w:lang w:val="en-US" w:eastAsia="zh-CN"/>
        </w:rPr>
        <w:t>（3）加强生态环境保护和修复，维系流域良好生态</w:t>
      </w:r>
    </w:p>
    <w:p w14:paraId="7223BDC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以保护水源地水质和改善水生态环境为目标，加强流域重点污染源治理，推进上中游水土保持生态建设和小流域综合治理，加快坡耕地整治改造，并加强水土保持监督管理，使群众生产生活条件、区域生态环境明显改善。到2025年，基本建设与乡城县社会经济发展相适应的水土流失综合防治体系，人为水土流失得到有效控制，生态环境得以持续改善，水土保持生态文明建设取得显著成效。</w:t>
      </w:r>
    </w:p>
    <w:p w14:paraId="7B54D2E4">
      <w:pPr>
        <w:bidi w:val="0"/>
        <w:rPr>
          <w:rFonts w:hint="default"/>
          <w:highlight w:val="none"/>
          <w:lang w:val="en-US" w:eastAsia="zh-CN"/>
        </w:rPr>
      </w:pPr>
      <w:r>
        <w:rPr>
          <w:rFonts w:hint="default"/>
          <w:highlight w:val="none"/>
          <w:lang w:val="en-US" w:eastAsia="zh-CN"/>
        </w:rPr>
        <w:t>（4）加强流域综合管理，促进高质量发展</w:t>
      </w:r>
    </w:p>
    <w:p w14:paraId="442DEDD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逐步完善流域管理与区域管理相结合的管理体制和机制，加强管理能力建设和科技支撑，流域综合管理能力和公共服务水平得到显著提高。</w:t>
      </w:r>
    </w:p>
    <w:p w14:paraId="134ADB8D">
      <w:pPr>
        <w:pStyle w:val="3"/>
        <w:bidi w:val="0"/>
        <w:rPr>
          <w:rFonts w:hint="default"/>
          <w:highlight w:val="none"/>
          <w:lang w:val="en-US" w:eastAsia="zh-CN"/>
        </w:rPr>
      </w:pPr>
      <w:bookmarkStart w:id="99" w:name="_Toc5268"/>
      <w:r>
        <w:rPr>
          <w:rFonts w:hint="default"/>
          <w:highlight w:val="none"/>
          <w:lang w:val="en-US" w:eastAsia="zh-CN"/>
        </w:rPr>
        <w:t>流域生态环境保护定位和环境目标</w:t>
      </w:r>
      <w:bookmarkEnd w:id="99"/>
    </w:p>
    <w:p w14:paraId="04054E0A">
      <w:pPr>
        <w:pStyle w:val="4"/>
        <w:bidi w:val="0"/>
        <w:rPr>
          <w:rFonts w:hint="default"/>
          <w:highlight w:val="none"/>
          <w:lang w:val="en-US" w:eastAsia="zh-CN"/>
        </w:rPr>
      </w:pPr>
      <w:r>
        <w:rPr>
          <w:rFonts w:hint="default"/>
          <w:highlight w:val="none"/>
          <w:lang w:val="en-US" w:eastAsia="zh-CN"/>
        </w:rPr>
        <w:t>流域生态环境保护定位</w:t>
      </w:r>
    </w:p>
    <w:p w14:paraId="187D792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主要为山区，植被覆盖率高，生物多样性丰富。根据冷龙沟流域的生态环境特征，结合冷龙沟在《全国主体功能区规划》《四川省主体功能区规划》《全国生态功能区划》《四川省生态功能区划》《长江流域综合规划》和各级</w:t>
      </w:r>
      <w:r>
        <w:rPr>
          <w:rFonts w:hint="eastAsia" w:cs="Times New Roman"/>
          <w:highlight w:val="none"/>
          <w:lang w:val="en-US" w:eastAsia="zh-CN"/>
        </w:rPr>
        <w:t>“</w:t>
      </w:r>
      <w:r>
        <w:rPr>
          <w:rFonts w:hint="default" w:ascii="Times New Roman" w:hAnsi="Times New Roman" w:cs="Times New Roman"/>
          <w:highlight w:val="none"/>
          <w:lang w:val="en-US" w:eastAsia="zh-CN"/>
        </w:rPr>
        <w:t>国土空间总体规划</w:t>
      </w:r>
      <w:r>
        <w:rPr>
          <w:rFonts w:hint="eastAsia" w:cs="Times New Roman"/>
          <w:highlight w:val="none"/>
          <w:lang w:val="en-US" w:eastAsia="zh-CN"/>
        </w:rPr>
        <w:t>”</w:t>
      </w:r>
      <w:r>
        <w:rPr>
          <w:rFonts w:hint="default" w:ascii="Times New Roman" w:hAnsi="Times New Roman" w:cs="Times New Roman"/>
          <w:highlight w:val="none"/>
          <w:lang w:val="en-US" w:eastAsia="zh-CN"/>
        </w:rPr>
        <w:t>等相关规划中的定位，将该流域的功能定位确定为以建设防灾减灾、保护和修复生态环境为首要职能；在保护生态环境、改善水环境、严守生态红线的前提下，进行水资源的适度开发和利用。</w:t>
      </w:r>
    </w:p>
    <w:p w14:paraId="09D0B3DF">
      <w:pPr>
        <w:pStyle w:val="4"/>
        <w:bidi w:val="0"/>
        <w:rPr>
          <w:rFonts w:hint="default"/>
          <w:highlight w:val="none"/>
          <w:lang w:val="en-US" w:eastAsia="zh-CN"/>
        </w:rPr>
      </w:pPr>
      <w:r>
        <w:rPr>
          <w:rFonts w:hint="default"/>
          <w:highlight w:val="none"/>
          <w:lang w:val="en-US" w:eastAsia="zh-CN"/>
        </w:rPr>
        <w:t>环境目标</w:t>
      </w:r>
    </w:p>
    <w:p w14:paraId="4129B5C0">
      <w:pPr>
        <w:numPr>
          <w:ilvl w:val="0"/>
          <w:numId w:val="68"/>
        </w:numPr>
        <w:bidi w:val="0"/>
        <w:rPr>
          <w:rFonts w:hint="default"/>
          <w:highlight w:val="none"/>
          <w:lang w:val="en-US" w:eastAsia="zh-CN"/>
        </w:rPr>
      </w:pPr>
      <w:r>
        <w:rPr>
          <w:rFonts w:hint="default"/>
          <w:highlight w:val="none"/>
          <w:lang w:val="en-US" w:eastAsia="zh-CN"/>
        </w:rPr>
        <w:t>自然保护区等</w:t>
      </w:r>
    </w:p>
    <w:p w14:paraId="2F82F4E2">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冷龙沟流域不涉及自然保护区、风景名胜区、森林公园、湿地公园。但涉及一处饮用水水源地，为县城饮用水水源地。</w:t>
      </w:r>
    </w:p>
    <w:p w14:paraId="49C5F803">
      <w:pPr>
        <w:pStyle w:val="11"/>
        <w:ind w:left="0" w:lef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 xml:space="preserve">表 </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SEQ 表 \* ARABIC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70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 xml:space="preserve"> 冷龙沟流域环境敏感目标统计表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3ABE2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9611BD9">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环境敏感区类型</w:t>
            </w:r>
          </w:p>
        </w:tc>
        <w:tc>
          <w:tcPr>
            <w:tcW w:w="1704" w:type="dxa"/>
            <w:vAlign w:val="center"/>
          </w:tcPr>
          <w:p w14:paraId="5823FCFC">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敏感区</w:t>
            </w:r>
          </w:p>
        </w:tc>
        <w:tc>
          <w:tcPr>
            <w:tcW w:w="1704" w:type="dxa"/>
            <w:vAlign w:val="center"/>
          </w:tcPr>
          <w:p w14:paraId="53D944BB">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保护区级别</w:t>
            </w:r>
          </w:p>
        </w:tc>
        <w:tc>
          <w:tcPr>
            <w:tcW w:w="1705" w:type="dxa"/>
            <w:vAlign w:val="center"/>
          </w:tcPr>
          <w:p w14:paraId="79EA9DD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敏感对象</w:t>
            </w:r>
          </w:p>
        </w:tc>
        <w:tc>
          <w:tcPr>
            <w:tcW w:w="1705" w:type="dxa"/>
            <w:vAlign w:val="center"/>
          </w:tcPr>
          <w:p w14:paraId="0943688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保护目标</w:t>
            </w:r>
          </w:p>
        </w:tc>
      </w:tr>
      <w:tr w14:paraId="0F6C5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59E43D8">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饮用水源保护区</w:t>
            </w:r>
          </w:p>
        </w:tc>
        <w:tc>
          <w:tcPr>
            <w:tcW w:w="1704" w:type="dxa"/>
            <w:vAlign w:val="center"/>
          </w:tcPr>
          <w:p w14:paraId="7AF06A97">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冷龙沟水源地</w:t>
            </w:r>
          </w:p>
        </w:tc>
        <w:tc>
          <w:tcPr>
            <w:tcW w:w="1704" w:type="dxa"/>
            <w:vAlign w:val="center"/>
          </w:tcPr>
          <w:p w14:paraId="36E39B36">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县城饮用水源地</w:t>
            </w:r>
          </w:p>
        </w:tc>
        <w:tc>
          <w:tcPr>
            <w:tcW w:w="1705" w:type="dxa"/>
            <w:vAlign w:val="center"/>
          </w:tcPr>
          <w:p w14:paraId="2C7EDA94">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地表水源地</w:t>
            </w:r>
          </w:p>
        </w:tc>
        <w:tc>
          <w:tcPr>
            <w:tcW w:w="1705" w:type="dxa"/>
            <w:vAlign w:val="center"/>
          </w:tcPr>
          <w:p w14:paraId="27566F95">
            <w:pPr>
              <w:pStyle w:val="22"/>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保障水源地水质达标</w:t>
            </w:r>
          </w:p>
        </w:tc>
      </w:tr>
    </w:tbl>
    <w:p w14:paraId="4A17AE04">
      <w:pPr>
        <w:numPr>
          <w:ilvl w:val="0"/>
          <w:numId w:val="68"/>
        </w:numPr>
        <w:bidi w:val="0"/>
        <w:rPr>
          <w:rFonts w:hint="default"/>
          <w:highlight w:val="none"/>
          <w:lang w:val="en-US" w:eastAsia="zh-CN"/>
        </w:rPr>
      </w:pPr>
      <w:r>
        <w:rPr>
          <w:rFonts w:hint="default"/>
          <w:highlight w:val="none"/>
          <w:lang w:val="en-US" w:eastAsia="zh-CN"/>
        </w:rPr>
        <w:t>珍稀保护野生动植物</w:t>
      </w:r>
    </w:p>
    <w:p w14:paraId="1B3827B3">
      <w:pPr>
        <w:rPr>
          <w:rFonts w:hint="default" w:ascii="Times New Roman" w:hAnsi="Times New Roman" w:cs="Times New Roman"/>
          <w:b w:val="0"/>
          <w:bCs w:val="0"/>
          <w:highlight w:val="none"/>
          <w:lang w:val="en-US" w:eastAsia="zh-CN"/>
        </w:rPr>
      </w:pPr>
      <w:r>
        <w:rPr>
          <w:rFonts w:hint="default" w:ascii="Times New Roman" w:hAnsi="Times New Roman" w:cs="Times New Roman"/>
          <w:highlight w:val="none"/>
          <w:lang w:val="en-US" w:eastAsia="zh-CN"/>
        </w:rPr>
        <w:t>基础资料收集和实地调查相结合法进行分析，根据《乡城县尼色拥水库工程水生生物影响评价及补救措施专题报告》及《乡城县尼色拥水库工程建设项目对陆生生物影响评价及补救措施专题报告》，冷龙沟流域范围内</w:t>
      </w:r>
      <w:r>
        <w:rPr>
          <w:rFonts w:hint="default" w:ascii="Times New Roman" w:hAnsi="Times New Roman" w:cs="Times New Roman"/>
          <w:b w:val="0"/>
          <w:bCs w:val="0"/>
          <w:highlight w:val="none"/>
          <w:lang w:val="en-US" w:eastAsia="zh-CN"/>
        </w:rPr>
        <w:t>未记录和调查到国家一级重点保护野生动物。记录和调查到国家二级重点保护野生动物 10 种，其中两栖类 1 种，即稻城山溪鲵；鸟类 3 种，即普通鵟、眼纹噪鹛和白马鸡；哺乳类 6 种，即猕猴、中华鬣羚、狼、毛冠鹿、赤狐。记录到四川省重点保护动物 7 种，分别为普通夜鹰、白喉针尾雨燕、大鹰鹃、绿鹭、普通鸬鹚、沟牙鼯鼠和香鼬。调查区域内无《中国生物多样性红色名录》“极危”级别的物种；“濒危”级别的物种无；“易危”级别的物种 6 种，即稻城山溪鲵、黑眉 锦蛇、中华鬣羚和中华小熊猫；中国特有种 9 种。</w:t>
      </w:r>
    </w:p>
    <w:p w14:paraId="1D27CD75">
      <w:pPr>
        <w:pStyle w:val="3"/>
        <w:bidi w:val="0"/>
        <w:rPr>
          <w:rFonts w:hint="default"/>
          <w:highlight w:val="none"/>
          <w:lang w:val="en-US" w:eastAsia="zh-CN"/>
        </w:rPr>
      </w:pPr>
      <w:bookmarkStart w:id="100" w:name="_Toc31309"/>
      <w:r>
        <w:rPr>
          <w:rFonts w:hint="default"/>
          <w:highlight w:val="none"/>
          <w:lang w:val="en-US" w:eastAsia="zh-CN"/>
        </w:rPr>
        <w:t>流域现状调查与评价</w:t>
      </w:r>
      <w:bookmarkEnd w:id="100"/>
    </w:p>
    <w:p w14:paraId="5B826869">
      <w:pPr>
        <w:pStyle w:val="4"/>
        <w:bidi w:val="0"/>
        <w:rPr>
          <w:rFonts w:hint="default"/>
          <w:highlight w:val="none"/>
          <w:lang w:val="en-US" w:eastAsia="zh-CN"/>
        </w:rPr>
      </w:pPr>
      <w:r>
        <w:rPr>
          <w:rFonts w:hint="default"/>
          <w:highlight w:val="none"/>
          <w:lang w:val="en-US" w:eastAsia="zh-CN"/>
        </w:rPr>
        <w:t>流域概况</w:t>
      </w:r>
    </w:p>
    <w:p w14:paraId="36F61AC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冷龙沟为硕曲右岸一级支流，定曲河左岸二级支流。硕曲河为发源于巴塘东南，经理塘县邓波乡入境，纵贯沙贡乡、水洼乡、香巴拉镇、青德镇、青麦乡、洞松乡6个乡镇入云南境。境内流长121km，流域面积为1669km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。河流深切，水流湍急，河床平均比降为7‰。</w:t>
      </w:r>
    </w:p>
    <w:p w14:paraId="0E5DE949">
      <w:pPr>
        <w:pStyle w:val="4"/>
        <w:bidi w:val="0"/>
        <w:rPr>
          <w:rFonts w:hint="default"/>
          <w:highlight w:val="none"/>
          <w:lang w:val="en-US" w:eastAsia="zh-CN"/>
        </w:rPr>
      </w:pPr>
      <w:r>
        <w:rPr>
          <w:rFonts w:hint="default"/>
          <w:highlight w:val="none"/>
          <w:lang w:val="en-US" w:eastAsia="zh-CN"/>
        </w:rPr>
        <w:t>流域环境现状</w:t>
      </w:r>
    </w:p>
    <w:p w14:paraId="7F0FCCAB">
      <w:pPr>
        <w:numPr>
          <w:ilvl w:val="0"/>
          <w:numId w:val="69"/>
        </w:numPr>
        <w:bidi w:val="0"/>
        <w:rPr>
          <w:rFonts w:hint="default"/>
          <w:highlight w:val="none"/>
          <w:lang w:val="en-US" w:eastAsia="zh-CN"/>
        </w:rPr>
      </w:pPr>
      <w:r>
        <w:rPr>
          <w:rFonts w:hint="default"/>
          <w:highlight w:val="none"/>
          <w:lang w:val="en-US" w:eastAsia="zh-CN"/>
        </w:rPr>
        <w:t>水环境质量</w:t>
      </w:r>
    </w:p>
    <w:p w14:paraId="3580E536">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冷龙沟现状水质为</w:t>
      </w:r>
      <w:r>
        <w:rPr>
          <w:rFonts w:hint="eastAsia" w:ascii="Times New Roman" w:hAnsi="Times New Roman" w:cs="Times New Roman"/>
          <w:highlight w:val="none"/>
          <w:lang w:val="en-US" w:eastAsia="zh-CN"/>
        </w:rPr>
        <w:t>Ⅱ</w:t>
      </w:r>
      <w:r>
        <w:rPr>
          <w:rFonts w:hint="default" w:ascii="Times New Roman" w:hAnsi="Times New Roman" w:cs="Times New Roman"/>
          <w:highlight w:val="none"/>
          <w:lang w:val="en-US" w:eastAsia="zh-CN"/>
        </w:rPr>
        <w:t>类，监测断面各污染物指标基本符合GB3838-2002中</w:t>
      </w:r>
      <w:r>
        <w:rPr>
          <w:rFonts w:hint="eastAsia" w:ascii="Times New Roman" w:hAnsi="Times New Roman" w:cs="Times New Roman"/>
          <w:highlight w:val="none"/>
          <w:lang w:val="en-US" w:eastAsia="zh-CN"/>
        </w:rPr>
        <w:t>Ⅱ</w:t>
      </w:r>
      <w:r>
        <w:rPr>
          <w:rFonts w:hint="default" w:ascii="Times New Roman" w:hAnsi="Times New Roman" w:cs="Times New Roman"/>
          <w:highlight w:val="none"/>
          <w:lang w:val="en-US" w:eastAsia="zh-CN"/>
        </w:rPr>
        <w:t>类水质要求。近三年乡城县集中式饮用水水质指标除（总氮不参评外）一直稳定较稳定达到《地表水环境质量标准》中Ⅱ类标准限值。</w:t>
      </w:r>
    </w:p>
    <w:p w14:paraId="275099AF">
      <w:pPr>
        <w:numPr>
          <w:ilvl w:val="0"/>
          <w:numId w:val="69"/>
        </w:numPr>
        <w:bidi w:val="0"/>
        <w:rPr>
          <w:rFonts w:hint="default"/>
          <w:highlight w:val="none"/>
          <w:lang w:val="en-US" w:eastAsia="zh-CN"/>
        </w:rPr>
      </w:pPr>
      <w:r>
        <w:rPr>
          <w:rFonts w:hint="default"/>
          <w:highlight w:val="none"/>
          <w:lang w:val="en-US" w:eastAsia="zh-CN"/>
        </w:rPr>
        <w:t>流域水生态状况</w:t>
      </w:r>
    </w:p>
    <w:p w14:paraId="54559EEC">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水生生态调查，根据种类组成、种群数量、优势种以及指示生物等的综合分析，认为目前流域水系基本未受到污染，水质较良好。通过现场采集鱼类标本和走访，冷龙沟流域内未发现重点保护鱼类，纳入规划的流域均未见重要野生水生物种集中的产卵场、索饵场和越冬场分布，无水产种质资源保护区。</w:t>
      </w:r>
    </w:p>
    <w:p w14:paraId="7B7412AB">
      <w:pPr>
        <w:numPr>
          <w:ilvl w:val="0"/>
          <w:numId w:val="69"/>
        </w:numPr>
        <w:bidi w:val="0"/>
        <w:rPr>
          <w:rFonts w:hint="default"/>
          <w:highlight w:val="none"/>
          <w:lang w:val="en-US" w:eastAsia="zh-CN"/>
        </w:rPr>
      </w:pPr>
      <w:r>
        <w:rPr>
          <w:rFonts w:hint="default"/>
          <w:highlight w:val="none"/>
          <w:lang w:val="en-US" w:eastAsia="zh-CN"/>
        </w:rPr>
        <w:t>流域陆生生态环境状况</w:t>
      </w:r>
    </w:p>
    <w:p w14:paraId="7F361E52">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流域范围内陆生生态系统主要包括森林、灌丛、草丛、农业植被。流域范围内根据现场调查，初步确认评估评价区共有维管植物 34 科 86 属 137 种。评价范围发现有国家重点保护野生植物、红色名录物种，均位于非淹没区和施工计划线路，但未发现古树名木。</w:t>
      </w:r>
    </w:p>
    <w:p w14:paraId="68E4AC1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通过野外调查并整理相关文献资料得知，在评价区内分布有脊椎动物陆生脊椎动物有 4 纲 24 目 74 科 162 种；其中两栖类 2 目 5 科 7 种，爬行类 1目 7 科 8 种，鸟类 16 目 46 科 117 种，哺乳类 6 目 16 科 30 种。现场调查发现和查找历史记录发现有国家二级保护动物 9 种，包括稻城山溪鲵、普通鵟、眼纹噪鹛、猕猴、中华鬣羚、狼、毛冠鹿、白马鸡；四川省省级保护动物 7 种。调查区域内记录到列入《中国生物多样性红色名录》“极危”级别的物种 4 种，“濒危”级 别的物种2 种，“易危”级别的物种 12 种，“近危”级别的物种 27 种，中国特有 种 28 种。</w:t>
      </w:r>
    </w:p>
    <w:p w14:paraId="7D6EADDD">
      <w:pPr>
        <w:pStyle w:val="4"/>
        <w:bidi w:val="0"/>
        <w:rPr>
          <w:rFonts w:hint="default"/>
          <w:highlight w:val="none"/>
          <w:lang w:val="en-US" w:eastAsia="zh-CN"/>
        </w:rPr>
      </w:pPr>
      <w:r>
        <w:rPr>
          <w:rFonts w:hint="default"/>
          <w:highlight w:val="none"/>
          <w:lang w:val="en-US" w:eastAsia="zh-CN"/>
        </w:rPr>
        <w:t>环境敏感区</w:t>
      </w:r>
    </w:p>
    <w:p w14:paraId="503794F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根据现状调查及评价结果，冷龙沟流域规划范围不涉及国家公园、自然保护区、自然公园、世界自然遗产、水产种质资源保护区等生态敏感区。流域规划涉及</w:t>
      </w:r>
      <w:r>
        <w:rPr>
          <w:rFonts w:hint="eastAsia" w:cs="Times New Roman"/>
          <w:highlight w:val="none"/>
          <w:lang w:val="en-US" w:eastAsia="zh-CN"/>
        </w:rPr>
        <w:t>乡城县冷龙沟冷龙村饮用水水源保护区，</w:t>
      </w:r>
      <w:r>
        <w:rPr>
          <w:rFonts w:hint="eastAsia"/>
          <w:highlight w:val="none"/>
          <w:lang w:val="en-US" w:eastAsia="zh-CN"/>
        </w:rPr>
        <w:t>本规划涉及的水资源开发利用工程不属于生态保护红线其他区域中10类有限人为活动，</w:t>
      </w:r>
      <w:r>
        <w:rPr>
          <w:rFonts w:hint="default"/>
          <w:highlight w:val="none"/>
          <w:lang w:val="en-US" w:eastAsia="zh-CN"/>
        </w:rPr>
        <w:t>本次规划与生态保护红线要求基本符合。</w:t>
      </w:r>
    </w:p>
    <w:p w14:paraId="0DF9FB7D">
      <w:pPr>
        <w:pStyle w:val="4"/>
        <w:bidi w:val="0"/>
        <w:rPr>
          <w:rFonts w:hint="default"/>
          <w:highlight w:val="none"/>
          <w:lang w:val="en-US" w:eastAsia="zh-CN"/>
        </w:rPr>
      </w:pPr>
      <w:r>
        <w:rPr>
          <w:rFonts w:hint="default"/>
          <w:highlight w:val="none"/>
          <w:lang w:val="en-US" w:eastAsia="zh-CN"/>
        </w:rPr>
        <w:t>流域开发现状环境影响回顾</w:t>
      </w:r>
    </w:p>
    <w:p w14:paraId="51B8846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冷龙沟流域水资源总量</w:t>
      </w:r>
      <w:r>
        <w:rPr>
          <w:rFonts w:hint="eastAsia" w:cs="Times New Roman"/>
          <w:highlight w:val="none"/>
          <w:lang w:val="en-US" w:eastAsia="zh-CN"/>
        </w:rPr>
        <w:t>1280</w:t>
      </w: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。截止2023年底，仅涉及城乡供水工程1处，供应人口1万人，设计供水规模255万吨/年，实际供水62.05万吨/年。不涉及工农业取水。经计算，冷龙沟现状水资源开发利用率为</w:t>
      </w:r>
      <w:r>
        <w:rPr>
          <w:rFonts w:hint="eastAsia" w:cs="Times New Roman"/>
          <w:highlight w:val="none"/>
          <w:lang w:val="en-US" w:eastAsia="zh-CN"/>
        </w:rPr>
        <w:t>4.85</w:t>
      </w:r>
      <w:r>
        <w:rPr>
          <w:rFonts w:hint="default" w:ascii="Times New Roman" w:hAnsi="Times New Roman" w:cs="Times New Roman"/>
          <w:highlight w:val="none"/>
          <w:lang w:val="en-US" w:eastAsia="zh-CN"/>
        </w:rPr>
        <w:t>%。</w:t>
      </w:r>
    </w:p>
    <w:p w14:paraId="0B6FB98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冷龙沟流域目前无在建工程，根据地表水水质监测</w:t>
      </w:r>
      <w:r>
        <w:rPr>
          <w:rFonts w:hint="eastAsia" w:cs="Times New Roman"/>
          <w:highlight w:val="none"/>
          <w:lang w:val="en-US" w:eastAsia="zh-CN"/>
        </w:rPr>
        <w:t>及补充监测</w:t>
      </w:r>
      <w:r>
        <w:rPr>
          <w:rFonts w:hint="default" w:ascii="Times New Roman" w:hAnsi="Times New Roman" w:cs="Times New Roman"/>
          <w:highlight w:val="none"/>
          <w:lang w:val="en-US" w:eastAsia="zh-CN"/>
        </w:rPr>
        <w:t>成果，冷龙沟水质基本可达到Ⅱ类标准，水质良好。</w:t>
      </w:r>
    </w:p>
    <w:p w14:paraId="6DC8615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截止2023年年底，冷龙沟流域河岸基本为自然河岸，无防洪河道整治及防洪措施施行。仅有一处城市取水水源地用于取水。据调查，供水厂取水导致下游河段水量减小。根据调查，目前河道未产生脱水河段，对水生生物影响较小。整体上对影响区植物物种、植物区系和资源植物的影响有限，没有导致物种的消失和植物区系的变化。</w:t>
      </w:r>
    </w:p>
    <w:p w14:paraId="5C88CB4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但冷龙沟流域水土保持工作起步晚。因地形地貌、降水等原因水土流失存在，再加上大部分耕地山高坡陡，位于山腰，且绝大多数农民还是采用顺坡耕作方式加剧了水土流失。地方目前水土流失防治水平不高，水土保持工作与资金投入有待进一步加强。</w:t>
      </w:r>
    </w:p>
    <w:p w14:paraId="5A07B18E">
      <w:pPr>
        <w:pStyle w:val="4"/>
        <w:bidi w:val="0"/>
        <w:rPr>
          <w:rFonts w:hint="default"/>
          <w:highlight w:val="none"/>
          <w:lang w:val="en-US" w:eastAsia="zh-CN"/>
        </w:rPr>
      </w:pPr>
      <w:r>
        <w:rPr>
          <w:rFonts w:hint="default"/>
          <w:highlight w:val="none"/>
          <w:lang w:val="en-US" w:eastAsia="zh-CN"/>
        </w:rPr>
        <w:t>存在的主要环境问题及环境制约因素</w:t>
      </w:r>
    </w:p>
    <w:p w14:paraId="5B168610">
      <w:pPr>
        <w:pStyle w:val="5"/>
        <w:bidi w:val="0"/>
        <w:rPr>
          <w:rFonts w:hint="default"/>
          <w:highlight w:val="none"/>
          <w:lang w:val="en-US" w:eastAsia="zh-CN"/>
        </w:rPr>
      </w:pPr>
      <w:r>
        <w:rPr>
          <w:rFonts w:hint="default"/>
          <w:highlight w:val="none"/>
          <w:lang w:val="en-US" w:eastAsia="zh-CN"/>
        </w:rPr>
        <w:t>面临的主要环境问题</w:t>
      </w:r>
    </w:p>
    <w:p w14:paraId="15234BBF">
      <w:pPr>
        <w:bidi w:val="0"/>
        <w:rPr>
          <w:rFonts w:hint="eastAsia"/>
          <w:highlight w:val="none"/>
          <w:lang w:val="en-US" w:eastAsia="zh-CN"/>
        </w:rPr>
      </w:pPr>
      <w:r>
        <w:rPr>
          <w:rFonts w:hint="eastAsia"/>
          <w:highlight w:val="none"/>
          <w:lang w:val="en-US" w:eastAsia="zh-CN"/>
        </w:rPr>
        <w:t>（1）城市供水保障问题突出。</w:t>
      </w:r>
    </w:p>
    <w:p w14:paraId="370642E9">
      <w:pPr>
        <w:rPr>
          <w:rFonts w:hint="default"/>
          <w:highlight w:val="none"/>
          <w:lang w:val="en-US" w:eastAsia="zh-CN"/>
        </w:rPr>
      </w:pPr>
      <w:r>
        <w:rPr>
          <w:rFonts w:hint="default"/>
          <w:highlight w:val="none"/>
          <w:lang w:val="en-US" w:eastAsia="zh-CN"/>
        </w:rPr>
        <w:t>冷龙沟是乡城县县城香巴拉镇饮用水源地，且为单一供水水源。流域水量年际变化较大，取水保障程度不高，季节性缺水严重。供水安全风险较高，不仅危及到经济社会的可持续发展，更使得人民群众的身体健康与生命安全受到威胁，甚至导致社会不稳定。随着经济社会发展对水资源需求提高，供需矛盾越发突出，急需综合规划工程项目缓解供需矛盾。</w:t>
      </w:r>
    </w:p>
    <w:p w14:paraId="7BD85267">
      <w:pPr>
        <w:bidi w:val="0"/>
        <w:rPr>
          <w:rFonts w:hint="eastAsia"/>
          <w:highlight w:val="none"/>
          <w:lang w:val="en-US" w:eastAsia="zh-CN"/>
        </w:rPr>
      </w:pPr>
      <w:r>
        <w:rPr>
          <w:rFonts w:hint="eastAsia"/>
          <w:highlight w:val="none"/>
          <w:lang w:val="en-US" w:eastAsia="zh-CN"/>
        </w:rPr>
        <w:t>（2）防洪体系尚不健全。</w:t>
      </w:r>
    </w:p>
    <w:p w14:paraId="3A5645B0">
      <w:pPr>
        <w:rPr>
          <w:rFonts w:hint="default"/>
          <w:highlight w:val="none"/>
          <w:lang w:val="en-US" w:eastAsia="zh-CN"/>
        </w:rPr>
      </w:pPr>
      <w:r>
        <w:rPr>
          <w:rFonts w:hint="default"/>
          <w:highlight w:val="none"/>
          <w:lang w:val="en-US" w:eastAsia="zh-CN"/>
        </w:rPr>
        <w:t>冷龙沟流域水量小，未发生洪灾等事故。但河段下游因非法挖山采石及周边项目施工等，下游河段善淤多变，水流散乱，主流摆动不定，对河道滩地及堤防冲刷威胁较大，当地居民生产、生产生活及财产安全受到了一定程度的威胁。由于流域海拔较高、地广人稀少，但下游仍分布有村庄及耕地，而乡城县对下游几乎无防洪投入，而冷龙沟流域内尚无大型水库等控制性水利枢纽工程，控制流域面积较小，两岸村庄和农田缺乏有效保障。流域整体防洪标准较低，防洪形势十分严峻。</w:t>
      </w:r>
    </w:p>
    <w:p w14:paraId="0849410A">
      <w:pPr>
        <w:bidi w:val="0"/>
        <w:rPr>
          <w:rFonts w:hint="eastAsia"/>
          <w:highlight w:val="none"/>
          <w:lang w:val="en-US" w:eastAsia="zh-CN"/>
        </w:rPr>
      </w:pPr>
      <w:r>
        <w:rPr>
          <w:rFonts w:hint="eastAsia"/>
          <w:highlight w:val="none"/>
          <w:lang w:val="en-US" w:eastAsia="zh-CN"/>
        </w:rPr>
        <w:t>（3）水土流失影响。</w:t>
      </w:r>
    </w:p>
    <w:p w14:paraId="4D355304">
      <w:pPr>
        <w:rPr>
          <w:rFonts w:hint="eastAsia"/>
          <w:highlight w:val="none"/>
          <w:lang w:val="en-US" w:eastAsia="zh-CN"/>
        </w:rPr>
      </w:pPr>
      <w:r>
        <w:rPr>
          <w:rFonts w:hint="default"/>
          <w:highlight w:val="none"/>
          <w:lang w:val="en-US" w:eastAsia="zh-CN"/>
        </w:rPr>
        <w:t>乡城县位于青藏高原区，高原季风气候十分显著，降雨年内分布不均，</w:t>
      </w:r>
      <w:r>
        <w:rPr>
          <w:rFonts w:hint="eastAsia"/>
          <w:highlight w:val="none"/>
          <w:lang w:val="en-US" w:eastAsia="zh-CN"/>
        </w:rPr>
        <w:t>再加上坡度、土壤质地、植被类型等因素，</w:t>
      </w:r>
      <w:r>
        <w:rPr>
          <w:rFonts w:hint="default"/>
          <w:highlight w:val="none"/>
          <w:lang w:val="en-US" w:eastAsia="zh-CN"/>
        </w:rPr>
        <w:t>容易产生水力侵蚀引发的水土流失</w:t>
      </w:r>
      <w:r>
        <w:rPr>
          <w:rFonts w:hint="eastAsia"/>
          <w:highlight w:val="none"/>
          <w:lang w:val="en-US" w:eastAsia="zh-CN"/>
        </w:rPr>
        <w:t>。本次流域内存在基础设施建设造成地表破坏现象，造成土壤表土流失，植被恢复缓慢，地力衰退，土地的保土蓄水能力下降，造成一定程度的水土流失及环境影响。</w:t>
      </w:r>
    </w:p>
    <w:p w14:paraId="4694A0A2">
      <w:pPr>
        <w:bidi w:val="0"/>
        <w:rPr>
          <w:rFonts w:hint="eastAsia"/>
          <w:highlight w:val="none"/>
          <w:lang w:val="en-US" w:eastAsia="zh-CN"/>
        </w:rPr>
      </w:pPr>
      <w:r>
        <w:rPr>
          <w:rFonts w:hint="eastAsia"/>
          <w:highlight w:val="none"/>
          <w:lang w:val="en-US" w:eastAsia="zh-CN"/>
        </w:rPr>
        <w:t>（4）局部生态环境脆弱</w:t>
      </w:r>
    </w:p>
    <w:p w14:paraId="3AF12B3C">
      <w:pPr>
        <w:numPr>
          <w:ilvl w:val="0"/>
          <w:numId w:val="0"/>
        </w:numPr>
        <w:ind w:firstLine="480" w:firstLineChars="200"/>
        <w:rPr>
          <w:rFonts w:hint="default" w:ascii="Times New Roman" w:hAnsi="Times New Roman" w:cs="Times New Roman"/>
          <w:highlight w:val="none"/>
          <w:lang w:val="en-US" w:eastAsia="zh-CN"/>
        </w:rPr>
      </w:pPr>
      <w:r>
        <w:rPr>
          <w:rFonts w:hint="default"/>
          <w:highlight w:val="none"/>
          <w:lang w:val="en-US" w:eastAsia="zh-CN"/>
        </w:rPr>
        <w:t>流域上游，植被及生态环境质量较好。在流域中下游，流域河谷地区受人为影响明显，以人工植被为主，种群简单、分布稀疏，生态系统自我调节和恢复能力较弱，受开发建设活动及农业活动影响，部分区域生态环境较为脆弱。</w:t>
      </w:r>
    </w:p>
    <w:p w14:paraId="543756B4">
      <w:pPr>
        <w:pStyle w:val="5"/>
        <w:bidi w:val="0"/>
        <w:rPr>
          <w:rFonts w:hint="default"/>
          <w:highlight w:val="none"/>
          <w:lang w:val="en-US" w:eastAsia="zh-CN"/>
        </w:rPr>
      </w:pPr>
      <w:r>
        <w:rPr>
          <w:rFonts w:hint="default"/>
          <w:highlight w:val="none"/>
          <w:lang w:val="en-US" w:eastAsia="zh-CN"/>
        </w:rPr>
        <w:t>制约因素分析</w:t>
      </w:r>
    </w:p>
    <w:p w14:paraId="4BDDB54B">
      <w:pPr>
        <w:numPr>
          <w:ilvl w:val="0"/>
          <w:numId w:val="70"/>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流域水资源量小，</w:t>
      </w:r>
      <w:r>
        <w:rPr>
          <w:rFonts w:hint="eastAsia" w:cs="Times New Roman"/>
          <w:highlight w:val="none"/>
          <w:lang w:val="en-US" w:eastAsia="zh-CN"/>
        </w:rPr>
        <w:t>流域水资源体调蓄工程的建设对下游水生态存在一定影响，但</w:t>
      </w:r>
      <w:r>
        <w:rPr>
          <w:rFonts w:hint="default" w:ascii="Times New Roman" w:hAnsi="Times New Roman" w:cs="Times New Roman"/>
          <w:highlight w:val="none"/>
          <w:lang w:val="en-US" w:eastAsia="zh-CN"/>
        </w:rPr>
        <w:t>资源制约因素</w:t>
      </w:r>
      <w:r>
        <w:rPr>
          <w:rFonts w:hint="eastAsia" w:cs="Times New Roman"/>
          <w:highlight w:val="none"/>
          <w:lang w:val="en-US" w:eastAsia="zh-CN"/>
        </w:rPr>
        <w:t>影响不大</w:t>
      </w:r>
      <w:r>
        <w:rPr>
          <w:rFonts w:hint="default" w:ascii="Times New Roman" w:hAnsi="Times New Roman" w:cs="Times New Roman"/>
          <w:highlight w:val="none"/>
          <w:lang w:val="en-US" w:eastAsia="zh-CN"/>
        </w:rPr>
        <w:t>。</w:t>
      </w:r>
    </w:p>
    <w:p w14:paraId="30AD936E">
      <w:pPr>
        <w:numPr>
          <w:ilvl w:val="0"/>
          <w:numId w:val="70"/>
        </w:num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现状调查及评价结果，冷龙沟规划范围不涉及国家公园、自然保护区、自然公园、世界自然遗产、水产种质资源保护区等生态敏感区，但涉及一处县城饮用水水源地，在规划项目实施过程中需要加强饮用水源保护及饮用水源水量水质保障。因此，本次流域规划</w:t>
      </w:r>
      <w:r>
        <w:rPr>
          <w:rFonts w:hint="eastAsia" w:cs="Times New Roman"/>
          <w:highlight w:val="none"/>
          <w:lang w:val="en-US" w:eastAsia="zh-CN"/>
        </w:rPr>
        <w:t>存在一定的环境</w:t>
      </w:r>
      <w:r>
        <w:rPr>
          <w:rFonts w:hint="default" w:ascii="Times New Roman" w:hAnsi="Times New Roman" w:cs="Times New Roman"/>
          <w:highlight w:val="none"/>
          <w:lang w:val="en-US" w:eastAsia="zh-CN"/>
        </w:rPr>
        <w:t>制约因素。</w:t>
      </w:r>
    </w:p>
    <w:p w14:paraId="7ED305CE">
      <w:pPr>
        <w:pStyle w:val="3"/>
        <w:bidi w:val="0"/>
        <w:rPr>
          <w:rFonts w:hint="default"/>
          <w:highlight w:val="none"/>
          <w:lang w:val="en-US" w:eastAsia="zh-CN"/>
        </w:rPr>
      </w:pPr>
      <w:bookmarkStart w:id="101" w:name="_Toc9481"/>
      <w:r>
        <w:rPr>
          <w:rFonts w:hint="default"/>
          <w:highlight w:val="none"/>
          <w:lang w:val="en-US" w:eastAsia="zh-CN"/>
        </w:rPr>
        <w:t>规划实施环境影响预测与评价</w:t>
      </w:r>
      <w:bookmarkEnd w:id="101"/>
    </w:p>
    <w:p w14:paraId="6DB82608">
      <w:pPr>
        <w:pStyle w:val="4"/>
        <w:bidi w:val="0"/>
        <w:rPr>
          <w:rFonts w:hint="default"/>
          <w:highlight w:val="none"/>
          <w:lang w:val="en-US" w:eastAsia="zh-CN"/>
        </w:rPr>
      </w:pPr>
      <w:r>
        <w:rPr>
          <w:rFonts w:hint="default"/>
          <w:highlight w:val="none"/>
          <w:lang w:val="en-US" w:eastAsia="zh-CN"/>
        </w:rPr>
        <w:t>水文水资源影响预测</w:t>
      </w:r>
    </w:p>
    <w:p w14:paraId="00F9E7E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冷龙沟流域面积小，幅员面积51.88km²，全流域面积79.0km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vertAlign w:val="baseline"/>
          <w:lang w:val="en-US" w:eastAsia="zh-CN"/>
        </w:rPr>
        <w:t>，</w:t>
      </w:r>
      <w:r>
        <w:rPr>
          <w:rFonts w:hint="default" w:ascii="Times New Roman" w:hAnsi="Times New Roman" w:cs="Times New Roman"/>
          <w:highlight w:val="none"/>
          <w:lang w:val="en-US" w:eastAsia="zh-CN"/>
        </w:rPr>
        <w:t>河长18.2km，属于小型河流。冷龙沟流域多年平均水资源总量1280万m³。目前流域范围内仅有县城饮用水水源地一处，现状年均供水量约供水量为62.05万m³/年，现状水资源开发利用率</w:t>
      </w:r>
      <w:r>
        <w:rPr>
          <w:rFonts w:hint="eastAsia" w:cs="Times New Roman"/>
          <w:highlight w:val="none"/>
          <w:lang w:val="en-US" w:eastAsia="zh-CN"/>
        </w:rPr>
        <w:t>4.85</w:t>
      </w:r>
      <w:r>
        <w:rPr>
          <w:rFonts w:hint="default" w:ascii="Times New Roman" w:hAnsi="Times New Roman" w:cs="Times New Roman"/>
          <w:highlight w:val="none"/>
          <w:lang w:val="en-US" w:eastAsia="zh-CN"/>
        </w:rPr>
        <w:t>%。</w:t>
      </w:r>
    </w:p>
    <w:p w14:paraId="527FA7FC">
      <w:pPr>
        <w:rPr>
          <w:rFonts w:hint="eastAsia" w:cs="Times New Roman"/>
          <w:highlight w:val="none"/>
          <w:lang w:val="en-US" w:eastAsia="zh-CN"/>
        </w:rPr>
      </w:pPr>
      <w:r>
        <w:rPr>
          <w:rFonts w:hint="default" w:ascii="Times New Roman" w:hAnsi="Times New Roman" w:cs="Times New Roman"/>
          <w:highlight w:val="none"/>
          <w:lang w:val="en-US" w:eastAsia="zh-CN"/>
        </w:rPr>
        <w:t>至2025年，尼色拥水库建成</w:t>
      </w:r>
      <w:r>
        <w:rPr>
          <w:rFonts w:hint="eastAsia" w:cs="Times New Roman"/>
          <w:highlight w:val="none"/>
          <w:lang w:val="en-US" w:eastAsia="zh-CN"/>
        </w:rPr>
        <w:t>开始蓄水，初期万</w:t>
      </w:r>
      <w:r>
        <w:rPr>
          <w:rFonts w:hint="default" w:ascii="Times New Roman" w:hAnsi="Times New Roman" w:cs="Times New Roman"/>
          <w:highlight w:val="none"/>
          <w:lang w:val="en-US" w:eastAsia="zh-CN"/>
        </w:rPr>
        <w:t>62.05</w:t>
      </w:r>
      <w:r>
        <w:rPr>
          <w:rFonts w:hint="eastAsia" w:cs="Times New Roman"/>
          <w:highlight w:val="none"/>
          <w:lang w:val="en-US" w:eastAsia="zh-CN"/>
        </w:rPr>
        <w:t>万m³，流域水资源开发利用率4.85%。</w:t>
      </w:r>
    </w:p>
    <w:p w14:paraId="25548795">
      <w:pPr>
        <w:ind w:left="0" w:leftChars="0" w:firstLine="480" w:firstLineChars="200"/>
        <w:rPr>
          <w:rFonts w:hint="eastAsia" w:cs="Times New Roman"/>
          <w:highlight w:val="none"/>
          <w:vertAlign w:val="baseline"/>
          <w:lang w:val="en-US" w:eastAsia="zh-CN"/>
        </w:rPr>
      </w:pPr>
      <w:r>
        <w:rPr>
          <w:rFonts w:hint="eastAsia" w:cs="Times New Roman"/>
          <w:highlight w:val="none"/>
          <w:vertAlign w:val="baseline"/>
          <w:lang w:val="en-US" w:eastAsia="zh-CN"/>
        </w:rPr>
        <w:t>到2030年，</w:t>
      </w:r>
      <w:r>
        <w:rPr>
          <w:rFonts w:hint="default" w:ascii="Times New Roman" w:hAnsi="Times New Roman" w:cs="Times New Roman"/>
          <w:highlight w:val="none"/>
          <w:lang w:val="en-US" w:eastAsia="zh-CN"/>
        </w:rPr>
        <w:t>水库总库容142.52</w:t>
      </w:r>
      <w:r>
        <w:rPr>
          <w:rFonts w:hint="default" w:ascii="Times New Roman" w:hAnsi="Times New Roman" w:cs="Times New Roman"/>
          <w:color w:val="000000" w:themeColor="text1"/>
          <w:sz w:val="24"/>
          <w:highlight w:val="none"/>
          <w14:textFill>
            <w14:solidFill>
              <w14:schemeClr w14:val="tx1"/>
            </w14:solidFill>
          </w14:textFill>
        </w:rPr>
        <w:t>万m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highlight w:val="none"/>
          <w:vertAlign w:val="baseline"/>
          <w:lang w:val="en-US" w:eastAsia="zh-CN"/>
          <w14:textFill>
            <w14:solidFill>
              <w14:schemeClr w14:val="tx1"/>
            </w14:solidFill>
          </w14:textFill>
        </w:rPr>
        <w:t>预计年供水量约</w:t>
      </w:r>
      <w:r>
        <w:rPr>
          <w:rFonts w:hint="eastAsia" w:cs="Times New Roman"/>
          <w:highlight w:val="none"/>
          <w:lang w:val="en-US" w:eastAsia="zh-CN"/>
        </w:rPr>
        <w:t>298.74</w:t>
      </w:r>
      <w:r>
        <w:rPr>
          <w:rFonts w:hint="default" w:ascii="Times New Roman" w:hAnsi="Times New Roman" w:cs="Times New Roman"/>
          <w:highlight w:val="none"/>
        </w:rPr>
        <w:t>万m</w:t>
      </w:r>
      <w:r>
        <w:rPr>
          <w:rFonts w:hint="default" w:ascii="Times New Roman" w:hAnsi="Times New Roman" w:cs="Times New Roman"/>
          <w:highlight w:val="none"/>
          <w:vertAlign w:val="superscript"/>
        </w:rPr>
        <w:t>3</w:t>
      </w:r>
      <w:r>
        <w:rPr>
          <w:rFonts w:hint="default" w:ascii="Times New Roman" w:hAnsi="Times New Roman" w:cs="Times New Roman"/>
          <w:highlight w:val="none"/>
          <w:vertAlign w:val="baseline"/>
          <w:lang w:eastAsia="zh-CN"/>
        </w:rPr>
        <w:t>，</w:t>
      </w:r>
      <w:r>
        <w:rPr>
          <w:rFonts w:hint="default" w:ascii="Times New Roman" w:hAnsi="Times New Roman" w:cs="Times New Roman"/>
          <w:highlight w:val="none"/>
          <w:vertAlign w:val="baseline"/>
          <w:lang w:val="en-US" w:eastAsia="zh-CN"/>
        </w:rPr>
        <w:t>其中农业灌溉需水</w:t>
      </w:r>
      <w:r>
        <w:rPr>
          <w:rFonts w:hint="default" w:ascii="Times New Roman" w:hAnsi="Times New Roman" w:cs="Times New Roman"/>
          <w:highlight w:val="none"/>
        </w:rPr>
        <w:t>107.44万m</w:t>
      </w:r>
      <w:r>
        <w:rPr>
          <w:rFonts w:hint="default" w:ascii="Times New Roman" w:hAnsi="Times New Roman" w:cs="Times New Roman"/>
          <w:highlight w:val="none"/>
          <w:vertAlign w:val="superscript"/>
        </w:rPr>
        <w:t>3</w:t>
      </w:r>
      <w:r>
        <w:rPr>
          <w:rFonts w:hint="default" w:ascii="Times New Roman" w:hAnsi="Times New Roman" w:cs="Times New Roman"/>
          <w:highlight w:val="none"/>
          <w:lang w:eastAsia="zh-CN"/>
        </w:rPr>
        <w:t>，</w:t>
      </w:r>
      <w:r>
        <w:rPr>
          <w:rFonts w:hint="default" w:ascii="Times New Roman" w:hAnsi="Times New Roman" w:cs="Times New Roman"/>
          <w:highlight w:val="none"/>
        </w:rPr>
        <w:t>城乡需水</w:t>
      </w:r>
      <w:r>
        <w:rPr>
          <w:rFonts w:hint="default" w:ascii="Times New Roman" w:hAnsi="Times New Roman" w:cs="Times New Roman"/>
          <w:highlight w:val="none"/>
          <w:lang w:val="en-US" w:eastAsia="zh-CN"/>
        </w:rPr>
        <w:t>163.44</w:t>
      </w:r>
      <w:r>
        <w:rPr>
          <w:rFonts w:hint="default" w:ascii="Times New Roman" w:hAnsi="Times New Roman" w:cs="Times New Roman"/>
          <w:highlight w:val="none"/>
        </w:rPr>
        <w:t>万m</w:t>
      </w:r>
      <w:r>
        <w:rPr>
          <w:rFonts w:hint="default" w:ascii="Times New Roman" w:hAnsi="Times New Roman" w:cs="Times New Roman"/>
          <w:highlight w:val="none"/>
          <w:vertAlign w:val="superscript"/>
        </w:rPr>
        <w:t>3</w:t>
      </w:r>
      <w:r>
        <w:rPr>
          <w:rFonts w:hint="eastAsia" w:cs="Times New Roman"/>
          <w:highlight w:val="none"/>
          <w:vertAlign w:val="baseline"/>
          <w:lang w:eastAsia="zh-CN"/>
        </w:rPr>
        <w:t>，</w:t>
      </w:r>
      <w:r>
        <w:rPr>
          <w:rFonts w:hint="eastAsia" w:cs="Times New Roman"/>
          <w:highlight w:val="none"/>
          <w:vertAlign w:val="baseline"/>
          <w:lang w:val="en-US" w:eastAsia="zh-CN"/>
        </w:rPr>
        <w:t>不可预见需水36.93</w:t>
      </w:r>
      <w:r>
        <w:rPr>
          <w:rFonts w:hint="default" w:ascii="Times New Roman" w:hAnsi="Times New Roman" w:cs="Times New Roman"/>
          <w:highlight w:val="none"/>
        </w:rPr>
        <w:t>万m</w:t>
      </w:r>
      <w:r>
        <w:rPr>
          <w:rFonts w:hint="default" w:ascii="Times New Roman" w:hAnsi="Times New Roman" w:cs="Times New Roman"/>
          <w:highlight w:val="none"/>
          <w:vertAlign w:val="superscript"/>
        </w:rPr>
        <w:t>3</w:t>
      </w:r>
      <w:r>
        <w:rPr>
          <w:rFonts w:hint="default" w:ascii="Times New Roman" w:hAnsi="Times New Roman" w:cs="Times New Roman"/>
          <w:highlight w:val="none"/>
          <w:vertAlign w:val="baseline"/>
          <w:lang w:eastAsia="zh-CN"/>
        </w:rPr>
        <w:t>。</w:t>
      </w:r>
      <w:r>
        <w:rPr>
          <w:rFonts w:hint="default" w:ascii="Times New Roman" w:hAnsi="Times New Roman" w:cs="Times New Roman"/>
          <w:highlight w:val="none"/>
          <w:vertAlign w:val="baseline"/>
          <w:lang w:val="en-US" w:eastAsia="zh-CN"/>
        </w:rPr>
        <w:t>相应的水资源开发利用率为2</w:t>
      </w:r>
      <w:r>
        <w:rPr>
          <w:rFonts w:hint="eastAsia" w:cs="Times New Roman"/>
          <w:highlight w:val="none"/>
          <w:vertAlign w:val="baseline"/>
          <w:lang w:val="en-US" w:eastAsia="zh-CN"/>
        </w:rPr>
        <w:t>3</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34</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，低于国际上40%的警戒线。</w:t>
      </w:r>
    </w:p>
    <w:p w14:paraId="10AC89DE">
      <w:pPr>
        <w:ind w:left="0" w:leftChars="0" w:firstLine="480" w:firstLineChars="200"/>
        <w:rPr>
          <w:rFonts w:hint="eastAsia" w:cs="Times New Roman"/>
          <w:highlight w:val="none"/>
          <w:vertAlign w:val="baseline"/>
          <w:lang w:val="en-US" w:eastAsia="zh-CN"/>
        </w:rPr>
      </w:pPr>
      <w:r>
        <w:rPr>
          <w:rFonts w:hint="eastAsia" w:cs="Times New Roman"/>
          <w:highlight w:val="none"/>
          <w:vertAlign w:val="baseline"/>
          <w:lang w:val="en-US" w:eastAsia="zh-CN"/>
        </w:rPr>
        <w:t>到2035年，</w:t>
      </w:r>
      <w:r>
        <w:rPr>
          <w:rFonts w:hint="default" w:ascii="Times New Roman" w:hAnsi="Times New Roman" w:cs="Times New Roman"/>
          <w:highlight w:val="none"/>
          <w:lang w:val="en-US" w:eastAsia="zh-CN"/>
        </w:rPr>
        <w:t>规划取水398.63万m</w:t>
      </w:r>
      <w:r>
        <w:rPr>
          <w:rFonts w:hint="default" w:ascii="Times New Roman" w:hAnsi="Times New Roman" w:cs="Times New Roman"/>
          <w:highlight w:val="none"/>
          <w:vertAlign w:val="superscript"/>
          <w:lang w:val="en-US" w:eastAsia="zh-CN"/>
        </w:rPr>
        <w:t>3</w:t>
      </w:r>
      <w:r>
        <w:rPr>
          <w:rFonts w:hint="eastAsia" w:cs="Times New Roman"/>
          <w:highlight w:val="none"/>
          <w:lang w:val="en-US" w:eastAsia="zh-CN"/>
        </w:rPr>
        <w:t>，</w:t>
      </w:r>
      <w:r>
        <w:rPr>
          <w:rFonts w:hint="default" w:ascii="Times New Roman" w:hAnsi="Times New Roman" w:cs="Times New Roman"/>
          <w:highlight w:val="none"/>
          <w:vertAlign w:val="baseline"/>
          <w:lang w:val="en-US" w:eastAsia="zh-CN"/>
        </w:rPr>
        <w:t>相应的水资源开发利用率为</w:t>
      </w:r>
      <w:r>
        <w:rPr>
          <w:rFonts w:hint="eastAsia" w:cs="Times New Roman"/>
          <w:highlight w:val="none"/>
          <w:vertAlign w:val="baseline"/>
          <w:lang w:val="en-US" w:eastAsia="zh-CN"/>
        </w:rPr>
        <w:t>31.14</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，低于国际上40%的警戒线。</w:t>
      </w:r>
    </w:p>
    <w:p w14:paraId="2DC7615B">
      <w:pPr>
        <w:rPr>
          <w:rFonts w:hint="default" w:ascii="Times New Roman" w:hAnsi="Times New Roman" w:cs="Times New Roman"/>
          <w:highlight w:val="none"/>
          <w:vertAlign w:val="baseline"/>
          <w:lang w:val="en-US" w:eastAsia="zh-CN"/>
        </w:rPr>
      </w:pPr>
      <w:r>
        <w:rPr>
          <w:rFonts w:hint="default" w:cs="Times New Roman"/>
          <w:highlight w:val="none"/>
          <w:vertAlign w:val="baseline"/>
          <w:lang w:val="en-US" w:eastAsia="zh-CN"/>
        </w:rPr>
        <w:t>总体来看，在</w:t>
      </w:r>
      <w:r>
        <w:rPr>
          <w:rFonts w:hint="eastAsia" w:cs="Times New Roman"/>
          <w:highlight w:val="none"/>
          <w:vertAlign w:val="baseline"/>
          <w:lang w:val="en-US" w:eastAsia="zh-CN"/>
        </w:rPr>
        <w:t>冷龙沟</w:t>
      </w:r>
      <w:r>
        <w:rPr>
          <w:rFonts w:hint="default" w:cs="Times New Roman"/>
          <w:highlight w:val="none"/>
          <w:vertAlign w:val="baseline"/>
          <w:lang w:val="en-US" w:eastAsia="zh-CN"/>
        </w:rPr>
        <w:t>综合规划逐步实施后，得益于采用节水措施， 流域内用于社会生产生活的耗水量有所降低，随着经济发展，工业用水增加，流域水资源开发利用率</w:t>
      </w:r>
      <w:r>
        <w:rPr>
          <w:rFonts w:hint="eastAsia" w:cs="Times New Roman"/>
          <w:highlight w:val="none"/>
          <w:vertAlign w:val="baseline"/>
          <w:lang w:val="en-US" w:eastAsia="zh-CN"/>
        </w:rPr>
        <w:t>为31.14</w:t>
      </w:r>
      <w:r>
        <w:rPr>
          <w:rFonts w:hint="default" w:cs="Times New Roman"/>
          <w:highlight w:val="none"/>
          <w:vertAlign w:val="baseline"/>
          <w:lang w:val="en-US" w:eastAsia="zh-CN"/>
        </w:rPr>
        <w:t>%，低于国际上40%的警戒线。</w:t>
      </w:r>
    </w:p>
    <w:p w14:paraId="02C97565">
      <w:pPr>
        <w:pStyle w:val="4"/>
        <w:bidi w:val="0"/>
        <w:rPr>
          <w:rFonts w:hint="default"/>
          <w:highlight w:val="none"/>
          <w:lang w:val="en-US" w:eastAsia="zh-CN"/>
        </w:rPr>
      </w:pPr>
      <w:r>
        <w:rPr>
          <w:rFonts w:hint="default"/>
          <w:highlight w:val="none"/>
          <w:lang w:val="en-US" w:eastAsia="zh-CN"/>
        </w:rPr>
        <w:t>水环境影响预测</w:t>
      </w:r>
    </w:p>
    <w:p w14:paraId="1549768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根据现状调查及数据分析，冷龙沟流域范围内不涉及工业企业，上游居民均完成搬迁安置，仅下游涉及农户生活源及畜禽散养源及流域沿线农业面源。流域规划工程的建设不</w:t>
      </w:r>
      <w:r>
        <w:rPr>
          <w:rFonts w:hint="eastAsia" w:cs="Times New Roman"/>
          <w:highlight w:val="none"/>
          <w:lang w:val="en-US" w:eastAsia="zh-CN"/>
        </w:rPr>
        <w:t>涉及</w:t>
      </w:r>
      <w:r>
        <w:rPr>
          <w:rFonts w:hint="default" w:ascii="Times New Roman" w:hAnsi="Times New Roman" w:cs="Times New Roman"/>
          <w:highlight w:val="none"/>
          <w:lang w:val="en-US" w:eastAsia="zh-CN"/>
        </w:rPr>
        <w:t>搬迁</w:t>
      </w:r>
      <w:r>
        <w:rPr>
          <w:rFonts w:hint="eastAsia" w:cs="Times New Roman"/>
          <w:highlight w:val="none"/>
          <w:lang w:val="en-US" w:eastAsia="zh-CN"/>
        </w:rPr>
        <w:t>，</w:t>
      </w:r>
      <w:r>
        <w:rPr>
          <w:rFonts w:hint="default" w:ascii="Times New Roman" w:hAnsi="Times New Roman" w:cs="Times New Roman"/>
          <w:highlight w:val="none"/>
          <w:lang w:val="en-US" w:eastAsia="zh-CN"/>
        </w:rPr>
        <w:t>流域范围内居民生产生活方式基本不发生改变。生活污水入河量，农业面源入河量，畜禽养殖面源入河量基本变动不大。总体来看污染源入河总量呈下降趋势，基本做到了增产不增污，对流域内水质的影响很小。</w:t>
      </w:r>
    </w:p>
    <w:p w14:paraId="7E4113C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根据规划，尼色拥水库</w:t>
      </w:r>
      <w:r>
        <w:rPr>
          <w:rFonts w:hint="default" w:ascii="Times New Roman" w:hAnsi="Times New Roman" w:cs="Times New Roman"/>
          <w:color w:val="000000" w:themeColor="text1"/>
          <w:sz w:val="24"/>
          <w:highlight w:val="none"/>
          <w14:textFill>
            <w14:solidFill>
              <w14:schemeClr w14:val="tx1"/>
            </w14:solidFill>
          </w14:textFill>
        </w:rPr>
        <w:t>正常蓄水位库容142.52m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属于年调节水库，水位高差达29m</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highlight w:val="none"/>
          <w:lang w:val="en-US" w:eastAsia="zh-CN"/>
        </w:rPr>
        <w:t>坝址断面多年平均年径流量为678.83万m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/a，由此计算库区水体替换指数α值为4.76﹤10，坝前库区水温属于分层型。水库规划采取分层取水，采取分层取水措施后，能有效的减缓了低温水影响，对于农业灌溉及下游河道水生生态的影响不大。</w:t>
      </w:r>
    </w:p>
    <w:p w14:paraId="4BE6B052">
      <w:pPr>
        <w:pStyle w:val="4"/>
        <w:bidi w:val="0"/>
        <w:rPr>
          <w:rFonts w:hint="default"/>
          <w:highlight w:val="none"/>
          <w:lang w:val="en-US" w:eastAsia="zh-CN"/>
        </w:rPr>
      </w:pPr>
      <w:r>
        <w:rPr>
          <w:rFonts w:hint="default"/>
          <w:highlight w:val="none"/>
          <w:lang w:val="en-US" w:eastAsia="zh-CN"/>
        </w:rPr>
        <w:t>生态影响预测</w:t>
      </w:r>
    </w:p>
    <w:p w14:paraId="4ACF9CB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主要任务是：防洪、供水、灌溉、水土保持、生态修复等，主要专项规划包括防洪减灾规划、水资源开发规划、水资源保护与生态修复规划、水土保持规划及综合管理规划。规划的实施将使部分森林、灌草丛和草地等地表植被受损，对生态完整性有不利影响，但受影响的地表植被面积总体较小，对生态系统的结构和功能影响小，规划实施后森林、灌丛和草地生态系统将会有所减少。但流域综合规划的实施能够改善评价区域的总体生态环境，为兽类动物提供良好的生存环境，增加评价区域的兽类动物数量。</w:t>
      </w:r>
    </w:p>
    <w:p w14:paraId="10362FB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保护与生态修复规划实施后，对冷龙沟流域提出了保护措施，并对流域下泄生态水量提出了要求，以保障为河道内生态环境、重要湿地提供一定的水资源条件，对流域内水生生境产生有利影响。冷龙沟流域不涉及鱼类，对水生生态影响主要是对底栖生物和浮游生物的影响，但在满足下泄生态水量情况下，对水生生态的影响在可接受范围内。</w:t>
      </w:r>
    </w:p>
    <w:p w14:paraId="2A8713D0">
      <w:pPr>
        <w:pStyle w:val="4"/>
        <w:bidi w:val="0"/>
        <w:rPr>
          <w:rFonts w:hint="default"/>
          <w:highlight w:val="none"/>
          <w:lang w:val="en-US" w:eastAsia="zh-CN"/>
        </w:rPr>
      </w:pPr>
      <w:r>
        <w:rPr>
          <w:rFonts w:hint="default"/>
          <w:highlight w:val="none"/>
          <w:lang w:val="en-US" w:eastAsia="zh-CN"/>
        </w:rPr>
        <w:t>资源承载力分析</w:t>
      </w:r>
    </w:p>
    <w:p w14:paraId="505418E3">
      <w:pPr>
        <w:pStyle w:val="5"/>
        <w:bidi w:val="0"/>
        <w:rPr>
          <w:rFonts w:hint="default"/>
          <w:highlight w:val="none"/>
          <w:lang w:val="en-US" w:eastAsia="zh-CN"/>
        </w:rPr>
      </w:pPr>
      <w:r>
        <w:rPr>
          <w:rFonts w:hint="default"/>
          <w:highlight w:val="none"/>
          <w:lang w:val="en-US" w:eastAsia="zh-CN"/>
        </w:rPr>
        <w:t>水环境</w:t>
      </w:r>
    </w:p>
    <w:p w14:paraId="7AAF634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至20</w:t>
      </w:r>
      <w:r>
        <w:rPr>
          <w:rFonts w:hint="eastAsia" w:cs="Times New Roman"/>
          <w:highlight w:val="none"/>
          <w:lang w:val="en-US" w:eastAsia="zh-CN"/>
        </w:rPr>
        <w:t>30</w:t>
      </w:r>
      <w:r>
        <w:rPr>
          <w:rFonts w:hint="default" w:ascii="Times New Roman" w:hAnsi="Times New Roman" w:cs="Times New Roman"/>
          <w:highlight w:val="none"/>
          <w:lang w:val="en-US" w:eastAsia="zh-CN"/>
        </w:rPr>
        <w:t>年，在水库建库蓄水期间，水库至冷龙沟与硕曲河汇口处之间11.17km河道将成为季节性减水河段，流域内无新增污染源，冷龙沟流域下游河段的水质基本不会受到影响，仍能维持现状的Ⅱ类水质。</w:t>
      </w:r>
    </w:p>
    <w:p w14:paraId="3C08B4D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至203</w:t>
      </w:r>
      <w:r>
        <w:rPr>
          <w:rFonts w:hint="eastAsia" w:cs="Times New Roman"/>
          <w:highlight w:val="none"/>
          <w:lang w:val="en-US" w:eastAsia="zh-CN"/>
        </w:rPr>
        <w:t>5</w:t>
      </w:r>
      <w:r>
        <w:rPr>
          <w:rFonts w:hint="default" w:ascii="Times New Roman" w:hAnsi="Times New Roman" w:cs="Times New Roman"/>
          <w:highlight w:val="none"/>
          <w:lang w:val="en-US" w:eastAsia="zh-CN"/>
        </w:rPr>
        <w:t>年，水库建成后，流域内无新增工业企业、居民分布，工程上、下水库集水范围内无工业污染源、生活污染源、农业污染源。库区水面面积增大、流速变缓，且水库为多年调节水库，水体交换缓慢，水体自净能力将减弱。在保证坝址处下泄多年平均流量的10%作为生态流量前提下，坝下河道水流常年呈小溪流状，基本不会降低该河段的水域环境功能。因此，总体看来，在水库坝址建成后，对坝下河段的水质影响较小。综合规划实施后将控制流域污染总量，减少面源污染，促进流域水环境良性发展。</w:t>
      </w:r>
    </w:p>
    <w:p w14:paraId="441FE06C">
      <w:pPr>
        <w:pStyle w:val="5"/>
        <w:bidi w:val="0"/>
        <w:rPr>
          <w:rFonts w:hint="default"/>
          <w:highlight w:val="none"/>
          <w:lang w:val="en-US" w:eastAsia="zh-CN"/>
        </w:rPr>
      </w:pPr>
      <w:r>
        <w:rPr>
          <w:rFonts w:hint="default"/>
          <w:highlight w:val="none"/>
          <w:lang w:val="en-US" w:eastAsia="zh-CN"/>
        </w:rPr>
        <w:t>水资源</w:t>
      </w:r>
    </w:p>
    <w:p w14:paraId="07FC3A6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冷龙沟流域79.0km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，流域多年平均水资源量1280万m³，近期、远期水资源主要为水库蓄水用于城区水资源供给及周边农业灌溉。水库建成后，预计2026年正常运行，正常运行年平均配置水资源量261.81万m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，其中农业灌溉需水107.44万m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，城乡需水163.44万m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r>
        <w:rPr>
          <w:rFonts w:hint="eastAsia" w:cs="Times New Roman"/>
          <w:highlight w:val="none"/>
          <w:lang w:val="en-US" w:eastAsia="zh-CN"/>
        </w:rPr>
        <w:t>到近期水资源水库总库容142.52万m</w:t>
      </w:r>
      <w:r>
        <w:rPr>
          <w:rFonts w:hint="eastAsia" w:cs="Times New Roman"/>
          <w:highlight w:val="none"/>
          <w:vertAlign w:val="superscript"/>
          <w:lang w:val="en-US" w:eastAsia="zh-CN"/>
        </w:rPr>
        <w:t>3</w:t>
      </w:r>
      <w:r>
        <w:rPr>
          <w:rFonts w:hint="eastAsia" w:cs="Times New Roman"/>
          <w:highlight w:val="none"/>
          <w:lang w:val="en-US" w:eastAsia="zh-CN"/>
        </w:rPr>
        <w:t>，预计年供水量约298.74万m</w:t>
      </w:r>
      <w:r>
        <w:rPr>
          <w:rFonts w:hint="eastAsia" w:cs="Times New Roman"/>
          <w:highlight w:val="none"/>
          <w:vertAlign w:val="superscript"/>
          <w:lang w:val="en-US" w:eastAsia="zh-CN"/>
        </w:rPr>
        <w:t>3</w:t>
      </w:r>
      <w:r>
        <w:rPr>
          <w:rFonts w:hint="eastAsia" w:cs="Times New Roman"/>
          <w:highlight w:val="none"/>
          <w:lang w:val="en-US" w:eastAsia="zh-CN"/>
        </w:rPr>
        <w:t>，</w:t>
      </w:r>
      <w:r>
        <w:rPr>
          <w:rFonts w:hint="default" w:ascii="Times New Roman" w:hAnsi="Times New Roman" w:cs="Times New Roman"/>
          <w:highlight w:val="none"/>
          <w:vertAlign w:val="baseline"/>
          <w:lang w:val="en-US" w:eastAsia="zh-CN"/>
        </w:rPr>
        <w:t>相应的水资源开发利用率为2</w:t>
      </w:r>
      <w:r>
        <w:rPr>
          <w:rFonts w:hint="eastAsia" w:cs="Times New Roman"/>
          <w:highlight w:val="none"/>
          <w:vertAlign w:val="baseline"/>
          <w:lang w:val="en-US" w:eastAsia="zh-CN"/>
        </w:rPr>
        <w:t>3</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34</w:t>
      </w:r>
      <w:r>
        <w:rPr>
          <w:rFonts w:hint="default" w:ascii="Times New Roman" w:hAnsi="Times New Roman" w:cs="Times New Roman"/>
          <w:highlight w:val="none"/>
          <w:vertAlign w:val="baseline"/>
          <w:lang w:val="en-US" w:eastAsia="zh-CN"/>
        </w:rPr>
        <w:t>%</w:t>
      </w:r>
      <w:r>
        <w:rPr>
          <w:rFonts w:hint="eastAsia" w:cs="Times New Roman"/>
          <w:highlight w:val="none"/>
          <w:vertAlign w:val="baseline"/>
          <w:lang w:val="en-US" w:eastAsia="zh-CN"/>
        </w:rPr>
        <w:t>。</w:t>
      </w:r>
      <w:r>
        <w:rPr>
          <w:rFonts w:hint="default" w:ascii="Times New Roman" w:hAnsi="Times New Roman" w:cs="Times New Roman"/>
          <w:highlight w:val="none"/>
          <w:lang w:val="en-US" w:eastAsia="zh-CN"/>
        </w:rPr>
        <w:t>到远期2035年，水资源平均配置水资源量398.63万m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vertAlign w:val="baseline"/>
          <w:lang w:val="en-US" w:eastAsia="zh-CN"/>
        </w:rPr>
        <w:t>，</w:t>
      </w:r>
      <w:r>
        <w:rPr>
          <w:rFonts w:hint="default" w:ascii="Times New Roman" w:hAnsi="Times New Roman" w:cs="Times New Roman"/>
          <w:highlight w:val="none"/>
          <w:lang w:val="en-US" w:eastAsia="zh-CN"/>
        </w:rPr>
        <w:t>流域综合开发利用率将达到</w:t>
      </w:r>
      <w:r>
        <w:rPr>
          <w:rFonts w:hint="eastAsia" w:cs="Times New Roman"/>
          <w:highlight w:val="none"/>
          <w:lang w:val="en-US" w:eastAsia="zh-CN"/>
        </w:rPr>
        <w:t>31.14</w:t>
      </w:r>
      <w:r>
        <w:rPr>
          <w:rFonts w:hint="default" w:ascii="Times New Roman" w:hAnsi="Times New Roman" w:cs="Times New Roman"/>
          <w:highlight w:val="none"/>
          <w:lang w:val="en-US" w:eastAsia="zh-CN"/>
        </w:rPr>
        <w:t>%，小于国际上警戒线的40%。综上，水资源综合利用规划时序总体上是合理的。</w:t>
      </w:r>
    </w:p>
    <w:p w14:paraId="07F21C48">
      <w:pPr>
        <w:pStyle w:val="5"/>
        <w:bidi w:val="0"/>
        <w:rPr>
          <w:rFonts w:hint="default"/>
          <w:highlight w:val="none"/>
          <w:lang w:val="en-US" w:eastAsia="zh-CN"/>
        </w:rPr>
      </w:pPr>
      <w:r>
        <w:rPr>
          <w:rFonts w:hint="default"/>
          <w:highlight w:val="none"/>
          <w:lang w:val="en-US" w:eastAsia="zh-CN"/>
        </w:rPr>
        <w:t>水生态</w:t>
      </w:r>
    </w:p>
    <w:p w14:paraId="4F0756A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实施后，流域生态系统结构不会发生较大变化，主要影响体现在规划工程占地和水库淹没引起森林植被面积的减少，造成植被生物量和生产力下降。规划水库实施后，水库的形成间接导致库区库周生态环境的改变，在一定程度上影响了野生动植物的生存环境，原来生活于库区陆生环境中的脊椎动物失去赖以生存的环境被迫向高处转移，使其生境受到压缩，这种影响对兽类、爬行类和两栖类动物较为明显，对鸟类的影响不明显。</w:t>
      </w:r>
    </w:p>
    <w:p w14:paraId="3CD0DBAE">
      <w:pPr>
        <w:pStyle w:val="5"/>
        <w:bidi w:val="0"/>
        <w:rPr>
          <w:rFonts w:hint="default"/>
          <w:highlight w:val="none"/>
          <w:lang w:val="en-US" w:eastAsia="zh-CN"/>
        </w:rPr>
      </w:pPr>
      <w:r>
        <w:rPr>
          <w:rFonts w:hint="default"/>
          <w:highlight w:val="none"/>
          <w:lang w:val="en-US" w:eastAsia="zh-CN"/>
        </w:rPr>
        <w:t>目标可达性分析</w:t>
      </w:r>
    </w:p>
    <w:p w14:paraId="1894274C">
      <w:pPr>
        <w:bidi w:val="0"/>
        <w:rPr>
          <w:rFonts w:hint="default"/>
          <w:highlight w:val="none"/>
          <w:lang w:val="en-US" w:eastAsia="zh-CN"/>
        </w:rPr>
      </w:pPr>
      <w:r>
        <w:rPr>
          <w:rFonts w:hint="default"/>
          <w:highlight w:val="none"/>
          <w:lang w:val="en-US" w:eastAsia="zh-CN"/>
        </w:rPr>
        <w:t>（1）水资源高效利用可达性</w:t>
      </w:r>
    </w:p>
    <w:p w14:paraId="62A0186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冷龙沟流域2025年和2035年水资源开发利用分别达到23.34%与31.14%，水资源利用率均小于国际上一般认为的40%警戒线。在保证水电站的最小下泄生态流量情况下，规划方案的实施可保证水资源利用目标的实现。</w:t>
      </w:r>
    </w:p>
    <w:p w14:paraId="6C7236BD">
      <w:pPr>
        <w:bidi w:val="0"/>
        <w:rPr>
          <w:rFonts w:hint="default"/>
          <w:highlight w:val="none"/>
          <w:lang w:val="en-US" w:eastAsia="zh-CN"/>
        </w:rPr>
      </w:pPr>
      <w:r>
        <w:rPr>
          <w:rFonts w:hint="default"/>
          <w:highlight w:val="none"/>
          <w:lang w:val="en-US" w:eastAsia="zh-CN"/>
        </w:rPr>
        <w:t>（2）最小下泄流量目标可达性</w:t>
      </w:r>
    </w:p>
    <w:p w14:paraId="405778E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域内新建水库设置下泄生态流量设施，安装在线监控装置；在坝下设置水位、流量在线自动监测仪器并在线联网，实时准确传送数据，并建立运行台账，记录监控设施运行、维护、连续监控数据情况，接受生态环境、水利等主管部门监督检查，通过以上工程及管理措施各蓄水工程的最小下泄流量可得到保证。</w:t>
      </w:r>
    </w:p>
    <w:p w14:paraId="2E77CC24">
      <w:pPr>
        <w:bidi w:val="0"/>
        <w:rPr>
          <w:rFonts w:hint="default"/>
          <w:highlight w:val="none"/>
          <w:lang w:val="en-US" w:eastAsia="zh-CN"/>
        </w:rPr>
      </w:pPr>
      <w:r>
        <w:rPr>
          <w:rFonts w:hint="default"/>
          <w:highlight w:val="none"/>
          <w:lang w:val="en-US" w:eastAsia="zh-CN"/>
        </w:rPr>
        <w:t>（3）水环境报保护目标可行性</w:t>
      </w:r>
    </w:p>
    <w:p w14:paraId="288E251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只要认真落实规划中对水环境的保护规划和环评中提出的对水环境不良影响减缓措施，流域的水质将能得以改善，逐步实现达到相应的环境功能区划要求。</w:t>
      </w:r>
    </w:p>
    <w:p w14:paraId="0012ADC6">
      <w:pPr>
        <w:bidi w:val="0"/>
        <w:rPr>
          <w:rFonts w:hint="default"/>
          <w:highlight w:val="none"/>
          <w:lang w:val="en-US" w:eastAsia="zh-CN"/>
        </w:rPr>
      </w:pPr>
      <w:r>
        <w:rPr>
          <w:rFonts w:hint="default"/>
          <w:highlight w:val="none"/>
          <w:lang w:val="en-US" w:eastAsia="zh-CN"/>
        </w:rPr>
        <w:t>（4）生态环境保护目标可行性</w:t>
      </w:r>
    </w:p>
    <w:p w14:paraId="4C7868B9">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采取各项生态环境保护措施对流域内的动植物生存环境以及各生态环境敏感区进行保护后，规划实施对各流域生态环境的影响是可以接受的。</w:t>
      </w:r>
    </w:p>
    <w:p w14:paraId="105CAA0A">
      <w:pPr>
        <w:bidi w:val="0"/>
        <w:rPr>
          <w:rFonts w:hint="default"/>
          <w:highlight w:val="none"/>
          <w:lang w:val="en-US" w:eastAsia="zh-CN"/>
        </w:rPr>
      </w:pPr>
      <w:r>
        <w:rPr>
          <w:rFonts w:hint="default"/>
          <w:highlight w:val="none"/>
          <w:lang w:val="en-US" w:eastAsia="zh-CN"/>
        </w:rPr>
        <w:t>（5）社会环境保护目标可行性</w:t>
      </w:r>
    </w:p>
    <w:p w14:paraId="19E388AC">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流域规划实施能够拉动投资，促进经济相对落后地区发展，促进农业生产、保障城乡供水，防御洪涝灾害，美化人居环境及提高生活质量。不利处在于规划工程施工对当地生态环境、居民生产生活及人群健康等造成的不利影响。建设单位要听取社会公众的评价意见，及时发现并协调相关部门化解实施过程中遇到的矛盾和问题，将对社会稳定风险影响减小到最低限度，确保社会稳定。</w:t>
      </w:r>
    </w:p>
    <w:p w14:paraId="3EB7F198">
      <w:pPr>
        <w:pStyle w:val="3"/>
        <w:bidi w:val="0"/>
        <w:rPr>
          <w:rFonts w:hint="default"/>
          <w:highlight w:val="none"/>
          <w:lang w:val="en-US" w:eastAsia="zh-CN"/>
        </w:rPr>
      </w:pPr>
      <w:bookmarkStart w:id="102" w:name="_Toc1870"/>
      <w:r>
        <w:rPr>
          <w:rFonts w:hint="default"/>
          <w:highlight w:val="none"/>
          <w:lang w:val="en-US" w:eastAsia="zh-CN"/>
        </w:rPr>
        <w:t>规划协调性分析及环境合理性</w:t>
      </w:r>
      <w:bookmarkEnd w:id="102"/>
    </w:p>
    <w:p w14:paraId="672967ED">
      <w:pPr>
        <w:pStyle w:val="4"/>
        <w:bidi w:val="0"/>
        <w:rPr>
          <w:rFonts w:hint="default"/>
          <w:highlight w:val="none"/>
          <w:lang w:val="en-US" w:eastAsia="zh-CN"/>
        </w:rPr>
      </w:pPr>
      <w:r>
        <w:rPr>
          <w:rFonts w:hint="default"/>
          <w:highlight w:val="none"/>
          <w:lang w:val="en-US" w:eastAsia="zh-CN"/>
        </w:rPr>
        <w:t>规划协调性分析</w:t>
      </w:r>
    </w:p>
    <w:p w14:paraId="785449B4">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通过分析，本次冷龙沟规划基本符合《中华人民共和国环境影响评价法》《中华人民共和国水法》《中华人民共和国水污染防治法》《中华人民共和国水土保持法》《中华人民共和国防洪法》《中华人民共和国野生动物保护法》《中华人民共和国河道管理条例》等法律法规要求。同时本次流域规划与各级地方政府制定的《甘孜藏族自治州国民经济和社会发展第十四个五年规划和二〇三五年远景目标纲要》《乡城县国民经济和社会发展第十四个五年规划和二〇三五年远景目标纲要》等规划精神基本相容。</w:t>
      </w:r>
    </w:p>
    <w:p w14:paraId="026A680B">
      <w:pPr>
        <w:pStyle w:val="4"/>
        <w:bidi w:val="0"/>
        <w:rPr>
          <w:rFonts w:hint="default"/>
          <w:highlight w:val="none"/>
          <w:lang w:val="en-US" w:eastAsia="zh-CN"/>
        </w:rPr>
      </w:pPr>
      <w:r>
        <w:rPr>
          <w:rFonts w:hint="default"/>
          <w:highlight w:val="none"/>
          <w:lang w:val="en-US" w:eastAsia="zh-CN"/>
        </w:rPr>
        <w:t>规划方案的环境合理性</w:t>
      </w:r>
    </w:p>
    <w:p w14:paraId="0938BCB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从规划开发任务上：冷龙沟流域开发、治理与保护的主要任务为：防洪减灾、水土保持、水资源综合利用与水资源保护与生态修复等。通过这些综合措施，冷龙沟流域将实现防洪安全、供水保障、节约用水、生态保护和水土保持的协调发展，为区域经济社会的可持续发展奠定坚实基础。同时，各项规划内容与相关规划成果及批复要求中对冷龙沟流域功能定位及发展方向相协调，具有环境合理性。</w:t>
      </w:r>
    </w:p>
    <w:p w14:paraId="76E5FF6E">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目标和发展定位上：冷龙沟流域综合规划的总体目标是完善流域防洪减灾、水资源综合利用、水资源保护和生态修复、水土保持综合治理及流域综合管理五大体系，保障防洪安全、供水安全、粮食安全和生态安全，提高流域管理水平，支撑流域高质量发展。流域规划总体目标符合国家现行产业政策，符合流域主体功能区划、生态功能区划，符合四川省、甘孜州、乡城县国民经济发展规划、土地利用规划、水利建设规划、水资源综合利用规划、生态环境相关规划。因而冷龙沟流域规划目标从环保角度分析是合理的。</w:t>
      </w:r>
    </w:p>
    <w:p w14:paraId="7DD48926">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布局及规模上：流域综合规划统筹区域资源承载能力、生态支撑能力、环境容量与总量等，以保障城乡供水、灌溉用水、生态需水为前提，建立水资源综合利用体系、防洪减灾体系、水资源及生态环境保护体系、流域综合管理体系为目标。另外，评价区域内不涉及生态敏感区和生态保护红线，从环境保护角度分析，规划总体布局是合理的。</w:t>
      </w:r>
    </w:p>
    <w:p w14:paraId="6AE4831B">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开发时序上：本次综合规划安排的各类项目，包括防洪减灾体系、水资源开发利用体系、水资源保护水生态保护修复体系、水土保持体系、综合管理体系等五大类。根据冷龙沟河流域社会经济发展需求，冷龙沟流域综合规划项目安排按轻重缓急于2035年前实施完毕，以便更早发挥效益，使地区的社会经济发展得到有利保障。</w:t>
      </w:r>
    </w:p>
    <w:p w14:paraId="74E64A0A">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目标可达性上：冷龙沟流域综合规划对各专项规划进行布局，确定了合理规模，并采取本规划环评报告提出的各项环境保护措施，在各项规划实施中，对环保措施进行进一步论证、优化、完善，并认真落实，以确保规划目标的实现。</w:t>
      </w:r>
    </w:p>
    <w:p w14:paraId="15C09075">
      <w:pPr>
        <w:pStyle w:val="4"/>
        <w:bidi w:val="0"/>
        <w:rPr>
          <w:rFonts w:hint="default"/>
          <w:highlight w:val="none"/>
          <w:lang w:val="en-US" w:eastAsia="zh-CN"/>
        </w:rPr>
      </w:pPr>
      <w:r>
        <w:rPr>
          <w:rFonts w:hint="default"/>
          <w:highlight w:val="none"/>
          <w:lang w:val="en-US" w:eastAsia="zh-CN"/>
        </w:rPr>
        <w:t>社会效益</w:t>
      </w:r>
    </w:p>
    <w:p w14:paraId="36DF8A1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次流域规划实施能够拉动投资，促进经济相对落后地区发展，促进农业生产、保障城乡供水，防御洪涝灾害，美化人居环境及提高生活质量。不利处在于规划工程施工对当地生态环境、居民生产生活及人群健康等造成的不利影响。建设单位要听取社会公众的评价意见，及时发现并协调相关部门化解实施过程中遇到的矛盾和问题，将对社会稳定风险影响减小到最低限度，确保社会稳定。</w:t>
      </w:r>
    </w:p>
    <w:p w14:paraId="3A0CFD5E">
      <w:pPr>
        <w:pStyle w:val="4"/>
        <w:bidi w:val="0"/>
        <w:rPr>
          <w:rFonts w:hint="default"/>
          <w:highlight w:val="none"/>
          <w:lang w:val="en-US" w:eastAsia="zh-CN"/>
        </w:rPr>
      </w:pPr>
      <w:r>
        <w:rPr>
          <w:rFonts w:hint="eastAsia"/>
          <w:highlight w:val="none"/>
          <w:lang w:val="en-US" w:eastAsia="zh-CN"/>
        </w:rPr>
        <w:t>生态效益</w:t>
      </w:r>
    </w:p>
    <w:p w14:paraId="4BB99D94">
      <w:pPr>
        <w:bidi w:val="0"/>
        <w:rPr>
          <w:rFonts w:hint="default"/>
          <w:highlight w:val="none"/>
          <w:lang w:val="en-US" w:eastAsia="zh-CN"/>
        </w:rPr>
      </w:pPr>
      <w:r>
        <w:rPr>
          <w:rFonts w:hint="eastAsia"/>
          <w:highlight w:val="none"/>
          <w:lang w:val="en-US" w:eastAsia="zh-CN"/>
        </w:rPr>
        <w:t>冷龙沟流域规划中的水资源保护与生态修复、水资源利用规划具有增加水域面积、改善水陆栖息地环境等生态效益，对调节流域小气候、涵养水源，进一步保护流域森林生态系统有利。</w:t>
      </w:r>
      <w:r>
        <w:rPr>
          <w:rFonts w:hint="default"/>
          <w:highlight w:val="none"/>
          <w:lang w:val="en-US" w:eastAsia="zh-CN"/>
        </w:rPr>
        <w:t>规划方案实施后，流域水域面积增加，河道调蓄能力增强，通过规划水库的调节和蓄丰补枯，以及水源保护区建设、水生态保护与修复工程的实施，枯水期水环境容量将有所增大，有利于流域中下游水环境质量的改善。流域内水资源总需求量不高，且由于径流有严重丰枯不均，对水资源的利用率存在一定的破坏作用，且供水保障率不高。兴建工程后，通过水资源合理配置和调度，水资源利用强度控制在不超过40%，在满足流域下游生活生产用水和水生态环境用水规划标准的同时，为</w:t>
      </w:r>
      <w:r>
        <w:rPr>
          <w:rFonts w:hint="eastAsia"/>
          <w:highlight w:val="none"/>
          <w:lang w:val="en-US" w:eastAsia="zh-CN"/>
        </w:rPr>
        <w:t>乡城县</w:t>
      </w:r>
      <w:r>
        <w:rPr>
          <w:rFonts w:hint="default"/>
          <w:highlight w:val="none"/>
          <w:lang w:val="en-US" w:eastAsia="zh-CN"/>
        </w:rPr>
        <w:t>优质用水创造了条件，具有较好的供水效益。</w:t>
      </w:r>
      <w:r>
        <w:rPr>
          <w:rFonts w:hint="eastAsia"/>
          <w:highlight w:val="none"/>
          <w:lang w:val="en-US" w:eastAsia="zh-CN"/>
        </w:rPr>
        <w:t>通过水生态保护修复等工程，有利与河岸两侧生态系统的修复与完善。增加生物多样性。流域规划中水土保持等措施，可有效减少土壤的水土流失，保护土壤资源，同时也可促进农业的可持续发展。</w:t>
      </w:r>
    </w:p>
    <w:p w14:paraId="7950AE9B">
      <w:pPr>
        <w:pStyle w:val="3"/>
        <w:bidi w:val="0"/>
        <w:rPr>
          <w:rFonts w:hint="default"/>
          <w:highlight w:val="none"/>
          <w:lang w:val="en-US" w:eastAsia="zh-CN"/>
        </w:rPr>
      </w:pPr>
      <w:bookmarkStart w:id="103" w:name="_Toc5764"/>
      <w:r>
        <w:rPr>
          <w:rFonts w:hint="default"/>
          <w:highlight w:val="none"/>
          <w:lang w:val="en-US" w:eastAsia="zh-CN"/>
        </w:rPr>
        <w:t>环境影响减缓措施</w:t>
      </w:r>
      <w:bookmarkEnd w:id="103"/>
    </w:p>
    <w:p w14:paraId="494501F1">
      <w:pPr>
        <w:pStyle w:val="4"/>
        <w:bidi w:val="0"/>
        <w:rPr>
          <w:rFonts w:hint="default"/>
          <w:highlight w:val="none"/>
          <w:lang w:val="en-US" w:eastAsia="zh-CN"/>
        </w:rPr>
      </w:pPr>
      <w:r>
        <w:rPr>
          <w:rFonts w:hint="default"/>
          <w:highlight w:val="none"/>
          <w:lang w:val="en-US" w:eastAsia="zh-CN"/>
        </w:rPr>
        <w:t>流域生态环境管控</w:t>
      </w:r>
    </w:p>
    <w:p w14:paraId="718B06CE">
      <w:pPr>
        <w:numPr>
          <w:ilvl w:val="0"/>
          <w:numId w:val="71"/>
        </w:numPr>
        <w:bidi w:val="0"/>
        <w:rPr>
          <w:rFonts w:hint="default"/>
          <w:highlight w:val="none"/>
          <w:lang w:val="en-US" w:eastAsia="zh-CN"/>
        </w:rPr>
      </w:pPr>
      <w:r>
        <w:rPr>
          <w:rFonts w:hint="default"/>
          <w:highlight w:val="none"/>
          <w:lang w:val="en-US" w:eastAsia="zh-CN"/>
        </w:rPr>
        <w:t>生态空间</w:t>
      </w:r>
    </w:p>
    <w:p w14:paraId="77A4A60A">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坚持保护优先、自然恢复为主的基本方针，确保生态功能不降低、面积不减少、性质不改变；涉及饮用水水源保护区、生态保护红线和基本农田等的项目，按照主管部门现行法律法规严格管理。</w:t>
      </w:r>
    </w:p>
    <w:p w14:paraId="78AA9BDC">
      <w:pPr>
        <w:numPr>
          <w:ilvl w:val="0"/>
          <w:numId w:val="71"/>
        </w:numPr>
        <w:bidi w:val="0"/>
        <w:rPr>
          <w:rFonts w:hint="default"/>
          <w:highlight w:val="none"/>
          <w:lang w:val="en-US" w:eastAsia="zh-CN"/>
        </w:rPr>
      </w:pPr>
      <w:r>
        <w:rPr>
          <w:rFonts w:hint="default"/>
          <w:highlight w:val="none"/>
          <w:lang w:val="en-US" w:eastAsia="zh-CN"/>
        </w:rPr>
        <w:t>环境质量底线</w:t>
      </w:r>
    </w:p>
    <w:p w14:paraId="6B502B4D">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最小生态下泄流量作为水生态质量底线，安装在线监控，应确保最小下泄流量。确保水环境质量只能更好，不能变差。</w:t>
      </w:r>
    </w:p>
    <w:p w14:paraId="3B263FA5">
      <w:pPr>
        <w:bidi w:val="0"/>
        <w:rPr>
          <w:rFonts w:hint="default"/>
          <w:highlight w:val="none"/>
          <w:lang w:val="en-US" w:eastAsia="zh-CN"/>
        </w:rPr>
      </w:pPr>
      <w:r>
        <w:rPr>
          <w:rFonts w:hint="default"/>
          <w:highlight w:val="none"/>
          <w:lang w:val="en-US" w:eastAsia="zh-CN"/>
        </w:rPr>
        <w:t>（3）资源利用上线</w:t>
      </w:r>
    </w:p>
    <w:p w14:paraId="1F2D4878">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水资源利用率应小于国际上一般认为的40%警戒线。</w:t>
      </w:r>
    </w:p>
    <w:p w14:paraId="16316CF5">
      <w:pPr>
        <w:bidi w:val="0"/>
        <w:rPr>
          <w:rFonts w:hint="default"/>
          <w:highlight w:val="none"/>
          <w:lang w:val="en-US" w:eastAsia="zh-CN"/>
        </w:rPr>
      </w:pPr>
      <w:r>
        <w:rPr>
          <w:rFonts w:hint="default"/>
          <w:highlight w:val="none"/>
          <w:lang w:val="en-US" w:eastAsia="zh-CN"/>
        </w:rPr>
        <w:t>（4）环境准入清单</w:t>
      </w:r>
    </w:p>
    <w:p w14:paraId="67D68E4F">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环境准入清单见表41。负面清单中禁止准入的内容，以及不符合国家相关法律法规、产业政策要求的项目，在规划实施过程中一律不得建设。</w:t>
      </w:r>
    </w:p>
    <w:p w14:paraId="1871A0C6">
      <w:pPr>
        <w:pStyle w:val="4"/>
        <w:bidi w:val="0"/>
        <w:rPr>
          <w:rFonts w:hint="default"/>
          <w:highlight w:val="none"/>
          <w:lang w:val="en-US" w:eastAsia="zh-CN"/>
        </w:rPr>
      </w:pPr>
      <w:r>
        <w:rPr>
          <w:rFonts w:hint="default"/>
          <w:highlight w:val="none"/>
          <w:lang w:val="en-US" w:eastAsia="zh-CN"/>
        </w:rPr>
        <w:t>生态环境保护与污染防治对策和措施</w:t>
      </w:r>
    </w:p>
    <w:p w14:paraId="000F4FD5">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从水环境保护措施和生态环境保护措施两个方面提出环境影响减缓措施。其中，水库要落实最小下泄生态流量。对流域范围内水源地要严格执行《饮用水水源保护区污染防治管理规定》。待建工程则需从施工废水、废气、噪声、固废几个方面提出环保措施以及生态缓解保护措施，将工程建设的环境影响降至最低。</w:t>
      </w:r>
    </w:p>
    <w:p w14:paraId="18E2973B">
      <w:pPr>
        <w:pStyle w:val="4"/>
        <w:bidi w:val="0"/>
        <w:rPr>
          <w:rFonts w:hint="default"/>
          <w:highlight w:val="none"/>
          <w:lang w:val="en-US" w:eastAsia="zh-CN"/>
        </w:rPr>
      </w:pPr>
      <w:r>
        <w:rPr>
          <w:rFonts w:hint="default"/>
          <w:highlight w:val="none"/>
          <w:lang w:val="en-US" w:eastAsia="zh-CN"/>
        </w:rPr>
        <w:t>环境风险防范措施</w:t>
      </w:r>
    </w:p>
    <w:p w14:paraId="687258C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环境风险防范措施主要包括溃坝风险防范、水源地水质风险防范和生态风险防范等措施，确保将生态环境和社会环境风险影响降到最低。</w:t>
      </w:r>
    </w:p>
    <w:p w14:paraId="037DF508">
      <w:pPr>
        <w:pStyle w:val="4"/>
        <w:bidi w:val="0"/>
        <w:rPr>
          <w:rFonts w:hint="default"/>
          <w:highlight w:val="none"/>
          <w:lang w:val="en-US" w:eastAsia="zh-CN"/>
        </w:rPr>
      </w:pPr>
      <w:r>
        <w:rPr>
          <w:rFonts w:hint="default"/>
          <w:highlight w:val="none"/>
          <w:lang w:val="en-US" w:eastAsia="zh-CN"/>
        </w:rPr>
        <w:t>社会环境保护对策措施</w:t>
      </w:r>
    </w:p>
    <w:p w14:paraId="25D51B2D">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社会环境保护主要包括土地资源保护，采取严格保护耕地，控制耕地资源流失、防止土地退化、推进土地节约集约利用等措施，水厂周边居民区环境保护，主要通过加强厂区绿化，隔音减噪，可有效控制噪音污染。</w:t>
      </w:r>
    </w:p>
    <w:p w14:paraId="0A6D7D36">
      <w:pPr>
        <w:pStyle w:val="4"/>
        <w:bidi w:val="0"/>
        <w:rPr>
          <w:rFonts w:hint="default"/>
          <w:highlight w:val="none"/>
          <w:lang w:val="en-US" w:eastAsia="zh-CN"/>
        </w:rPr>
      </w:pPr>
      <w:r>
        <w:rPr>
          <w:rFonts w:hint="default"/>
          <w:highlight w:val="none"/>
          <w:lang w:val="en-US" w:eastAsia="zh-CN"/>
        </w:rPr>
        <w:t>环境敏感区保护对策措施</w:t>
      </w:r>
    </w:p>
    <w:p w14:paraId="06000D6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严格执行《中华人民共和国水污染防治法》《饮用水水源保护区污染防治管理规定》（环境保护令第16号）、《关于进一步加强饮用水水源安全保障工作的通知》（环办〔2009〕30号）等水源保护区相关管理规定。按照《饮用水水源保护区标志技术要求》（HJ/T433-2008）的要求规范设置饮用水水源保护区界标、交通警示牌、宣传牌。</w:t>
      </w:r>
    </w:p>
    <w:p w14:paraId="05E28A0D">
      <w:pPr>
        <w:pStyle w:val="4"/>
        <w:bidi w:val="0"/>
        <w:rPr>
          <w:rFonts w:hint="default"/>
          <w:highlight w:val="none"/>
          <w:lang w:val="en-US" w:eastAsia="zh-CN"/>
        </w:rPr>
      </w:pPr>
      <w:r>
        <w:rPr>
          <w:rFonts w:hint="default"/>
          <w:highlight w:val="none"/>
          <w:lang w:val="en-US" w:eastAsia="zh-CN"/>
        </w:rPr>
        <w:t>环境管理、监理与监测措施</w:t>
      </w:r>
    </w:p>
    <w:p w14:paraId="427DB211">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规划工程在施工期间应设置环境保护管理机构，业务上接受当地生态环境部门的指导。委托具有相应资质的单位开展工程环境监理及水土保持监理工作。加强施工期和运行期期间水质、大气、噪声、人群健康、水土保持等环境监测工作。了解工程建设及运行期间各个阶段的环境质量状况，为环境管理提供依据。</w:t>
      </w:r>
    </w:p>
    <w:p w14:paraId="43006FF2">
      <w:pPr>
        <w:pStyle w:val="3"/>
        <w:bidi w:val="0"/>
        <w:rPr>
          <w:rFonts w:hint="default"/>
          <w:highlight w:val="none"/>
          <w:lang w:val="en-US" w:eastAsia="zh-CN"/>
        </w:rPr>
      </w:pPr>
      <w:bookmarkStart w:id="104" w:name="_Toc28289"/>
      <w:r>
        <w:rPr>
          <w:rFonts w:hint="default"/>
          <w:highlight w:val="none"/>
          <w:lang w:val="en-US" w:eastAsia="zh-CN"/>
        </w:rPr>
        <w:t>环境监测与跟踪评价计划</w:t>
      </w:r>
      <w:bookmarkEnd w:id="104"/>
    </w:p>
    <w:p w14:paraId="2AA2940C">
      <w:pPr>
        <w:pStyle w:val="4"/>
        <w:bidi w:val="0"/>
        <w:rPr>
          <w:rFonts w:hint="default"/>
          <w:highlight w:val="none"/>
          <w:lang w:val="en-US" w:eastAsia="zh-CN"/>
        </w:rPr>
      </w:pPr>
      <w:r>
        <w:rPr>
          <w:rFonts w:hint="default"/>
          <w:highlight w:val="none"/>
          <w:lang w:val="en-US" w:eastAsia="zh-CN"/>
        </w:rPr>
        <w:t>环境监测方案</w:t>
      </w:r>
    </w:p>
    <w:p w14:paraId="0293DA67">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环境监测目的主要是：掌握冷龙沟流域的水资源分配时空特征和水环境质量，保证流域水资源供水安全，预防突发性事故对环境的危害，验证环境影响评价结论和环保措施的有效性，确保本项目环境保护目标实现提供依据，为做好流域规划开发的环境保护工作，为实施环境管理和环境监理提供科学依据。环境监测内容主要为：主要包括水文情势观测、地表水环境监测、陆生生态调査、水生生态调査与监测和最小下泄流量监测，以及社会环境跟踪调査与回访等，在监测时段上应有跨度地进行，以动态了解流域综合规划对环境的影响，主要包括环境本底监测、近期工程施工期和运行期环境监测、规划项目全部建成后的环境监测以及回顾评价监测。</w:t>
      </w:r>
    </w:p>
    <w:p w14:paraId="795D466F">
      <w:pPr>
        <w:pStyle w:val="4"/>
        <w:bidi w:val="0"/>
        <w:rPr>
          <w:rFonts w:hint="default"/>
          <w:highlight w:val="none"/>
          <w:lang w:val="en-US" w:eastAsia="zh-CN"/>
        </w:rPr>
      </w:pPr>
      <w:r>
        <w:rPr>
          <w:rFonts w:hint="default"/>
          <w:highlight w:val="none"/>
          <w:lang w:val="en-US" w:eastAsia="zh-CN"/>
        </w:rPr>
        <w:t>跟踪评价计划</w:t>
      </w:r>
    </w:p>
    <w:p w14:paraId="19B07EE8">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有关部门应对规划的重要工程进行环境影响跟踪评价，规划实施过程中，每隔五年进行一次环境影响跟踪评价；分析流域环境变化趋势、程度及原因，并据此及时调整规划方案或目标，制定补救措施和阶段总结，为合理、科学推荐流域水电开发服务。有关部门应根据跟踪评价的结论，及时提出规划方案调整的意见与建议，供规划编制与审批单位参考。</w:t>
      </w:r>
    </w:p>
    <w:p w14:paraId="7DA3EB0B">
      <w:pPr>
        <w:pStyle w:val="3"/>
        <w:bidi w:val="0"/>
        <w:rPr>
          <w:rFonts w:hint="default"/>
          <w:highlight w:val="none"/>
          <w:lang w:val="en-US" w:eastAsia="zh-CN"/>
        </w:rPr>
      </w:pPr>
      <w:bookmarkStart w:id="105" w:name="_Toc7841"/>
      <w:r>
        <w:rPr>
          <w:rFonts w:hint="default"/>
          <w:highlight w:val="none"/>
          <w:lang w:val="en-US" w:eastAsia="zh-CN"/>
        </w:rPr>
        <w:t>公众参与及会商</w:t>
      </w:r>
      <w:bookmarkEnd w:id="105"/>
    </w:p>
    <w:p w14:paraId="5E3A9103">
      <w:pPr>
        <w:rPr>
          <w:rFonts w:hint="default" w:ascii="Times New Roman" w:hAnsi="Times New Roman" w:cs="Times New Roman"/>
          <w:highlight w:val="none"/>
          <w:lang w:val="en-US" w:eastAsia="zh-CN"/>
        </w:rPr>
      </w:pPr>
    </w:p>
    <w:p w14:paraId="3B488257">
      <w:pPr>
        <w:pStyle w:val="3"/>
        <w:bidi w:val="0"/>
        <w:rPr>
          <w:rFonts w:hint="default"/>
          <w:highlight w:val="none"/>
          <w:lang w:val="en-US" w:eastAsia="zh-CN"/>
        </w:rPr>
      </w:pPr>
      <w:bookmarkStart w:id="106" w:name="_Toc19242"/>
      <w:r>
        <w:rPr>
          <w:rFonts w:hint="default"/>
          <w:highlight w:val="none"/>
          <w:lang w:val="en-US" w:eastAsia="zh-CN"/>
        </w:rPr>
        <w:t>总体评价结论</w:t>
      </w:r>
      <w:bookmarkEnd w:id="106"/>
    </w:p>
    <w:p w14:paraId="6E7C14CA">
      <w:pPr>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冷龙沟流域综合规划以科学规划、合理有序利用水力资源为指导思想，基本符合国家的有关法律、法规的有关精神，与甘孜州相关的规划基本相容。规划的实施，将使河流河道水文情势、水资源利用发生变化，对生态环境质量产生一定程度的影响，但其影响可以通过水资源配置，保证最小生态下泄流量等措施，把影响降至最小。规划工程对土地占用、农业生产、陆域和水生生态环境的影响，工程施工带来的社会环境问题，均可通过采取相应的规划调整避免、保护、修复和补救措施得以控制或减缓。流域综合规划实施后，可使流域的防洪排涝能力提高，城乡供水稳定性提高，增加沿线农作物的产量，提高流域的防洪减灾能力。因此在切实落实本评价推荐的各项工程污染控制和生态环境保护措施的前提下，本评价认为流域规划的实施从环境保护角度分析总体上是可行的。</w:t>
      </w:r>
    </w:p>
    <w:sectPr>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中文正文">
    <w:altName w:val="ESRI AMFM Electric"/>
    <w:panose1 w:val="00000000000000000000"/>
    <w:charset w:val="00"/>
    <w:family w:val="auto"/>
    <w:pitch w:val="default"/>
    <w:sig w:usb0="00000000" w:usb1="00000000" w:usb2="00000000" w:usb3="00000000" w:csb0="00000000" w:csb1="00000000"/>
  </w:font>
  <w:font w:name="ESRI AMFM Electric">
    <w:panose1 w:val="02000400000000000000"/>
    <w:charset w:val="00"/>
    <w:family w:val="auto"/>
    <w:pitch w:val="default"/>
    <w:sig w:usb0="00000003" w:usb1="00000000" w:usb2="00000000" w:usb3="00000000" w:csb0="00000001" w:csb1="00000000"/>
  </w:font>
  <w:font w:name="Constantia">
    <w:panose1 w:val="02030602050306030303"/>
    <w:charset w:val="00"/>
    <w:family w:val="auto"/>
    <w:pitch w:val="default"/>
    <w:sig w:usb0="A00002EF" w:usb1="4000204B" w:usb2="00000000" w:usb3="00000000" w:csb0="2000019F"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auto"/>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A94A37">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BBAA6">
    <w:pPr>
      <w:pStyle w:val="14"/>
      <w:bidi w:val="0"/>
      <w:rPr>
        <w:rFonts w:ascii="Constantia" w:hAnsi="Constantia" w:eastAsia="Constantia" w:cs="Constantia"/>
        <w:szCs w:val="18"/>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46DD20">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72nYy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vadjICAABjBAAADgAAAAAAAAABACAAAAAfAQAAZHJzL2Uyb0RvYy54bWxQSwUG&#10;AAAAAAYABgBZAQAAwwUAAAAA&#10;">
              <v:fill on="f" focussize="0,0"/>
              <v:stroke on="f" weight="0.5pt"/>
              <v:imagedata o:title=""/>
              <o:lock v:ext="edit" aspectratio="f"/>
              <v:textbox inset="0mm,0mm,0mm,0mm" style="mso-fit-shape-to-text:t;">
                <w:txbxContent>
                  <w:p w14:paraId="2246DD20">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2F5984">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52</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16644E">
    <w:pPr>
      <w:pStyle w:val="14"/>
      <w:bidi w:val="0"/>
      <w:rPr>
        <w:rFonts w:ascii="Constantia" w:hAnsi="Constantia" w:eastAsia="Constantia" w:cs="Constantia"/>
        <w:szCs w:val="18"/>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A9979F">
                          <w:pPr>
                            <w:pStyle w:val="14"/>
                          </w:pPr>
                          <w:r>
                            <w:fldChar w:fldCharType="begin"/>
                          </w:r>
                          <w:r>
                            <w:instrText xml:space="preserve"> PAGE  \* MERGEFORMAT </w:instrText>
                          </w:r>
                          <w:r>
                            <w:fldChar w:fldCharType="separate"/>
                          </w:r>
                          <w:r>
                            <w:t>99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02A9979F">
                    <w:pPr>
                      <w:pStyle w:val="14"/>
                    </w:pPr>
                    <w:r>
                      <w:fldChar w:fldCharType="begin"/>
                    </w:r>
                    <w:r>
                      <w:instrText xml:space="preserve"> PAGE  \* MERGEFORMAT </w:instrText>
                    </w:r>
                    <w:r>
                      <w:fldChar w:fldCharType="separate"/>
                    </w:r>
                    <w:r>
                      <w:t>99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5D2B0D">
    <w:pPr>
      <w:pStyle w:val="15"/>
      <w:pBdr>
        <w:bottom w:val="none" w:color="auto" w:sz="0" w:space="1"/>
      </w:pBdr>
      <w:ind w:firstLine="0" w:firstLineChars="0"/>
      <w:jc w:val="center"/>
      <w:rPr>
        <w:rFonts w:hint="default" w:eastAsiaTheme="minorEastAsia"/>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60D59">
    <w:pPr>
      <w:pStyle w:val="15"/>
      <w:pBdr>
        <w:bottom w:val="single" w:color="auto" w:sz="4" w:space="1"/>
      </w:pBdr>
      <w:ind w:firstLine="0" w:firstLineChars="0"/>
      <w:jc w:val="center"/>
      <w:rPr>
        <w:rFonts w:hint="default" w:eastAsiaTheme="minorEastAsia"/>
        <w:lang w:val="en-US" w:eastAsia="zh-CN"/>
      </w:rPr>
    </w:pPr>
    <w:r>
      <w:rPr>
        <w:rFonts w:hint="eastAsia"/>
      </w:rPr>
      <w:t>甘孜州乡城县冷龙沟流域综合规划</w:t>
    </w:r>
    <w:r>
      <w:rPr>
        <w:rFonts w:hint="eastAsia"/>
        <w:lang w:val="en-US" w:eastAsia="zh-CN"/>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748A6A">
    <w:pPr>
      <w:spacing w:before="56" w:line="226" w:lineRule="auto"/>
      <w:ind w:left="0" w:leftChars="0" w:firstLine="0" w:firstLineChars="0"/>
      <w:rPr>
        <w:rFonts w:ascii="宋体" w:hAnsi="宋体" w:eastAsia="宋体" w:cs="宋体"/>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F7703F"/>
    <w:multiLevelType w:val="singleLevel"/>
    <w:tmpl w:val="80F7703F"/>
    <w:lvl w:ilvl="0" w:tentative="0">
      <w:start w:val="1"/>
      <w:numFmt w:val="bullet"/>
      <w:lvlText w:val=""/>
      <w:lvlJc w:val="left"/>
      <w:pPr>
        <w:ind w:left="420" w:hanging="420"/>
      </w:pPr>
      <w:rPr>
        <w:rFonts w:hint="default" w:ascii="Wingdings" w:hAnsi="Wingdings"/>
      </w:rPr>
    </w:lvl>
  </w:abstractNum>
  <w:abstractNum w:abstractNumId="1">
    <w:nsid w:val="81D59F5C"/>
    <w:multiLevelType w:val="singleLevel"/>
    <w:tmpl w:val="81D59F5C"/>
    <w:lvl w:ilvl="0" w:tentative="0">
      <w:start w:val="26"/>
      <w:numFmt w:val="decimal"/>
      <w:lvlText w:val="%1."/>
      <w:lvlJc w:val="left"/>
      <w:pPr>
        <w:tabs>
          <w:tab w:val="left" w:pos="312"/>
        </w:tabs>
      </w:pPr>
    </w:lvl>
  </w:abstractNum>
  <w:abstractNum w:abstractNumId="2">
    <w:nsid w:val="8DCF8385"/>
    <w:multiLevelType w:val="singleLevel"/>
    <w:tmpl w:val="8DCF8385"/>
    <w:lvl w:ilvl="0" w:tentative="0">
      <w:start w:val="1"/>
      <w:numFmt w:val="decimal"/>
      <w:suff w:val="nothing"/>
      <w:lvlText w:val="（%1）"/>
      <w:lvlJc w:val="left"/>
    </w:lvl>
  </w:abstractNum>
  <w:abstractNum w:abstractNumId="3">
    <w:nsid w:val="8F7ADBE4"/>
    <w:multiLevelType w:val="singleLevel"/>
    <w:tmpl w:val="8F7ADBE4"/>
    <w:lvl w:ilvl="0" w:tentative="0">
      <w:start w:val="1"/>
      <w:numFmt w:val="decimal"/>
      <w:suff w:val="nothing"/>
      <w:lvlText w:val="%1、"/>
      <w:lvlJc w:val="left"/>
    </w:lvl>
  </w:abstractNum>
  <w:abstractNum w:abstractNumId="4">
    <w:nsid w:val="937EC0C3"/>
    <w:multiLevelType w:val="singleLevel"/>
    <w:tmpl w:val="937EC0C3"/>
    <w:lvl w:ilvl="0" w:tentative="0">
      <w:start w:val="1"/>
      <w:numFmt w:val="chineseCounting"/>
      <w:suff w:val="nothing"/>
      <w:lvlText w:val="（%1）"/>
      <w:lvlJc w:val="left"/>
      <w:rPr>
        <w:rFonts w:hint="eastAsia"/>
      </w:rPr>
    </w:lvl>
  </w:abstractNum>
  <w:abstractNum w:abstractNumId="5">
    <w:nsid w:val="984B22A7"/>
    <w:multiLevelType w:val="singleLevel"/>
    <w:tmpl w:val="984B22A7"/>
    <w:lvl w:ilvl="0" w:tentative="0">
      <w:start w:val="1"/>
      <w:numFmt w:val="decimal"/>
      <w:suff w:val="nothing"/>
      <w:lvlText w:val="（%1）"/>
      <w:lvlJc w:val="left"/>
    </w:lvl>
  </w:abstractNum>
  <w:abstractNum w:abstractNumId="6">
    <w:nsid w:val="9854D716"/>
    <w:multiLevelType w:val="singleLevel"/>
    <w:tmpl w:val="9854D716"/>
    <w:lvl w:ilvl="0" w:tentative="0">
      <w:start w:val="1"/>
      <w:numFmt w:val="bullet"/>
      <w:lvlText w:val=""/>
      <w:lvlJc w:val="left"/>
      <w:pPr>
        <w:ind w:left="420" w:hanging="420"/>
      </w:pPr>
      <w:rPr>
        <w:rFonts w:hint="default" w:ascii="Wingdings" w:hAnsi="Wingdings"/>
      </w:rPr>
    </w:lvl>
  </w:abstractNum>
  <w:abstractNum w:abstractNumId="7">
    <w:nsid w:val="9AC07C31"/>
    <w:multiLevelType w:val="singleLevel"/>
    <w:tmpl w:val="9AC07C31"/>
    <w:lvl w:ilvl="0" w:tentative="0">
      <w:start w:val="1"/>
      <w:numFmt w:val="decimal"/>
      <w:suff w:val="nothing"/>
      <w:lvlText w:val="（%1）"/>
      <w:lvlJc w:val="left"/>
    </w:lvl>
  </w:abstractNum>
  <w:abstractNum w:abstractNumId="8">
    <w:nsid w:val="9C4406CD"/>
    <w:multiLevelType w:val="singleLevel"/>
    <w:tmpl w:val="9C4406CD"/>
    <w:lvl w:ilvl="0" w:tentative="0">
      <w:start w:val="1"/>
      <w:numFmt w:val="decimal"/>
      <w:suff w:val="nothing"/>
      <w:lvlText w:val="（%1）"/>
      <w:lvlJc w:val="left"/>
    </w:lvl>
  </w:abstractNum>
  <w:abstractNum w:abstractNumId="9">
    <w:nsid w:val="9C670541"/>
    <w:multiLevelType w:val="singleLevel"/>
    <w:tmpl w:val="9C670541"/>
    <w:lvl w:ilvl="0" w:tentative="0">
      <w:start w:val="1"/>
      <w:numFmt w:val="decimal"/>
      <w:lvlText w:val="%1."/>
      <w:lvlJc w:val="left"/>
      <w:pPr>
        <w:tabs>
          <w:tab w:val="left" w:pos="312"/>
        </w:tabs>
      </w:pPr>
    </w:lvl>
  </w:abstractNum>
  <w:abstractNum w:abstractNumId="10">
    <w:nsid w:val="9D540A82"/>
    <w:multiLevelType w:val="singleLevel"/>
    <w:tmpl w:val="9D540A82"/>
    <w:lvl w:ilvl="0" w:tentative="0">
      <w:start w:val="1"/>
      <w:numFmt w:val="chineseCounting"/>
      <w:suff w:val="nothing"/>
      <w:lvlText w:val="（%1）"/>
      <w:lvlJc w:val="left"/>
      <w:rPr>
        <w:rFonts w:hint="eastAsia"/>
      </w:rPr>
    </w:lvl>
  </w:abstractNum>
  <w:abstractNum w:abstractNumId="11">
    <w:nsid w:val="A3709DFC"/>
    <w:multiLevelType w:val="singleLevel"/>
    <w:tmpl w:val="A3709DFC"/>
    <w:lvl w:ilvl="0" w:tentative="0">
      <w:start w:val="1"/>
      <w:numFmt w:val="chineseCounting"/>
      <w:suff w:val="nothing"/>
      <w:lvlText w:val="（%1）"/>
      <w:lvlJc w:val="left"/>
      <w:rPr>
        <w:rFonts w:hint="eastAsia"/>
      </w:rPr>
    </w:lvl>
  </w:abstractNum>
  <w:abstractNum w:abstractNumId="12">
    <w:nsid w:val="ACD4A249"/>
    <w:multiLevelType w:val="singleLevel"/>
    <w:tmpl w:val="ACD4A249"/>
    <w:lvl w:ilvl="0" w:tentative="0">
      <w:start w:val="1"/>
      <w:numFmt w:val="bullet"/>
      <w:lvlText w:val=""/>
      <w:lvlJc w:val="left"/>
      <w:pPr>
        <w:ind w:left="420" w:hanging="420"/>
      </w:pPr>
      <w:rPr>
        <w:rFonts w:hint="default" w:ascii="Wingdings" w:hAnsi="Wingdings"/>
      </w:rPr>
    </w:lvl>
  </w:abstractNum>
  <w:abstractNum w:abstractNumId="13">
    <w:nsid w:val="AE74A4DC"/>
    <w:multiLevelType w:val="singleLevel"/>
    <w:tmpl w:val="AE74A4DC"/>
    <w:lvl w:ilvl="0" w:tentative="0">
      <w:start w:val="1"/>
      <w:numFmt w:val="decimal"/>
      <w:suff w:val="nothing"/>
      <w:lvlText w:val="（%1）"/>
      <w:lvlJc w:val="left"/>
    </w:lvl>
  </w:abstractNum>
  <w:abstractNum w:abstractNumId="14">
    <w:nsid w:val="B0C55891"/>
    <w:multiLevelType w:val="singleLevel"/>
    <w:tmpl w:val="B0C55891"/>
    <w:lvl w:ilvl="0" w:tentative="0">
      <w:start w:val="25"/>
      <w:numFmt w:val="decimal"/>
      <w:lvlText w:val="%1."/>
      <w:lvlJc w:val="left"/>
      <w:pPr>
        <w:tabs>
          <w:tab w:val="left" w:pos="312"/>
        </w:tabs>
      </w:pPr>
    </w:lvl>
  </w:abstractNum>
  <w:abstractNum w:abstractNumId="15">
    <w:nsid w:val="B2FE30A1"/>
    <w:multiLevelType w:val="singleLevel"/>
    <w:tmpl w:val="B2FE30A1"/>
    <w:lvl w:ilvl="0" w:tentative="0">
      <w:start w:val="1"/>
      <w:numFmt w:val="decimal"/>
      <w:suff w:val="nothing"/>
      <w:lvlText w:val="（%1）"/>
      <w:lvlJc w:val="left"/>
    </w:lvl>
  </w:abstractNum>
  <w:abstractNum w:abstractNumId="16">
    <w:nsid w:val="C0A80F54"/>
    <w:multiLevelType w:val="singleLevel"/>
    <w:tmpl w:val="C0A80F54"/>
    <w:lvl w:ilvl="0" w:tentative="0">
      <w:start w:val="2"/>
      <w:numFmt w:val="decimal"/>
      <w:suff w:val="nothing"/>
      <w:lvlText w:val="%1、"/>
      <w:lvlJc w:val="left"/>
    </w:lvl>
  </w:abstractNum>
  <w:abstractNum w:abstractNumId="17">
    <w:nsid w:val="C127B703"/>
    <w:multiLevelType w:val="singleLevel"/>
    <w:tmpl w:val="C127B703"/>
    <w:lvl w:ilvl="0" w:tentative="0">
      <w:start w:val="2"/>
      <w:numFmt w:val="decimal"/>
      <w:suff w:val="nothing"/>
      <w:lvlText w:val="%1）"/>
      <w:lvlJc w:val="left"/>
    </w:lvl>
  </w:abstractNum>
  <w:abstractNum w:abstractNumId="18">
    <w:nsid w:val="C5C04920"/>
    <w:multiLevelType w:val="singleLevel"/>
    <w:tmpl w:val="C5C04920"/>
    <w:lvl w:ilvl="0" w:tentative="0">
      <w:start w:val="1"/>
      <w:numFmt w:val="decimal"/>
      <w:suff w:val="nothing"/>
      <w:lvlText w:val="（%1）"/>
      <w:lvlJc w:val="left"/>
    </w:lvl>
  </w:abstractNum>
  <w:abstractNum w:abstractNumId="19">
    <w:nsid w:val="CA80D847"/>
    <w:multiLevelType w:val="singleLevel"/>
    <w:tmpl w:val="CA80D847"/>
    <w:lvl w:ilvl="0" w:tentative="0">
      <w:start w:val="12"/>
      <w:numFmt w:val="decimal"/>
      <w:lvlText w:val="%1."/>
      <w:lvlJc w:val="left"/>
      <w:pPr>
        <w:tabs>
          <w:tab w:val="left" w:pos="312"/>
        </w:tabs>
      </w:pPr>
    </w:lvl>
  </w:abstractNum>
  <w:abstractNum w:abstractNumId="20">
    <w:nsid w:val="CB9D0BD3"/>
    <w:multiLevelType w:val="singleLevel"/>
    <w:tmpl w:val="CB9D0BD3"/>
    <w:lvl w:ilvl="0" w:tentative="0">
      <w:start w:val="1"/>
      <w:numFmt w:val="decimal"/>
      <w:suff w:val="nothing"/>
      <w:lvlText w:val="%1、"/>
      <w:lvlJc w:val="left"/>
    </w:lvl>
  </w:abstractNum>
  <w:abstractNum w:abstractNumId="21">
    <w:nsid w:val="CBD81C16"/>
    <w:multiLevelType w:val="singleLevel"/>
    <w:tmpl w:val="CBD81C16"/>
    <w:lvl w:ilvl="0" w:tentative="0">
      <w:start w:val="1"/>
      <w:numFmt w:val="decimal"/>
      <w:suff w:val="nothing"/>
      <w:lvlText w:val="（%1）"/>
      <w:lvlJc w:val="left"/>
    </w:lvl>
  </w:abstractNum>
  <w:abstractNum w:abstractNumId="22">
    <w:nsid w:val="D703D91B"/>
    <w:multiLevelType w:val="singleLevel"/>
    <w:tmpl w:val="D703D91B"/>
    <w:lvl w:ilvl="0" w:tentative="0">
      <w:start w:val="1"/>
      <w:numFmt w:val="decimal"/>
      <w:suff w:val="nothing"/>
      <w:lvlText w:val="（%1）"/>
      <w:lvlJc w:val="left"/>
    </w:lvl>
  </w:abstractNum>
  <w:abstractNum w:abstractNumId="23">
    <w:nsid w:val="D8E7BFEB"/>
    <w:multiLevelType w:val="singleLevel"/>
    <w:tmpl w:val="D8E7BFEB"/>
    <w:lvl w:ilvl="0" w:tentative="0">
      <w:start w:val="1"/>
      <w:numFmt w:val="decimal"/>
      <w:suff w:val="nothing"/>
      <w:lvlText w:val="%1）"/>
      <w:lvlJc w:val="left"/>
    </w:lvl>
  </w:abstractNum>
  <w:abstractNum w:abstractNumId="24">
    <w:nsid w:val="E046ED28"/>
    <w:multiLevelType w:val="singleLevel"/>
    <w:tmpl w:val="E046ED28"/>
    <w:lvl w:ilvl="0" w:tentative="0">
      <w:start w:val="1"/>
      <w:numFmt w:val="decimal"/>
      <w:suff w:val="nothing"/>
      <w:lvlText w:val="%1、"/>
      <w:lvlJc w:val="left"/>
    </w:lvl>
  </w:abstractNum>
  <w:abstractNum w:abstractNumId="25">
    <w:nsid w:val="E1B2F477"/>
    <w:multiLevelType w:val="singleLevel"/>
    <w:tmpl w:val="E1B2F477"/>
    <w:lvl w:ilvl="0" w:tentative="0">
      <w:start w:val="1"/>
      <w:numFmt w:val="decimal"/>
      <w:suff w:val="nothing"/>
      <w:lvlText w:val="（%1）"/>
      <w:lvlJc w:val="left"/>
    </w:lvl>
  </w:abstractNum>
  <w:abstractNum w:abstractNumId="26">
    <w:nsid w:val="E441ED89"/>
    <w:multiLevelType w:val="singleLevel"/>
    <w:tmpl w:val="E441ED89"/>
    <w:lvl w:ilvl="0" w:tentative="0">
      <w:start w:val="1"/>
      <w:numFmt w:val="decimal"/>
      <w:suff w:val="nothing"/>
      <w:lvlText w:val="（%1）"/>
      <w:lvlJc w:val="left"/>
    </w:lvl>
  </w:abstractNum>
  <w:abstractNum w:abstractNumId="27">
    <w:nsid w:val="E5801537"/>
    <w:multiLevelType w:val="singleLevel"/>
    <w:tmpl w:val="E5801537"/>
    <w:lvl w:ilvl="0" w:tentative="0">
      <w:start w:val="34"/>
      <w:numFmt w:val="decimal"/>
      <w:lvlText w:val="%1."/>
      <w:lvlJc w:val="left"/>
      <w:pPr>
        <w:tabs>
          <w:tab w:val="left" w:pos="312"/>
        </w:tabs>
      </w:pPr>
    </w:lvl>
  </w:abstractNum>
  <w:abstractNum w:abstractNumId="28">
    <w:nsid w:val="EA24E6CF"/>
    <w:multiLevelType w:val="singleLevel"/>
    <w:tmpl w:val="EA24E6CF"/>
    <w:lvl w:ilvl="0" w:tentative="0">
      <w:start w:val="1"/>
      <w:numFmt w:val="decimal"/>
      <w:suff w:val="nothing"/>
      <w:lvlText w:val="%1、"/>
      <w:lvlJc w:val="left"/>
    </w:lvl>
  </w:abstractNum>
  <w:abstractNum w:abstractNumId="29">
    <w:nsid w:val="EC0CC9D3"/>
    <w:multiLevelType w:val="singleLevel"/>
    <w:tmpl w:val="EC0CC9D3"/>
    <w:lvl w:ilvl="0" w:tentative="0">
      <w:start w:val="1"/>
      <w:numFmt w:val="decimal"/>
      <w:suff w:val="nothing"/>
      <w:lvlText w:val="%1、"/>
      <w:lvlJc w:val="left"/>
    </w:lvl>
  </w:abstractNum>
  <w:abstractNum w:abstractNumId="30">
    <w:nsid w:val="EC557AF5"/>
    <w:multiLevelType w:val="singleLevel"/>
    <w:tmpl w:val="EC557AF5"/>
    <w:lvl w:ilvl="0" w:tentative="0">
      <w:start w:val="1"/>
      <w:numFmt w:val="decimal"/>
      <w:suff w:val="nothing"/>
      <w:lvlText w:val="%1、"/>
      <w:lvlJc w:val="left"/>
    </w:lvl>
  </w:abstractNum>
  <w:abstractNum w:abstractNumId="31">
    <w:nsid w:val="F443AD56"/>
    <w:multiLevelType w:val="singleLevel"/>
    <w:tmpl w:val="F443AD56"/>
    <w:lvl w:ilvl="0" w:tentative="0">
      <w:start w:val="1"/>
      <w:numFmt w:val="decimal"/>
      <w:suff w:val="nothing"/>
      <w:lvlText w:val="（%1）"/>
      <w:lvlJc w:val="left"/>
    </w:lvl>
  </w:abstractNum>
  <w:abstractNum w:abstractNumId="32">
    <w:nsid w:val="F49F39F3"/>
    <w:multiLevelType w:val="singleLevel"/>
    <w:tmpl w:val="F49F39F3"/>
    <w:lvl w:ilvl="0" w:tentative="0">
      <w:start w:val="2"/>
      <w:numFmt w:val="decimal"/>
      <w:lvlText w:val="%1."/>
      <w:lvlJc w:val="left"/>
      <w:pPr>
        <w:tabs>
          <w:tab w:val="left" w:pos="312"/>
        </w:tabs>
      </w:pPr>
    </w:lvl>
  </w:abstractNum>
  <w:abstractNum w:abstractNumId="33">
    <w:nsid w:val="F64430FB"/>
    <w:multiLevelType w:val="singleLevel"/>
    <w:tmpl w:val="F64430FB"/>
    <w:lvl w:ilvl="0" w:tentative="0">
      <w:start w:val="7"/>
      <w:numFmt w:val="decimal"/>
      <w:lvlText w:val="%1."/>
      <w:lvlJc w:val="left"/>
      <w:pPr>
        <w:tabs>
          <w:tab w:val="left" w:pos="312"/>
        </w:tabs>
      </w:pPr>
    </w:lvl>
  </w:abstractNum>
  <w:abstractNum w:abstractNumId="34">
    <w:nsid w:val="F855FE6E"/>
    <w:multiLevelType w:val="singleLevel"/>
    <w:tmpl w:val="F855FE6E"/>
    <w:lvl w:ilvl="0" w:tentative="0">
      <w:start w:val="1"/>
      <w:numFmt w:val="decimal"/>
      <w:suff w:val="nothing"/>
      <w:lvlText w:val="（%1）"/>
      <w:lvlJc w:val="left"/>
    </w:lvl>
  </w:abstractNum>
  <w:abstractNum w:abstractNumId="35">
    <w:nsid w:val="FC6F8515"/>
    <w:multiLevelType w:val="singleLevel"/>
    <w:tmpl w:val="FC6F8515"/>
    <w:lvl w:ilvl="0" w:tentative="0">
      <w:start w:val="1"/>
      <w:numFmt w:val="decimal"/>
      <w:suff w:val="nothing"/>
      <w:lvlText w:val="（%1）"/>
      <w:lvlJc w:val="left"/>
    </w:lvl>
  </w:abstractNum>
  <w:abstractNum w:abstractNumId="36">
    <w:nsid w:val="FCCF7792"/>
    <w:multiLevelType w:val="singleLevel"/>
    <w:tmpl w:val="FCCF7792"/>
    <w:lvl w:ilvl="0" w:tentative="0">
      <w:start w:val="1"/>
      <w:numFmt w:val="decimal"/>
      <w:suff w:val="nothing"/>
      <w:lvlText w:val="（%1）"/>
      <w:lvlJc w:val="left"/>
    </w:lvl>
  </w:abstractNum>
  <w:abstractNum w:abstractNumId="37">
    <w:nsid w:val="0117B0DA"/>
    <w:multiLevelType w:val="singleLevel"/>
    <w:tmpl w:val="0117B0DA"/>
    <w:lvl w:ilvl="0" w:tentative="0">
      <w:start w:val="1"/>
      <w:numFmt w:val="decimal"/>
      <w:suff w:val="nothing"/>
      <w:lvlText w:val="（%1）"/>
      <w:lvlJc w:val="left"/>
    </w:lvl>
  </w:abstractNum>
  <w:abstractNum w:abstractNumId="38">
    <w:nsid w:val="01D42ED7"/>
    <w:multiLevelType w:val="singleLevel"/>
    <w:tmpl w:val="01D42ED7"/>
    <w:lvl w:ilvl="0" w:tentative="0">
      <w:start w:val="1"/>
      <w:numFmt w:val="decimal"/>
      <w:suff w:val="nothing"/>
      <w:lvlText w:val="%1、"/>
      <w:lvlJc w:val="left"/>
    </w:lvl>
  </w:abstractNum>
  <w:abstractNum w:abstractNumId="39">
    <w:nsid w:val="02CBF12A"/>
    <w:multiLevelType w:val="singleLevel"/>
    <w:tmpl w:val="02CBF12A"/>
    <w:lvl w:ilvl="0" w:tentative="0">
      <w:start w:val="1"/>
      <w:numFmt w:val="bullet"/>
      <w:lvlText w:val=""/>
      <w:lvlJc w:val="left"/>
      <w:pPr>
        <w:ind w:left="420" w:hanging="420"/>
      </w:pPr>
      <w:rPr>
        <w:rFonts w:hint="default" w:ascii="Wingdings" w:hAnsi="Wingdings"/>
      </w:rPr>
    </w:lvl>
  </w:abstractNum>
  <w:abstractNum w:abstractNumId="40">
    <w:nsid w:val="09131E36"/>
    <w:multiLevelType w:val="singleLevel"/>
    <w:tmpl w:val="09131E36"/>
    <w:lvl w:ilvl="0" w:tentative="0">
      <w:start w:val="1"/>
      <w:numFmt w:val="decimal"/>
      <w:suff w:val="nothing"/>
      <w:lvlText w:val="（%1）"/>
      <w:lvlJc w:val="left"/>
    </w:lvl>
  </w:abstractNum>
  <w:abstractNum w:abstractNumId="41">
    <w:nsid w:val="0ABEFBB2"/>
    <w:multiLevelType w:val="singleLevel"/>
    <w:tmpl w:val="0ABEFBB2"/>
    <w:lvl w:ilvl="0" w:tentative="0">
      <w:start w:val="1"/>
      <w:numFmt w:val="chineseCounting"/>
      <w:suff w:val="nothing"/>
      <w:lvlText w:val="（%1）"/>
      <w:lvlJc w:val="left"/>
      <w:rPr>
        <w:rFonts w:hint="eastAsia"/>
      </w:rPr>
    </w:lvl>
  </w:abstractNum>
  <w:abstractNum w:abstractNumId="42">
    <w:nsid w:val="0C9E679D"/>
    <w:multiLevelType w:val="singleLevel"/>
    <w:tmpl w:val="0C9E679D"/>
    <w:lvl w:ilvl="0" w:tentative="0">
      <w:start w:val="1"/>
      <w:numFmt w:val="decimal"/>
      <w:lvlText w:val="%1."/>
      <w:lvlJc w:val="left"/>
      <w:pPr>
        <w:tabs>
          <w:tab w:val="left" w:pos="312"/>
        </w:tabs>
      </w:pPr>
    </w:lvl>
  </w:abstractNum>
  <w:abstractNum w:abstractNumId="43">
    <w:nsid w:val="165D93D0"/>
    <w:multiLevelType w:val="singleLevel"/>
    <w:tmpl w:val="165D93D0"/>
    <w:lvl w:ilvl="0" w:tentative="0">
      <w:start w:val="1"/>
      <w:numFmt w:val="decimal"/>
      <w:suff w:val="nothing"/>
      <w:lvlText w:val="（%1）"/>
      <w:lvlJc w:val="left"/>
    </w:lvl>
  </w:abstractNum>
  <w:abstractNum w:abstractNumId="44">
    <w:nsid w:val="1886605B"/>
    <w:multiLevelType w:val="singleLevel"/>
    <w:tmpl w:val="1886605B"/>
    <w:lvl w:ilvl="0" w:tentative="0">
      <w:start w:val="1"/>
      <w:numFmt w:val="decimal"/>
      <w:suff w:val="nothing"/>
      <w:lvlText w:val="（%1）"/>
      <w:lvlJc w:val="left"/>
    </w:lvl>
  </w:abstractNum>
  <w:abstractNum w:abstractNumId="45">
    <w:nsid w:val="1932883B"/>
    <w:multiLevelType w:val="multilevel"/>
    <w:tmpl w:val="1932883B"/>
    <w:lvl w:ilvl="0" w:tentative="0">
      <w:start w:val="1"/>
      <w:numFmt w:val="decimal"/>
      <w:pStyle w:val="2"/>
      <w:lvlText w:val="%1."/>
      <w:lvlJc w:val="left"/>
      <w:pPr>
        <w:ind w:left="432" w:hanging="432"/>
      </w:pPr>
      <w:rPr>
        <w:rFonts w:hint="default" w:ascii="Times New Roman" w:hAnsi="Times New Roman"/>
        <w:b/>
        <w:sz w:val="32"/>
        <w:szCs w:val="32"/>
      </w:rPr>
    </w:lvl>
    <w:lvl w:ilvl="1" w:tentative="0">
      <w:start w:val="1"/>
      <w:numFmt w:val="decimal"/>
      <w:pStyle w:val="3"/>
      <w:lvlText w:val="%1.%2."/>
      <w:lvlJc w:val="left"/>
      <w:pPr>
        <w:ind w:left="575" w:hanging="575"/>
      </w:pPr>
      <w:rPr>
        <w:rFonts w:hint="default" w:ascii="Times New Roman" w:hAnsi="Times New Roman"/>
        <w:b/>
        <w:sz w:val="28"/>
        <w:szCs w:val="28"/>
      </w:rPr>
    </w:lvl>
    <w:lvl w:ilvl="2" w:tentative="0">
      <w:start w:val="1"/>
      <w:numFmt w:val="decimal"/>
      <w:pStyle w:val="4"/>
      <w:lvlText w:val="%1.%2.%3."/>
      <w:lvlJc w:val="left"/>
      <w:pPr>
        <w:ind w:left="720" w:hanging="720"/>
      </w:pPr>
      <w:rPr>
        <w:rFonts w:hint="default" w:ascii="Times New Roman" w:hAnsi="Times New Roman"/>
        <w:sz w:val="24"/>
        <w:szCs w:val="24"/>
      </w:rPr>
    </w:lvl>
    <w:lvl w:ilvl="3" w:tentative="0">
      <w:start w:val="1"/>
      <w:numFmt w:val="decimal"/>
      <w:pStyle w:val="5"/>
      <w:suff w:val="nothing"/>
      <w:lvlText w:val="%1.%2.%3.%4."/>
      <w:lvlJc w:val="left"/>
      <w:pPr>
        <w:ind w:left="0" w:leftChars="0" w:firstLine="0" w:firstLineChars="0"/>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46">
    <w:nsid w:val="1B35A1F7"/>
    <w:multiLevelType w:val="singleLevel"/>
    <w:tmpl w:val="1B35A1F7"/>
    <w:lvl w:ilvl="0" w:tentative="0">
      <w:start w:val="1"/>
      <w:numFmt w:val="decimal"/>
      <w:suff w:val="nothing"/>
      <w:lvlText w:val="（%1）"/>
      <w:lvlJc w:val="left"/>
    </w:lvl>
  </w:abstractNum>
  <w:abstractNum w:abstractNumId="47">
    <w:nsid w:val="1CF9A12A"/>
    <w:multiLevelType w:val="singleLevel"/>
    <w:tmpl w:val="1CF9A12A"/>
    <w:lvl w:ilvl="0" w:tentative="0">
      <w:start w:val="1"/>
      <w:numFmt w:val="decimal"/>
      <w:suff w:val="nothing"/>
      <w:lvlText w:val="（%1）"/>
      <w:lvlJc w:val="left"/>
    </w:lvl>
  </w:abstractNum>
  <w:abstractNum w:abstractNumId="48">
    <w:nsid w:val="27586C2E"/>
    <w:multiLevelType w:val="singleLevel"/>
    <w:tmpl w:val="27586C2E"/>
    <w:lvl w:ilvl="0" w:tentative="0">
      <w:start w:val="1"/>
      <w:numFmt w:val="decimal"/>
      <w:suff w:val="nothing"/>
      <w:lvlText w:val="（%1）"/>
      <w:lvlJc w:val="left"/>
    </w:lvl>
  </w:abstractNum>
  <w:abstractNum w:abstractNumId="49">
    <w:nsid w:val="2BA0AAD6"/>
    <w:multiLevelType w:val="singleLevel"/>
    <w:tmpl w:val="2BA0AAD6"/>
    <w:lvl w:ilvl="0" w:tentative="0">
      <w:start w:val="1"/>
      <w:numFmt w:val="decimal"/>
      <w:suff w:val="nothing"/>
      <w:lvlText w:val="%1、"/>
      <w:lvlJc w:val="left"/>
    </w:lvl>
  </w:abstractNum>
  <w:abstractNum w:abstractNumId="50">
    <w:nsid w:val="2EF35179"/>
    <w:multiLevelType w:val="singleLevel"/>
    <w:tmpl w:val="2EF35179"/>
    <w:lvl w:ilvl="0" w:tentative="0">
      <w:start w:val="1"/>
      <w:numFmt w:val="decimal"/>
      <w:suff w:val="nothing"/>
      <w:lvlText w:val="（%1）"/>
      <w:lvlJc w:val="left"/>
      <w:pPr>
        <w:ind w:left="0" w:leftChars="0" w:firstLine="40" w:firstLineChars="0"/>
      </w:pPr>
      <w:rPr>
        <w:rFonts w:hint="default"/>
      </w:rPr>
    </w:lvl>
  </w:abstractNum>
  <w:abstractNum w:abstractNumId="51">
    <w:nsid w:val="2F686E18"/>
    <w:multiLevelType w:val="singleLevel"/>
    <w:tmpl w:val="2F686E18"/>
    <w:lvl w:ilvl="0" w:tentative="0">
      <w:start w:val="27"/>
      <w:numFmt w:val="decimal"/>
      <w:lvlText w:val="%1."/>
      <w:lvlJc w:val="left"/>
      <w:pPr>
        <w:tabs>
          <w:tab w:val="left" w:pos="312"/>
        </w:tabs>
      </w:pPr>
    </w:lvl>
  </w:abstractNum>
  <w:abstractNum w:abstractNumId="52">
    <w:nsid w:val="2FCC8ED7"/>
    <w:multiLevelType w:val="singleLevel"/>
    <w:tmpl w:val="2FCC8ED7"/>
    <w:lvl w:ilvl="0" w:tentative="0">
      <w:start w:val="1"/>
      <w:numFmt w:val="decimal"/>
      <w:suff w:val="nothing"/>
      <w:lvlText w:val="%1、"/>
      <w:lvlJc w:val="left"/>
    </w:lvl>
  </w:abstractNum>
  <w:abstractNum w:abstractNumId="53">
    <w:nsid w:val="393E88F6"/>
    <w:multiLevelType w:val="singleLevel"/>
    <w:tmpl w:val="393E88F6"/>
    <w:lvl w:ilvl="0" w:tentative="0">
      <w:start w:val="1"/>
      <w:numFmt w:val="bullet"/>
      <w:lvlText w:val=""/>
      <w:lvlJc w:val="left"/>
      <w:pPr>
        <w:ind w:left="420" w:hanging="420"/>
      </w:pPr>
      <w:rPr>
        <w:rFonts w:hint="default" w:ascii="Wingdings" w:hAnsi="Wingdings"/>
      </w:rPr>
    </w:lvl>
  </w:abstractNum>
  <w:abstractNum w:abstractNumId="54">
    <w:nsid w:val="3AD9446D"/>
    <w:multiLevelType w:val="singleLevel"/>
    <w:tmpl w:val="3AD9446D"/>
    <w:lvl w:ilvl="0" w:tentative="0">
      <w:start w:val="1"/>
      <w:numFmt w:val="decimal"/>
      <w:suff w:val="nothing"/>
      <w:lvlText w:val="（%1）"/>
      <w:lvlJc w:val="left"/>
    </w:lvl>
  </w:abstractNum>
  <w:abstractNum w:abstractNumId="55">
    <w:nsid w:val="3E0E9A73"/>
    <w:multiLevelType w:val="singleLevel"/>
    <w:tmpl w:val="3E0E9A73"/>
    <w:lvl w:ilvl="0" w:tentative="0">
      <w:start w:val="1"/>
      <w:numFmt w:val="chineseCounting"/>
      <w:suff w:val="nothing"/>
      <w:lvlText w:val="%1、"/>
      <w:lvlJc w:val="left"/>
      <w:rPr>
        <w:rFonts w:hint="eastAsia"/>
      </w:rPr>
    </w:lvl>
  </w:abstractNum>
  <w:abstractNum w:abstractNumId="56">
    <w:nsid w:val="40F27C7D"/>
    <w:multiLevelType w:val="singleLevel"/>
    <w:tmpl w:val="40F27C7D"/>
    <w:lvl w:ilvl="0" w:tentative="0">
      <w:start w:val="1"/>
      <w:numFmt w:val="bullet"/>
      <w:lvlText w:val=""/>
      <w:lvlJc w:val="left"/>
      <w:pPr>
        <w:ind w:left="420" w:hanging="420"/>
      </w:pPr>
      <w:rPr>
        <w:rFonts w:hint="default" w:ascii="Wingdings" w:hAnsi="Wingdings"/>
      </w:rPr>
    </w:lvl>
  </w:abstractNum>
  <w:abstractNum w:abstractNumId="57">
    <w:nsid w:val="41385A10"/>
    <w:multiLevelType w:val="singleLevel"/>
    <w:tmpl w:val="41385A10"/>
    <w:lvl w:ilvl="0" w:tentative="0">
      <w:start w:val="1"/>
      <w:numFmt w:val="decimal"/>
      <w:suff w:val="nothing"/>
      <w:lvlText w:val="%1）"/>
      <w:lvlJc w:val="left"/>
    </w:lvl>
  </w:abstractNum>
  <w:abstractNum w:abstractNumId="58">
    <w:nsid w:val="498799DD"/>
    <w:multiLevelType w:val="singleLevel"/>
    <w:tmpl w:val="498799DD"/>
    <w:lvl w:ilvl="0" w:tentative="0">
      <w:start w:val="1"/>
      <w:numFmt w:val="decimal"/>
      <w:suff w:val="nothing"/>
      <w:lvlText w:val="（%1）"/>
      <w:lvlJc w:val="left"/>
    </w:lvl>
  </w:abstractNum>
  <w:abstractNum w:abstractNumId="59">
    <w:nsid w:val="498DE390"/>
    <w:multiLevelType w:val="singleLevel"/>
    <w:tmpl w:val="498DE390"/>
    <w:lvl w:ilvl="0" w:tentative="0">
      <w:start w:val="1"/>
      <w:numFmt w:val="decimal"/>
      <w:suff w:val="nothing"/>
      <w:lvlText w:val="%1）"/>
      <w:lvlJc w:val="left"/>
      <w:rPr>
        <w:rFonts w:hint="default"/>
        <w:b/>
        <w:bCs/>
      </w:rPr>
    </w:lvl>
  </w:abstractNum>
  <w:abstractNum w:abstractNumId="60">
    <w:nsid w:val="49EC747E"/>
    <w:multiLevelType w:val="singleLevel"/>
    <w:tmpl w:val="49EC747E"/>
    <w:lvl w:ilvl="0" w:tentative="0">
      <w:start w:val="1"/>
      <w:numFmt w:val="decimal"/>
      <w:suff w:val="nothing"/>
      <w:lvlText w:val="（%1）"/>
      <w:lvlJc w:val="left"/>
      <w:rPr>
        <w:rFonts w:hint="default"/>
        <w:color w:val="auto"/>
      </w:rPr>
    </w:lvl>
  </w:abstractNum>
  <w:abstractNum w:abstractNumId="61">
    <w:nsid w:val="4BBB1080"/>
    <w:multiLevelType w:val="singleLevel"/>
    <w:tmpl w:val="4BBB1080"/>
    <w:lvl w:ilvl="0" w:tentative="0">
      <w:start w:val="1"/>
      <w:numFmt w:val="chineseCounting"/>
      <w:suff w:val="nothing"/>
      <w:lvlText w:val="（%1）"/>
      <w:lvlJc w:val="left"/>
      <w:rPr>
        <w:rFonts w:hint="eastAsia"/>
      </w:rPr>
    </w:lvl>
  </w:abstractNum>
  <w:abstractNum w:abstractNumId="62">
    <w:nsid w:val="4DDDDE31"/>
    <w:multiLevelType w:val="singleLevel"/>
    <w:tmpl w:val="4DDDDE31"/>
    <w:lvl w:ilvl="0" w:tentative="0">
      <w:start w:val="1"/>
      <w:numFmt w:val="bullet"/>
      <w:lvlText w:val=""/>
      <w:lvlJc w:val="left"/>
      <w:pPr>
        <w:ind w:left="420" w:hanging="420"/>
      </w:pPr>
      <w:rPr>
        <w:rFonts w:hint="default" w:ascii="Wingdings" w:hAnsi="Wingdings"/>
      </w:rPr>
    </w:lvl>
  </w:abstractNum>
  <w:abstractNum w:abstractNumId="63">
    <w:nsid w:val="537C08B0"/>
    <w:multiLevelType w:val="singleLevel"/>
    <w:tmpl w:val="537C08B0"/>
    <w:lvl w:ilvl="0" w:tentative="0">
      <w:start w:val="1"/>
      <w:numFmt w:val="decimal"/>
      <w:suff w:val="nothing"/>
      <w:lvlText w:val="（%1）"/>
      <w:lvlJc w:val="left"/>
    </w:lvl>
  </w:abstractNum>
  <w:abstractNum w:abstractNumId="64">
    <w:nsid w:val="54F39216"/>
    <w:multiLevelType w:val="singleLevel"/>
    <w:tmpl w:val="54F39216"/>
    <w:lvl w:ilvl="0" w:tentative="0">
      <w:start w:val="28"/>
      <w:numFmt w:val="decimal"/>
      <w:lvlText w:val="%1."/>
      <w:lvlJc w:val="left"/>
      <w:pPr>
        <w:tabs>
          <w:tab w:val="left" w:pos="312"/>
        </w:tabs>
      </w:pPr>
    </w:lvl>
  </w:abstractNum>
  <w:abstractNum w:abstractNumId="65">
    <w:nsid w:val="67052BA3"/>
    <w:multiLevelType w:val="singleLevel"/>
    <w:tmpl w:val="67052BA3"/>
    <w:lvl w:ilvl="0" w:tentative="0">
      <w:start w:val="1"/>
      <w:numFmt w:val="decimal"/>
      <w:suff w:val="nothing"/>
      <w:lvlText w:val="（%1）"/>
      <w:lvlJc w:val="left"/>
    </w:lvl>
  </w:abstractNum>
  <w:abstractNum w:abstractNumId="66">
    <w:nsid w:val="67741FB1"/>
    <w:multiLevelType w:val="singleLevel"/>
    <w:tmpl w:val="67741FB1"/>
    <w:lvl w:ilvl="0" w:tentative="0">
      <w:start w:val="1"/>
      <w:numFmt w:val="decimal"/>
      <w:suff w:val="nothing"/>
      <w:lvlText w:val="（%1）"/>
      <w:lvlJc w:val="left"/>
    </w:lvl>
  </w:abstractNum>
  <w:abstractNum w:abstractNumId="67">
    <w:nsid w:val="68DD908F"/>
    <w:multiLevelType w:val="singleLevel"/>
    <w:tmpl w:val="68DD908F"/>
    <w:lvl w:ilvl="0" w:tentative="0">
      <w:start w:val="1"/>
      <w:numFmt w:val="decimal"/>
      <w:suff w:val="nothing"/>
      <w:lvlText w:val="（%1）"/>
      <w:lvlJc w:val="left"/>
    </w:lvl>
  </w:abstractNum>
  <w:abstractNum w:abstractNumId="68">
    <w:nsid w:val="74AA3932"/>
    <w:multiLevelType w:val="singleLevel"/>
    <w:tmpl w:val="74AA3932"/>
    <w:lvl w:ilvl="0" w:tentative="0">
      <w:start w:val="1"/>
      <w:numFmt w:val="decimal"/>
      <w:suff w:val="nothing"/>
      <w:lvlText w:val="%1、"/>
      <w:lvlJc w:val="left"/>
    </w:lvl>
  </w:abstractNum>
  <w:abstractNum w:abstractNumId="69">
    <w:nsid w:val="7C5B61D0"/>
    <w:multiLevelType w:val="singleLevel"/>
    <w:tmpl w:val="7C5B61D0"/>
    <w:lvl w:ilvl="0" w:tentative="0">
      <w:start w:val="24"/>
      <w:numFmt w:val="decimal"/>
      <w:lvlText w:val="%1."/>
      <w:lvlJc w:val="left"/>
      <w:pPr>
        <w:tabs>
          <w:tab w:val="left" w:pos="312"/>
        </w:tabs>
      </w:pPr>
    </w:lvl>
  </w:abstractNum>
  <w:abstractNum w:abstractNumId="70">
    <w:nsid w:val="7DBEE4BE"/>
    <w:multiLevelType w:val="singleLevel"/>
    <w:tmpl w:val="7DBEE4BE"/>
    <w:lvl w:ilvl="0" w:tentative="0">
      <w:start w:val="6"/>
      <w:numFmt w:val="decimal"/>
      <w:lvlText w:val="%1."/>
      <w:lvlJc w:val="left"/>
      <w:pPr>
        <w:tabs>
          <w:tab w:val="left" w:pos="312"/>
        </w:tabs>
      </w:pPr>
    </w:lvl>
  </w:abstractNum>
  <w:num w:numId="1">
    <w:abstractNumId w:val="45"/>
  </w:num>
  <w:num w:numId="2">
    <w:abstractNumId w:val="50"/>
  </w:num>
  <w:num w:numId="3">
    <w:abstractNumId w:val="60"/>
  </w:num>
  <w:num w:numId="4">
    <w:abstractNumId w:val="7"/>
  </w:num>
  <w:num w:numId="5">
    <w:abstractNumId w:val="66"/>
  </w:num>
  <w:num w:numId="6">
    <w:abstractNumId w:val="37"/>
  </w:num>
  <w:num w:numId="7">
    <w:abstractNumId w:val="13"/>
  </w:num>
  <w:num w:numId="8">
    <w:abstractNumId w:val="10"/>
  </w:num>
  <w:num w:numId="9">
    <w:abstractNumId w:val="61"/>
  </w:num>
  <w:num w:numId="10">
    <w:abstractNumId w:val="41"/>
  </w:num>
  <w:num w:numId="11">
    <w:abstractNumId w:val="11"/>
  </w:num>
  <w:num w:numId="12">
    <w:abstractNumId w:val="4"/>
  </w:num>
  <w:num w:numId="13">
    <w:abstractNumId w:val="65"/>
  </w:num>
  <w:num w:numId="14">
    <w:abstractNumId w:val="54"/>
  </w:num>
  <w:num w:numId="15">
    <w:abstractNumId w:val="31"/>
  </w:num>
  <w:num w:numId="16">
    <w:abstractNumId w:val="43"/>
  </w:num>
  <w:num w:numId="17">
    <w:abstractNumId w:val="68"/>
  </w:num>
  <w:num w:numId="18">
    <w:abstractNumId w:val="63"/>
  </w:num>
  <w:num w:numId="19">
    <w:abstractNumId w:val="24"/>
  </w:num>
  <w:num w:numId="20">
    <w:abstractNumId w:val="53"/>
  </w:num>
  <w:num w:numId="21">
    <w:abstractNumId w:val="0"/>
  </w:num>
  <w:num w:numId="22">
    <w:abstractNumId w:val="6"/>
  </w:num>
  <w:num w:numId="23">
    <w:abstractNumId w:val="56"/>
  </w:num>
  <w:num w:numId="24">
    <w:abstractNumId w:val="49"/>
  </w:num>
  <w:num w:numId="25">
    <w:abstractNumId w:val="12"/>
  </w:num>
  <w:num w:numId="26">
    <w:abstractNumId w:val="39"/>
  </w:num>
  <w:num w:numId="27">
    <w:abstractNumId w:val="16"/>
  </w:num>
  <w:num w:numId="28">
    <w:abstractNumId w:val="17"/>
  </w:num>
  <w:num w:numId="29">
    <w:abstractNumId w:val="2"/>
  </w:num>
  <w:num w:numId="30">
    <w:abstractNumId w:val="57"/>
  </w:num>
  <w:num w:numId="31">
    <w:abstractNumId w:val="9"/>
  </w:num>
  <w:num w:numId="32">
    <w:abstractNumId w:val="32"/>
  </w:num>
  <w:num w:numId="33">
    <w:abstractNumId w:val="70"/>
  </w:num>
  <w:num w:numId="34">
    <w:abstractNumId w:val="19"/>
  </w:num>
  <w:num w:numId="35">
    <w:abstractNumId w:val="33"/>
  </w:num>
  <w:num w:numId="36">
    <w:abstractNumId w:val="69"/>
  </w:num>
  <w:num w:numId="37">
    <w:abstractNumId w:val="14"/>
  </w:num>
  <w:num w:numId="38">
    <w:abstractNumId w:val="1"/>
  </w:num>
  <w:num w:numId="39">
    <w:abstractNumId w:val="51"/>
  </w:num>
  <w:num w:numId="40">
    <w:abstractNumId w:val="64"/>
  </w:num>
  <w:num w:numId="41">
    <w:abstractNumId w:val="27"/>
  </w:num>
  <w:num w:numId="42">
    <w:abstractNumId w:val="47"/>
  </w:num>
  <w:num w:numId="43">
    <w:abstractNumId w:val="23"/>
  </w:num>
  <w:num w:numId="44">
    <w:abstractNumId w:val="28"/>
  </w:num>
  <w:num w:numId="45">
    <w:abstractNumId w:val="18"/>
  </w:num>
  <w:num w:numId="46">
    <w:abstractNumId w:val="21"/>
  </w:num>
  <w:num w:numId="47">
    <w:abstractNumId w:val="52"/>
  </w:num>
  <w:num w:numId="48">
    <w:abstractNumId w:val="67"/>
  </w:num>
  <w:num w:numId="49">
    <w:abstractNumId w:val="26"/>
  </w:num>
  <w:num w:numId="50">
    <w:abstractNumId w:val="30"/>
  </w:num>
  <w:num w:numId="51">
    <w:abstractNumId w:val="3"/>
  </w:num>
  <w:num w:numId="52">
    <w:abstractNumId w:val="59"/>
  </w:num>
  <w:num w:numId="53">
    <w:abstractNumId w:val="38"/>
  </w:num>
  <w:num w:numId="54">
    <w:abstractNumId w:val="25"/>
  </w:num>
  <w:num w:numId="55">
    <w:abstractNumId w:val="34"/>
  </w:num>
  <w:num w:numId="56">
    <w:abstractNumId w:val="44"/>
  </w:num>
  <w:num w:numId="57">
    <w:abstractNumId w:val="40"/>
  </w:num>
  <w:num w:numId="58">
    <w:abstractNumId w:val="29"/>
  </w:num>
  <w:num w:numId="59">
    <w:abstractNumId w:val="36"/>
  </w:num>
  <w:num w:numId="60">
    <w:abstractNumId w:val="42"/>
  </w:num>
  <w:num w:numId="61">
    <w:abstractNumId w:val="46"/>
  </w:num>
  <w:num w:numId="62">
    <w:abstractNumId w:val="58"/>
  </w:num>
  <w:num w:numId="63">
    <w:abstractNumId w:val="62"/>
  </w:num>
  <w:num w:numId="64">
    <w:abstractNumId w:val="20"/>
  </w:num>
  <w:num w:numId="65">
    <w:abstractNumId w:val="55"/>
  </w:num>
  <w:num w:numId="66">
    <w:abstractNumId w:val="22"/>
  </w:num>
  <w:num w:numId="67">
    <w:abstractNumId w:val="35"/>
  </w:num>
  <w:num w:numId="68">
    <w:abstractNumId w:val="8"/>
  </w:num>
  <w:num w:numId="69">
    <w:abstractNumId w:val="48"/>
  </w:num>
  <w:num w:numId="70">
    <w:abstractNumId w:val="15"/>
  </w:num>
  <w:num w:numId="7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M0YjVhZjdiZTliNjg1YjYxMjFkMDU5OGE5ZWE4NTQifQ=="/>
  </w:docVars>
  <w:rsids>
    <w:rsidRoot w:val="131300D1"/>
    <w:rsid w:val="02BA2DDC"/>
    <w:rsid w:val="042E3243"/>
    <w:rsid w:val="07464396"/>
    <w:rsid w:val="0889420E"/>
    <w:rsid w:val="0A2B3C27"/>
    <w:rsid w:val="0E537A7A"/>
    <w:rsid w:val="0EB77353"/>
    <w:rsid w:val="100B40A3"/>
    <w:rsid w:val="108410E4"/>
    <w:rsid w:val="131300D1"/>
    <w:rsid w:val="145C6890"/>
    <w:rsid w:val="19C64F7E"/>
    <w:rsid w:val="1A306564"/>
    <w:rsid w:val="1AE51087"/>
    <w:rsid w:val="1F2328FA"/>
    <w:rsid w:val="1F673520"/>
    <w:rsid w:val="20034CA1"/>
    <w:rsid w:val="24736324"/>
    <w:rsid w:val="24F079E9"/>
    <w:rsid w:val="262F1527"/>
    <w:rsid w:val="2A6A7DA4"/>
    <w:rsid w:val="2C1F6C5A"/>
    <w:rsid w:val="2C830744"/>
    <w:rsid w:val="2CF3020C"/>
    <w:rsid w:val="2E5369E3"/>
    <w:rsid w:val="30181DBB"/>
    <w:rsid w:val="35080C74"/>
    <w:rsid w:val="35D064B0"/>
    <w:rsid w:val="397D1CF9"/>
    <w:rsid w:val="3C454B2D"/>
    <w:rsid w:val="3E5D51F2"/>
    <w:rsid w:val="3F1676D8"/>
    <w:rsid w:val="41744D2D"/>
    <w:rsid w:val="42E02B6D"/>
    <w:rsid w:val="492458CD"/>
    <w:rsid w:val="49CB39F3"/>
    <w:rsid w:val="4BBA6DC1"/>
    <w:rsid w:val="4DE74A31"/>
    <w:rsid w:val="4F2A56CD"/>
    <w:rsid w:val="572A078E"/>
    <w:rsid w:val="5AD9688C"/>
    <w:rsid w:val="5FA05DD9"/>
    <w:rsid w:val="61783F6D"/>
    <w:rsid w:val="61EA0325"/>
    <w:rsid w:val="62010C95"/>
    <w:rsid w:val="63961698"/>
    <w:rsid w:val="6553329B"/>
    <w:rsid w:val="657E34C0"/>
    <w:rsid w:val="673737EB"/>
    <w:rsid w:val="688967B5"/>
    <w:rsid w:val="6BD67C40"/>
    <w:rsid w:val="6F95081F"/>
    <w:rsid w:val="715C5047"/>
    <w:rsid w:val="742C35A0"/>
    <w:rsid w:val="75965202"/>
    <w:rsid w:val="76E9213B"/>
    <w:rsid w:val="7A1B389A"/>
    <w:rsid w:val="7A393672"/>
    <w:rsid w:val="7F2B6404"/>
    <w:rsid w:val="7F433B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80" w:firstLineChars="200"/>
      <w:jc w:val="both"/>
    </w:pPr>
    <w:rPr>
      <w:rFonts w:ascii="Times New Roman" w:hAnsi="Times New Roman" w:eastAsia="+中文正文" w:cstheme="minorBidi"/>
      <w:kern w:val="2"/>
      <w:sz w:val="24"/>
      <w:szCs w:val="24"/>
      <w:lang w:val="en-US" w:eastAsia="zh-CN" w:bidi="ar-SA"/>
    </w:rPr>
  </w:style>
  <w:style w:type="paragraph" w:styleId="2">
    <w:name w:val="heading 1"/>
    <w:basedOn w:val="1"/>
    <w:next w:val="1"/>
    <w:autoRedefine/>
    <w:qFormat/>
    <w:uiPriority w:val="0"/>
    <w:pPr>
      <w:keepNext/>
      <w:keepLines/>
      <w:numPr>
        <w:ilvl w:val="0"/>
        <w:numId w:val="1"/>
      </w:numPr>
      <w:spacing w:before="340" w:beforeLines="0" w:beforeAutospacing="0" w:after="330" w:afterLines="0" w:afterAutospacing="0" w:line="576" w:lineRule="auto"/>
      <w:ind w:left="432" w:hanging="432" w:firstLineChars="0"/>
      <w:jc w:val="center"/>
      <w:outlineLvl w:val="0"/>
    </w:pPr>
    <w:rPr>
      <w:b/>
      <w:kern w:val="44"/>
      <w:sz w:val="32"/>
    </w:rPr>
  </w:style>
  <w:style w:type="paragraph" w:styleId="3">
    <w:name w:val="heading 2"/>
    <w:basedOn w:val="1"/>
    <w:next w:val="1"/>
    <w:autoRedefine/>
    <w:unhideWhenUsed/>
    <w:qFormat/>
    <w:uiPriority w:val="0"/>
    <w:pPr>
      <w:keepNext/>
      <w:keepLines/>
      <w:numPr>
        <w:ilvl w:val="1"/>
        <w:numId w:val="1"/>
      </w:numPr>
      <w:spacing w:before="260" w:beforeLines="0" w:beforeAutospacing="0" w:after="260" w:afterLines="0" w:afterAutospacing="0" w:line="413" w:lineRule="auto"/>
      <w:ind w:left="575" w:hanging="575" w:firstLineChars="0"/>
      <w:outlineLvl w:val="1"/>
    </w:pPr>
    <w:rPr>
      <w:rFonts w:ascii="Arial" w:hAnsi="Arial" w:eastAsia="宋体"/>
      <w:b/>
      <w:sz w:val="28"/>
    </w:rPr>
  </w:style>
  <w:style w:type="paragraph" w:styleId="4">
    <w:name w:val="heading 3"/>
    <w:basedOn w:val="1"/>
    <w:next w:val="1"/>
    <w:link w:val="23"/>
    <w:autoRedefine/>
    <w:unhideWhenUsed/>
    <w:qFormat/>
    <w:uiPriority w:val="0"/>
    <w:pPr>
      <w:keepNext/>
      <w:keepLines/>
      <w:numPr>
        <w:ilvl w:val="2"/>
        <w:numId w:val="1"/>
      </w:numPr>
      <w:spacing w:beforeLines="0" w:beforeAutospacing="0" w:afterLines="0" w:afterAutospacing="0" w:line="360" w:lineRule="auto"/>
      <w:ind w:left="720" w:hanging="720" w:firstLineChars="0"/>
      <w:outlineLvl w:val="2"/>
    </w:pPr>
    <w:rPr>
      <w:rFonts w:ascii="Times New Roman" w:hAnsi="Times New Roman"/>
      <w:b/>
    </w:rPr>
  </w:style>
  <w:style w:type="paragraph" w:styleId="5">
    <w:name w:val="heading 4"/>
    <w:basedOn w:val="1"/>
    <w:next w:val="1"/>
    <w:autoRedefine/>
    <w:unhideWhenUsed/>
    <w:qFormat/>
    <w:uiPriority w:val="0"/>
    <w:pPr>
      <w:keepNext/>
      <w:keepLines/>
      <w:numPr>
        <w:ilvl w:val="3"/>
        <w:numId w:val="1"/>
      </w:numPr>
      <w:tabs>
        <w:tab w:val="left" w:pos="0"/>
      </w:tabs>
      <w:spacing w:beforeLines="0" w:beforeAutospacing="0" w:afterLines="0" w:afterAutospacing="0" w:line="360" w:lineRule="auto"/>
      <w:ind w:left="0" w:firstLine="0" w:firstLineChars="0"/>
      <w:outlineLvl w:val="3"/>
    </w:pPr>
    <w:rPr>
      <w:rFonts w:ascii="Times New Roman" w:hAnsi="Times New Roman" w:eastAsia="宋体"/>
      <w:b/>
    </w:rPr>
  </w:style>
  <w:style w:type="paragraph" w:styleId="6">
    <w:name w:val="heading 5"/>
    <w:basedOn w:val="1"/>
    <w:next w:val="1"/>
    <w:autoRedefine/>
    <w:unhideWhenUsed/>
    <w:qFormat/>
    <w:uiPriority w:val="0"/>
    <w:pPr>
      <w:keepNext/>
      <w:keepLines/>
      <w:numPr>
        <w:ilvl w:val="4"/>
        <w:numId w:val="1"/>
      </w:numPr>
      <w:spacing w:beforeLines="0" w:beforeAutospacing="0" w:afterLines="0" w:afterAutospacing="0" w:line="360" w:lineRule="auto"/>
      <w:ind w:left="1008" w:hanging="1008" w:firstLineChars="0"/>
      <w:outlineLvl w:val="4"/>
    </w:pPr>
    <w:rPr>
      <w:rFonts w:ascii="Times New Roman" w:hAnsi="Times New Roman"/>
      <w:b/>
    </w:rPr>
  </w:style>
  <w:style w:type="paragraph" w:styleId="7">
    <w:name w:val="heading 6"/>
    <w:basedOn w:val="1"/>
    <w:next w:val="1"/>
    <w:autoRedefine/>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8">
    <w:name w:val="heading 7"/>
    <w:basedOn w:val="1"/>
    <w:next w:val="1"/>
    <w:autoRedefine/>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autoRedefine/>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autoRedefine/>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21">
    <w:name w:val="Default Paragraph Font"/>
    <w:autoRedefine/>
    <w:semiHidden/>
    <w:qFormat/>
    <w:uiPriority w:val="0"/>
  </w:style>
  <w:style w:type="table" w:default="1" w:styleId="19">
    <w:name w:val="Normal Table"/>
    <w:autoRedefine/>
    <w:semiHidden/>
    <w:qFormat/>
    <w:uiPriority w:val="0"/>
    <w:tblPr>
      <w:tblCellMar>
        <w:top w:w="0" w:type="dxa"/>
        <w:left w:w="108" w:type="dxa"/>
        <w:bottom w:w="0" w:type="dxa"/>
        <w:right w:w="108" w:type="dxa"/>
      </w:tblCellMar>
    </w:tblPr>
  </w:style>
  <w:style w:type="paragraph" w:styleId="11">
    <w:name w:val="caption"/>
    <w:basedOn w:val="1"/>
    <w:next w:val="1"/>
    <w:autoRedefine/>
    <w:unhideWhenUsed/>
    <w:qFormat/>
    <w:uiPriority w:val="0"/>
    <w:pPr>
      <w:ind w:firstLine="0" w:firstLineChars="0"/>
      <w:jc w:val="center"/>
    </w:pPr>
    <w:rPr>
      <w:rFonts w:ascii="Times New Roman" w:hAnsi="Times New Roman" w:eastAsia="黑体"/>
      <w:sz w:val="21"/>
    </w:rPr>
  </w:style>
  <w:style w:type="paragraph" w:styleId="12">
    <w:name w:val="annotation text"/>
    <w:basedOn w:val="1"/>
    <w:autoRedefine/>
    <w:qFormat/>
    <w:uiPriority w:val="0"/>
    <w:pPr>
      <w:jc w:val="left"/>
    </w:pPr>
  </w:style>
  <w:style w:type="paragraph" w:styleId="13">
    <w:name w:val="Body Text"/>
    <w:basedOn w:val="1"/>
    <w:semiHidden/>
    <w:qFormat/>
    <w:uiPriority w:val="0"/>
    <w:rPr>
      <w:rFonts w:ascii="Arial" w:hAnsi="Arial" w:eastAsia="Arial" w:cs="Arial"/>
      <w:sz w:val="21"/>
      <w:szCs w:val="21"/>
      <w:lang w:val="en-US" w:eastAsia="en-US" w:bidi="ar-SA"/>
    </w:rPr>
  </w:style>
  <w:style w:type="paragraph" w:styleId="14">
    <w:name w:val="footer"/>
    <w:basedOn w:val="1"/>
    <w:autoRedefine/>
    <w:qFormat/>
    <w:uiPriority w:val="0"/>
    <w:pPr>
      <w:tabs>
        <w:tab w:val="center" w:pos="4153"/>
        <w:tab w:val="right" w:pos="8306"/>
      </w:tabs>
      <w:snapToGrid w:val="0"/>
      <w:ind w:firstLine="0" w:firstLineChars="0"/>
      <w:jc w:val="center"/>
    </w:pPr>
    <w:rPr>
      <w:rFonts w:ascii="Times New Roman" w:hAnsi="Times New Roman"/>
      <w:sz w:val="21"/>
    </w:rPr>
  </w:style>
  <w:style w:type="paragraph" w:styleId="1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pPr>
      <w:tabs>
        <w:tab w:val="right" w:leader="dot" w:pos="8296"/>
      </w:tabs>
      <w:spacing w:line="360" w:lineRule="auto"/>
      <w:ind w:firstLine="0" w:firstLineChars="0"/>
      <w:jc w:val="center"/>
    </w:pPr>
    <w:rPr>
      <w:rFonts w:ascii="Times New Roman" w:hAnsi="Times New Roman" w:eastAsia="宋体"/>
      <w:b/>
      <w:kern w:val="0"/>
      <w:szCs w:val="30"/>
    </w:rPr>
  </w:style>
  <w:style w:type="paragraph" w:styleId="17">
    <w:name w:val="toc 2"/>
    <w:basedOn w:val="1"/>
    <w:next w:val="1"/>
    <w:qFormat/>
    <w:uiPriority w:val="0"/>
    <w:pPr>
      <w:ind w:left="0" w:leftChars="0"/>
    </w:pPr>
    <w:rPr>
      <w:rFonts w:ascii="Times New Roman" w:hAnsi="Times New Roman"/>
    </w:rPr>
  </w:style>
  <w:style w:type="paragraph" w:styleId="18">
    <w:name w:val="Title"/>
    <w:basedOn w:val="1"/>
    <w:next w:val="1"/>
    <w:autoRedefine/>
    <w:qFormat/>
    <w:uiPriority w:val="0"/>
    <w:pPr>
      <w:spacing w:line="360" w:lineRule="auto"/>
      <w:ind w:firstLine="0" w:firstLineChars="0"/>
      <w:jc w:val="center"/>
    </w:pPr>
    <w:rPr>
      <w:bCs/>
      <w:snapToGrid w:val="0"/>
      <w:kern w:val="0"/>
      <w:sz w:val="24"/>
      <w:szCs w:val="24"/>
    </w:rPr>
  </w:style>
  <w:style w:type="table" w:styleId="20">
    <w:name w:val="Table Grid"/>
    <w:basedOn w:val="1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
    <w:name w:val="表格内容"/>
    <w:basedOn w:val="1"/>
    <w:autoRedefine/>
    <w:qFormat/>
    <w:uiPriority w:val="0"/>
    <w:pPr>
      <w:spacing w:line="240" w:lineRule="auto"/>
      <w:ind w:firstLine="0" w:firstLineChars="0"/>
      <w:jc w:val="center"/>
    </w:pPr>
    <w:rPr>
      <w:rFonts w:ascii="Times New Roman" w:hAnsi="Times New Roman" w:eastAsiaTheme="minorEastAsia"/>
      <w:iCs/>
      <w:sz w:val="21"/>
      <w:szCs w:val="21"/>
    </w:rPr>
  </w:style>
  <w:style w:type="character" w:customStyle="1" w:styleId="23">
    <w:name w:val="标题 3 Char"/>
    <w:link w:val="4"/>
    <w:autoRedefine/>
    <w:qFormat/>
    <w:uiPriority w:val="0"/>
    <w:rPr>
      <w:rFonts w:ascii="Times New Roman" w:hAnsi="Times New Roman" w:eastAsiaTheme="minorEastAsia"/>
      <w:b/>
      <w:sz w:val="24"/>
    </w:rPr>
  </w:style>
  <w:style w:type="table" w:customStyle="1" w:styleId="24">
    <w:name w:val="Table Normal"/>
    <w:autoRedefine/>
    <w:semiHidden/>
    <w:unhideWhenUsed/>
    <w:qFormat/>
    <w:uiPriority w:val="0"/>
    <w:tblPr>
      <w:tblCellMar>
        <w:top w:w="0" w:type="dxa"/>
        <w:left w:w="0" w:type="dxa"/>
        <w:bottom w:w="0" w:type="dxa"/>
        <w:right w:w="0" w:type="dxa"/>
      </w:tblCellMar>
    </w:tblPr>
  </w:style>
  <w:style w:type="paragraph" w:customStyle="1" w:styleId="25">
    <w:name w:val="表格文本"/>
    <w:basedOn w:val="1"/>
    <w:autoRedefine/>
    <w:qFormat/>
    <w:uiPriority w:val="0"/>
    <w:pPr>
      <w:adjustRightInd/>
      <w:snapToGrid/>
      <w:spacing w:line="240" w:lineRule="auto"/>
      <w:ind w:firstLine="0" w:firstLineChars="0"/>
      <w:jc w:val="center"/>
    </w:pPr>
    <w:rPr>
      <w:rFonts w:ascii="Times New Roman" w:hAnsi="Times New Roman" w:eastAsia="宋体"/>
      <w:color w:val="000000"/>
      <w:kern w:val="0"/>
      <w:sz w:val="21"/>
      <w:szCs w:val="21"/>
    </w:rPr>
  </w:style>
  <w:style w:type="paragraph" w:customStyle="1" w:styleId="26">
    <w:name w:val="WPSOffice手动目录 1"/>
    <w:qFormat/>
    <w:uiPriority w:val="0"/>
    <w:pPr>
      <w:ind w:leftChars="0"/>
    </w:pPr>
    <w:rPr>
      <w:rFonts w:ascii="Times New Roman" w:hAnsi="Times New Roman" w:eastAsia="宋体" w:cs="Times New Roman"/>
      <w:sz w:val="20"/>
      <w:szCs w:val="20"/>
    </w:rPr>
  </w:style>
  <w:style w:type="paragraph" w:customStyle="1" w:styleId="27">
    <w:name w:val="WPSOffice手动目录 2"/>
    <w:qFormat/>
    <w:uiPriority w:val="0"/>
    <w:pPr>
      <w:ind w:leftChars="200"/>
    </w:pPr>
    <w:rPr>
      <w:rFonts w:ascii="Times New Roman" w:hAnsi="Times New Roman" w:eastAsia="宋体" w:cs="Times New Roman"/>
      <w:sz w:val="20"/>
      <w:szCs w:val="20"/>
    </w:rPr>
  </w:style>
  <w:style w:type="paragraph" w:customStyle="1" w:styleId="28">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226</Pages>
  <Words>4534</Words>
  <Characters>5410</Characters>
  <Lines>0</Lines>
  <Paragraphs>0</Paragraphs>
  <TotalTime>2</TotalTime>
  <ScaleCrop>false</ScaleCrop>
  <LinksUpToDate>false</LinksUpToDate>
  <CharactersWithSpaces>5682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2024-06-15T13:01:00Z</dcterms:created>
  <dc:creator>Kuhmist</dc:creator>
  <cp:lastModifiedBy>Kuhmist</cp:lastModifiedBy>
  <dcterms:modified xsi:type="dcterms:W3CDTF">2025-07-22T02:07:35Z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7A3725FDD4E446E68B1E417141F3D9D4_13</vt:lpwstr>
  </property>
  <property fmtid="{D5CDD505-2E9C-101B-9397-08002B2CF9AE}" pid="4" name="KSOTemplateDocerSaveRecord">
    <vt:lpwstr>eyJoZGlkIjoiOWE4MmNiY2FiMjllZWY4NDJmZDQzY2IwNGU3OWQwMWUiLCJ1c2VySWQiOiIyMTQ3MzQzNTgifQ==</vt:lpwstr>
  </property>
</Properties>
</file>