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FE715">
      <w:pPr>
        <w:pStyle w:val="23"/>
        <w:ind w:left="480" w:leftChars="0" w:hanging="480"/>
      </w:pPr>
    </w:p>
    <w:p w14:paraId="6C1100A5">
      <w:pPr>
        <w:spacing w:line="360" w:lineRule="auto"/>
        <w:rPr>
          <w:rFonts w:eastAsia="仿宋"/>
          <w:sz w:val="36"/>
          <w:szCs w:val="36"/>
        </w:rPr>
      </w:pPr>
    </w:p>
    <w:p w14:paraId="6352A8FC">
      <w:pPr>
        <w:spacing w:line="360" w:lineRule="auto"/>
        <w:rPr>
          <w:rFonts w:eastAsia="仿宋"/>
          <w:sz w:val="36"/>
          <w:szCs w:val="36"/>
        </w:rPr>
      </w:pPr>
    </w:p>
    <w:p w14:paraId="7529ACE0">
      <w:pPr>
        <w:spacing w:line="360" w:lineRule="auto"/>
        <w:jc w:val="center"/>
        <w:rPr>
          <w:rFonts w:eastAsia="方正小标宋_GBK"/>
          <w:sz w:val="72"/>
          <w:szCs w:val="72"/>
        </w:rPr>
      </w:pPr>
      <w:r>
        <w:rPr>
          <w:rFonts w:hint="eastAsia" w:eastAsia="方正小标宋_GBK"/>
          <w:sz w:val="72"/>
          <w:szCs w:val="72"/>
        </w:rPr>
        <w:t>建设项目生态环境影响报告表</w:t>
      </w:r>
    </w:p>
    <w:p w14:paraId="5ADA0BB4">
      <w:pPr>
        <w:spacing w:line="360" w:lineRule="auto"/>
        <w:jc w:val="center"/>
        <w:rPr>
          <w:rFonts w:eastAsia="楷体"/>
          <w:sz w:val="48"/>
          <w:szCs w:val="48"/>
        </w:rPr>
      </w:pPr>
      <w:r>
        <w:rPr>
          <w:rFonts w:hint="eastAsia" w:eastAsia="楷体"/>
          <w:sz w:val="48"/>
          <w:szCs w:val="48"/>
        </w:rPr>
        <w:t>（生态影响类）</w:t>
      </w:r>
    </w:p>
    <w:p w14:paraId="79FFDBD1">
      <w:pPr>
        <w:spacing w:before="156" w:beforeLines="50" w:line="360" w:lineRule="auto"/>
        <w:jc w:val="center"/>
        <w:rPr>
          <w:rFonts w:eastAsia="楷体"/>
          <w:sz w:val="48"/>
          <w:szCs w:val="48"/>
        </w:rPr>
      </w:pPr>
      <w:r>
        <w:rPr>
          <w:rFonts w:hint="eastAsia" w:eastAsia="楷体"/>
          <w:sz w:val="48"/>
          <w:szCs w:val="48"/>
        </w:rPr>
        <w:t>（送审本）</w:t>
      </w:r>
    </w:p>
    <w:p w14:paraId="67A0E28D">
      <w:pPr>
        <w:spacing w:line="360" w:lineRule="auto"/>
        <w:rPr>
          <w:rFonts w:eastAsia="仿宋"/>
          <w:b/>
          <w:sz w:val="36"/>
          <w:szCs w:val="36"/>
        </w:rPr>
      </w:pPr>
    </w:p>
    <w:p w14:paraId="22201E5B">
      <w:pPr>
        <w:spacing w:line="360" w:lineRule="auto"/>
        <w:rPr>
          <w:rFonts w:eastAsia="仿宋"/>
          <w:b/>
          <w:sz w:val="36"/>
          <w:szCs w:val="36"/>
        </w:rPr>
      </w:pPr>
    </w:p>
    <w:p w14:paraId="45394873">
      <w:pPr>
        <w:spacing w:line="360" w:lineRule="auto"/>
        <w:rPr>
          <w:rFonts w:eastAsia="仿宋"/>
          <w:b/>
          <w:sz w:val="36"/>
          <w:szCs w:val="36"/>
        </w:rPr>
      </w:pPr>
    </w:p>
    <w:p w14:paraId="419D30E1">
      <w:pPr>
        <w:spacing w:line="360" w:lineRule="auto"/>
        <w:rPr>
          <w:rFonts w:eastAsia="仿宋"/>
          <w:b/>
          <w:sz w:val="36"/>
          <w:szCs w:val="36"/>
        </w:rPr>
      </w:pPr>
    </w:p>
    <w:p w14:paraId="4668FE0E">
      <w:pPr>
        <w:spacing w:line="360" w:lineRule="auto"/>
        <w:rPr>
          <w:rFonts w:eastAsia="仿宋"/>
          <w:b/>
          <w:bCs/>
          <w:sz w:val="36"/>
          <w:szCs w:val="36"/>
          <w:u w:val="single"/>
        </w:rPr>
      </w:pPr>
      <w:r>
        <w:rPr>
          <w:rFonts w:hint="eastAsia" w:eastAsia="仿宋"/>
          <w:b/>
          <w:bCs/>
          <w:sz w:val="32"/>
          <w:szCs w:val="32"/>
        </w:rPr>
        <w:t>项目名称：</w:t>
      </w:r>
      <w:r>
        <w:rPr>
          <w:rFonts w:hint="eastAsia" w:eastAsia="仿宋"/>
          <w:b/>
          <w:bCs/>
          <w:sz w:val="32"/>
          <w:szCs w:val="32"/>
          <w:u w:val="single"/>
        </w:rPr>
        <w:t xml:space="preserve"> 泸定县海螺沟山洪沟（共和村、柏秧坪村段）治理工程 </w:t>
      </w:r>
    </w:p>
    <w:p w14:paraId="44E74284">
      <w:pPr>
        <w:spacing w:line="360" w:lineRule="auto"/>
        <w:rPr>
          <w:rFonts w:eastAsia="仿宋"/>
          <w:b/>
          <w:bCs/>
          <w:sz w:val="32"/>
          <w:szCs w:val="32"/>
          <w:u w:val="single"/>
        </w:rPr>
      </w:pPr>
      <w:r>
        <w:rPr>
          <w:rFonts w:hint="eastAsia" w:eastAsia="仿宋"/>
          <w:b/>
          <w:bCs/>
          <w:sz w:val="32"/>
          <w:szCs w:val="32"/>
        </w:rPr>
        <w:t>建设单位（盖章）：</w:t>
      </w:r>
      <w:r>
        <w:rPr>
          <w:rFonts w:hint="eastAsia" w:eastAsia="仿宋"/>
          <w:b/>
          <w:bCs/>
          <w:sz w:val="32"/>
          <w:szCs w:val="32"/>
          <w:u w:val="single"/>
        </w:rPr>
        <w:t xml:space="preserve">    甘孜州海螺沟冰川实业有限公司          </w:t>
      </w:r>
    </w:p>
    <w:p w14:paraId="76EF9D36">
      <w:pPr>
        <w:spacing w:line="360" w:lineRule="auto"/>
        <w:rPr>
          <w:rFonts w:eastAsia="仿宋"/>
          <w:sz w:val="32"/>
          <w:szCs w:val="32"/>
        </w:rPr>
      </w:pPr>
      <w:r>
        <w:rPr>
          <w:rFonts w:hint="eastAsia" w:eastAsia="仿宋"/>
          <w:b/>
          <w:bCs/>
          <w:sz w:val="32"/>
          <w:szCs w:val="32"/>
        </w:rPr>
        <w:t>编制日期：</w:t>
      </w:r>
      <w:r>
        <w:rPr>
          <w:rFonts w:hint="eastAsia" w:eastAsia="仿宋"/>
          <w:b/>
          <w:bCs/>
          <w:sz w:val="32"/>
          <w:szCs w:val="32"/>
          <w:u w:val="single"/>
        </w:rPr>
        <w:t xml:space="preserve">                  2026年10月                      </w:t>
      </w:r>
    </w:p>
    <w:p w14:paraId="616F29F6">
      <w:pPr>
        <w:spacing w:line="360" w:lineRule="auto"/>
        <w:rPr>
          <w:rFonts w:eastAsia="仿宋"/>
          <w:sz w:val="36"/>
          <w:szCs w:val="36"/>
        </w:rPr>
      </w:pPr>
    </w:p>
    <w:p w14:paraId="00A99A43">
      <w:pPr>
        <w:spacing w:line="360" w:lineRule="auto"/>
        <w:rPr>
          <w:rFonts w:eastAsia="仿宋"/>
          <w:sz w:val="36"/>
          <w:szCs w:val="36"/>
        </w:rPr>
      </w:pPr>
    </w:p>
    <w:p w14:paraId="058FB24B">
      <w:pPr>
        <w:spacing w:line="360" w:lineRule="auto"/>
        <w:rPr>
          <w:rFonts w:eastAsia="仿宋"/>
          <w:sz w:val="36"/>
          <w:szCs w:val="36"/>
        </w:rPr>
      </w:pPr>
    </w:p>
    <w:p w14:paraId="74B79254">
      <w:pPr>
        <w:spacing w:line="360" w:lineRule="auto"/>
        <w:rPr>
          <w:rFonts w:eastAsia="仿宋"/>
          <w:sz w:val="36"/>
          <w:szCs w:val="36"/>
        </w:rPr>
      </w:pPr>
    </w:p>
    <w:p w14:paraId="417596DC">
      <w:pPr>
        <w:spacing w:line="360" w:lineRule="auto"/>
        <w:rPr>
          <w:rFonts w:eastAsia="仿宋"/>
          <w:sz w:val="36"/>
          <w:szCs w:val="36"/>
        </w:rPr>
      </w:pPr>
    </w:p>
    <w:p w14:paraId="5729578D">
      <w:pPr>
        <w:spacing w:line="360" w:lineRule="auto"/>
        <w:jc w:val="center"/>
        <w:rPr>
          <w:rFonts w:eastAsia="楷体"/>
          <w:sz w:val="36"/>
          <w:szCs w:val="36"/>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NumType w:start="1"/>
          <w:cols w:space="720" w:num="1"/>
          <w:docGrid w:type="lines" w:linePitch="312" w:charSpace="0"/>
        </w:sectPr>
      </w:pPr>
      <w:r>
        <w:rPr>
          <w:rFonts w:hint="eastAsia" w:eastAsia="楷体"/>
          <w:sz w:val="36"/>
          <w:szCs w:val="36"/>
        </w:rPr>
        <w:t>中华人民共和国生态环境部制</w:t>
      </w:r>
    </w:p>
    <w:sdt>
      <w:sdtPr>
        <w:rPr>
          <w:b/>
          <w:bCs/>
          <w:sz w:val="28"/>
          <w:szCs w:val="28"/>
        </w:rPr>
        <w:id w:val="147481685"/>
        <w15:color w:val="DBDBDB"/>
        <w:docPartObj>
          <w:docPartGallery w:val="Table of Contents"/>
          <w:docPartUnique/>
        </w:docPartObj>
      </w:sdtPr>
      <w:sdtEndPr>
        <w:rPr>
          <w:rFonts w:eastAsia="楷体_GB2312"/>
          <w:b/>
          <w:bCs/>
          <w:sz w:val="21"/>
          <w:szCs w:val="36"/>
        </w:rPr>
      </w:sdtEndPr>
      <w:sdtContent>
        <w:p w14:paraId="6810B00F">
          <w:pPr>
            <w:pageBreakBefore/>
            <w:spacing w:line="360" w:lineRule="auto"/>
            <w:jc w:val="center"/>
            <w:rPr>
              <w:b/>
              <w:bCs/>
              <w:sz w:val="28"/>
              <w:szCs w:val="28"/>
            </w:rPr>
          </w:pPr>
          <w:r>
            <w:rPr>
              <w:rFonts w:hint="eastAsia"/>
              <w:b/>
              <w:bCs/>
              <w:sz w:val="28"/>
              <w:szCs w:val="28"/>
            </w:rPr>
            <w:t>目录</w:t>
          </w:r>
        </w:p>
        <w:p w14:paraId="633F289B">
          <w:pPr>
            <w:pStyle w:val="20"/>
            <w:tabs>
              <w:tab w:val="right" w:leader="dot" w:pos="9746"/>
            </w:tabs>
            <w:spacing w:line="360" w:lineRule="auto"/>
            <w:rPr>
              <w:b/>
              <w:bCs/>
            </w:rPr>
          </w:pPr>
          <w:r>
            <w:rPr>
              <w:b/>
              <w:bCs/>
            </w:rPr>
            <w:fldChar w:fldCharType="begin"/>
          </w:r>
          <w:r>
            <w:rPr>
              <w:b/>
              <w:bCs/>
            </w:rPr>
            <w:instrText xml:space="preserve">TOC \o "1-3" \h \u </w:instrText>
          </w:r>
          <w:r>
            <w:rPr>
              <w:b/>
              <w:bCs/>
            </w:rPr>
            <w:fldChar w:fldCharType="separate"/>
          </w:r>
          <w:r>
            <w:fldChar w:fldCharType="begin"/>
          </w:r>
          <w:r>
            <w:instrText xml:space="preserve"> HYPERLINK \l "_Toc102" </w:instrText>
          </w:r>
          <w:r>
            <w:fldChar w:fldCharType="separate"/>
          </w:r>
          <w:r>
            <w:rPr>
              <w:rFonts w:hint="eastAsia" w:eastAsia="黑体"/>
              <w:b/>
              <w:bCs/>
              <w:szCs w:val="30"/>
            </w:rPr>
            <w:t>一、建设项目基本情况</w:t>
          </w:r>
          <w:r>
            <w:rPr>
              <w:b/>
              <w:bCs/>
            </w:rPr>
            <w:tab/>
          </w:r>
          <w:r>
            <w:rPr>
              <w:b/>
              <w:bCs/>
            </w:rPr>
            <w:fldChar w:fldCharType="begin"/>
          </w:r>
          <w:r>
            <w:rPr>
              <w:b/>
              <w:bCs/>
            </w:rPr>
            <w:instrText xml:space="preserve"> PAGEREF _Toc102 \h </w:instrText>
          </w:r>
          <w:r>
            <w:rPr>
              <w:b/>
              <w:bCs/>
            </w:rPr>
            <w:fldChar w:fldCharType="separate"/>
          </w:r>
          <w:r>
            <w:rPr>
              <w:b/>
              <w:bCs/>
            </w:rPr>
            <w:t>1</w:t>
          </w:r>
          <w:r>
            <w:rPr>
              <w:b/>
              <w:bCs/>
            </w:rPr>
            <w:fldChar w:fldCharType="end"/>
          </w:r>
          <w:r>
            <w:rPr>
              <w:b/>
              <w:bCs/>
            </w:rPr>
            <w:fldChar w:fldCharType="end"/>
          </w:r>
        </w:p>
        <w:p w14:paraId="0905B780">
          <w:pPr>
            <w:pStyle w:val="20"/>
            <w:tabs>
              <w:tab w:val="right" w:leader="dot" w:pos="9746"/>
            </w:tabs>
            <w:spacing w:line="360" w:lineRule="auto"/>
            <w:rPr>
              <w:b/>
              <w:bCs/>
            </w:rPr>
          </w:pPr>
          <w:r>
            <w:fldChar w:fldCharType="begin"/>
          </w:r>
          <w:r>
            <w:instrText xml:space="preserve"> HYPERLINK \l "_Toc16035" </w:instrText>
          </w:r>
          <w:r>
            <w:fldChar w:fldCharType="separate"/>
          </w:r>
          <w:r>
            <w:rPr>
              <w:rFonts w:hint="eastAsia" w:eastAsia="黑体"/>
              <w:b/>
              <w:bCs/>
              <w:szCs w:val="30"/>
            </w:rPr>
            <w:t>二、建设内容</w:t>
          </w:r>
          <w:r>
            <w:rPr>
              <w:b/>
              <w:bCs/>
            </w:rPr>
            <w:tab/>
          </w:r>
          <w:r>
            <w:rPr>
              <w:b/>
              <w:bCs/>
            </w:rPr>
            <w:fldChar w:fldCharType="begin"/>
          </w:r>
          <w:r>
            <w:rPr>
              <w:b/>
              <w:bCs/>
            </w:rPr>
            <w:instrText xml:space="preserve"> PAGEREF _Toc16035 \h </w:instrText>
          </w:r>
          <w:r>
            <w:rPr>
              <w:b/>
              <w:bCs/>
            </w:rPr>
            <w:fldChar w:fldCharType="separate"/>
          </w:r>
          <w:r>
            <w:rPr>
              <w:b/>
              <w:bCs/>
            </w:rPr>
            <w:t>32</w:t>
          </w:r>
          <w:r>
            <w:rPr>
              <w:b/>
              <w:bCs/>
            </w:rPr>
            <w:fldChar w:fldCharType="end"/>
          </w:r>
          <w:r>
            <w:rPr>
              <w:b/>
              <w:bCs/>
            </w:rPr>
            <w:fldChar w:fldCharType="end"/>
          </w:r>
        </w:p>
        <w:p w14:paraId="3B5D6046">
          <w:pPr>
            <w:pStyle w:val="20"/>
            <w:tabs>
              <w:tab w:val="right" w:leader="dot" w:pos="9746"/>
            </w:tabs>
            <w:spacing w:line="360" w:lineRule="auto"/>
            <w:rPr>
              <w:b/>
              <w:bCs/>
            </w:rPr>
          </w:pPr>
          <w:r>
            <w:fldChar w:fldCharType="begin"/>
          </w:r>
          <w:r>
            <w:instrText xml:space="preserve"> HYPERLINK \l "_Toc19473" </w:instrText>
          </w:r>
          <w:r>
            <w:fldChar w:fldCharType="separate"/>
          </w:r>
          <w:r>
            <w:rPr>
              <w:rFonts w:hint="eastAsia" w:eastAsia="黑体"/>
              <w:b/>
              <w:bCs/>
              <w:szCs w:val="30"/>
            </w:rPr>
            <w:t>三、生态环境现状、保护目标及评价标准</w:t>
          </w:r>
          <w:r>
            <w:rPr>
              <w:b/>
              <w:bCs/>
            </w:rPr>
            <w:tab/>
          </w:r>
          <w:r>
            <w:rPr>
              <w:b/>
              <w:bCs/>
            </w:rPr>
            <w:fldChar w:fldCharType="begin"/>
          </w:r>
          <w:r>
            <w:rPr>
              <w:b/>
              <w:bCs/>
            </w:rPr>
            <w:instrText xml:space="preserve"> PAGEREF _Toc19473 \h </w:instrText>
          </w:r>
          <w:r>
            <w:rPr>
              <w:b/>
              <w:bCs/>
            </w:rPr>
            <w:fldChar w:fldCharType="separate"/>
          </w:r>
          <w:r>
            <w:rPr>
              <w:b/>
              <w:bCs/>
            </w:rPr>
            <w:t>53</w:t>
          </w:r>
          <w:r>
            <w:rPr>
              <w:b/>
              <w:bCs/>
            </w:rPr>
            <w:fldChar w:fldCharType="end"/>
          </w:r>
          <w:r>
            <w:rPr>
              <w:b/>
              <w:bCs/>
            </w:rPr>
            <w:fldChar w:fldCharType="end"/>
          </w:r>
        </w:p>
        <w:p w14:paraId="08432ECE">
          <w:pPr>
            <w:pStyle w:val="20"/>
            <w:tabs>
              <w:tab w:val="right" w:leader="dot" w:pos="9746"/>
            </w:tabs>
            <w:spacing w:line="360" w:lineRule="auto"/>
            <w:rPr>
              <w:b/>
              <w:bCs/>
            </w:rPr>
          </w:pPr>
          <w:r>
            <w:fldChar w:fldCharType="begin"/>
          </w:r>
          <w:r>
            <w:instrText xml:space="preserve"> HYPERLINK \l "_Toc24798" </w:instrText>
          </w:r>
          <w:r>
            <w:fldChar w:fldCharType="separate"/>
          </w:r>
          <w:r>
            <w:rPr>
              <w:rFonts w:hint="eastAsia" w:eastAsia="黑体"/>
              <w:b/>
              <w:bCs/>
              <w:szCs w:val="30"/>
            </w:rPr>
            <w:t>四、生态环境影响分析</w:t>
          </w:r>
          <w:r>
            <w:rPr>
              <w:b/>
              <w:bCs/>
            </w:rPr>
            <w:tab/>
          </w:r>
          <w:r>
            <w:rPr>
              <w:b/>
              <w:bCs/>
            </w:rPr>
            <w:fldChar w:fldCharType="begin"/>
          </w:r>
          <w:r>
            <w:rPr>
              <w:b/>
              <w:bCs/>
            </w:rPr>
            <w:instrText xml:space="preserve"> PAGEREF _Toc24798 \h </w:instrText>
          </w:r>
          <w:r>
            <w:rPr>
              <w:b/>
              <w:bCs/>
            </w:rPr>
            <w:fldChar w:fldCharType="separate"/>
          </w:r>
          <w:r>
            <w:rPr>
              <w:b/>
              <w:bCs/>
            </w:rPr>
            <w:t>76</w:t>
          </w:r>
          <w:r>
            <w:rPr>
              <w:b/>
              <w:bCs/>
            </w:rPr>
            <w:fldChar w:fldCharType="end"/>
          </w:r>
          <w:r>
            <w:rPr>
              <w:b/>
              <w:bCs/>
            </w:rPr>
            <w:fldChar w:fldCharType="end"/>
          </w:r>
        </w:p>
        <w:p w14:paraId="1467525B">
          <w:pPr>
            <w:pStyle w:val="20"/>
            <w:tabs>
              <w:tab w:val="right" w:leader="dot" w:pos="9746"/>
            </w:tabs>
            <w:spacing w:line="360" w:lineRule="auto"/>
            <w:rPr>
              <w:b/>
              <w:bCs/>
            </w:rPr>
          </w:pPr>
          <w:r>
            <w:fldChar w:fldCharType="begin"/>
          </w:r>
          <w:r>
            <w:instrText xml:space="preserve"> HYPERLINK \l "_Toc32515" </w:instrText>
          </w:r>
          <w:r>
            <w:fldChar w:fldCharType="separate"/>
          </w:r>
          <w:r>
            <w:rPr>
              <w:rFonts w:hint="eastAsia" w:eastAsia="黑体"/>
              <w:b/>
              <w:bCs/>
              <w:szCs w:val="30"/>
            </w:rPr>
            <w:t>五、主要生态环境保护措施</w:t>
          </w:r>
          <w:r>
            <w:rPr>
              <w:b/>
              <w:bCs/>
            </w:rPr>
            <w:tab/>
          </w:r>
          <w:r>
            <w:rPr>
              <w:b/>
              <w:bCs/>
            </w:rPr>
            <w:fldChar w:fldCharType="begin"/>
          </w:r>
          <w:r>
            <w:rPr>
              <w:b/>
              <w:bCs/>
            </w:rPr>
            <w:instrText xml:space="preserve"> PAGEREF _Toc32515 \h </w:instrText>
          </w:r>
          <w:r>
            <w:rPr>
              <w:b/>
              <w:bCs/>
            </w:rPr>
            <w:fldChar w:fldCharType="separate"/>
          </w:r>
          <w:r>
            <w:rPr>
              <w:b/>
              <w:bCs/>
            </w:rPr>
            <w:t>93</w:t>
          </w:r>
          <w:r>
            <w:rPr>
              <w:b/>
              <w:bCs/>
            </w:rPr>
            <w:fldChar w:fldCharType="end"/>
          </w:r>
          <w:r>
            <w:rPr>
              <w:b/>
              <w:bCs/>
            </w:rPr>
            <w:fldChar w:fldCharType="end"/>
          </w:r>
        </w:p>
        <w:p w14:paraId="5ACF2567">
          <w:pPr>
            <w:pStyle w:val="20"/>
            <w:tabs>
              <w:tab w:val="right" w:leader="dot" w:pos="9746"/>
            </w:tabs>
            <w:spacing w:line="360" w:lineRule="auto"/>
            <w:rPr>
              <w:b/>
              <w:bCs/>
            </w:rPr>
          </w:pPr>
          <w:r>
            <w:fldChar w:fldCharType="begin"/>
          </w:r>
          <w:r>
            <w:instrText xml:space="preserve"> HYPERLINK \l "_Toc11493" </w:instrText>
          </w:r>
          <w:r>
            <w:fldChar w:fldCharType="separate"/>
          </w:r>
          <w:r>
            <w:rPr>
              <w:rFonts w:hint="eastAsia" w:eastAsia="黑体"/>
              <w:b/>
              <w:bCs/>
              <w:szCs w:val="30"/>
            </w:rPr>
            <w:t>六、生态环境保护措施监督检查清单</w:t>
          </w:r>
          <w:r>
            <w:rPr>
              <w:b/>
              <w:bCs/>
            </w:rPr>
            <w:tab/>
          </w:r>
          <w:r>
            <w:rPr>
              <w:b/>
              <w:bCs/>
            </w:rPr>
            <w:fldChar w:fldCharType="begin"/>
          </w:r>
          <w:r>
            <w:rPr>
              <w:b/>
              <w:bCs/>
            </w:rPr>
            <w:instrText xml:space="preserve"> PAGEREF _Toc11493 \h </w:instrText>
          </w:r>
          <w:r>
            <w:rPr>
              <w:b/>
              <w:bCs/>
            </w:rPr>
            <w:fldChar w:fldCharType="separate"/>
          </w:r>
          <w:r>
            <w:rPr>
              <w:b/>
              <w:bCs/>
            </w:rPr>
            <w:t>93</w:t>
          </w:r>
          <w:r>
            <w:rPr>
              <w:b/>
              <w:bCs/>
            </w:rPr>
            <w:fldChar w:fldCharType="end"/>
          </w:r>
          <w:r>
            <w:rPr>
              <w:b/>
              <w:bCs/>
            </w:rPr>
            <w:fldChar w:fldCharType="end"/>
          </w:r>
        </w:p>
        <w:p w14:paraId="57DAD109">
          <w:pPr>
            <w:pStyle w:val="20"/>
            <w:tabs>
              <w:tab w:val="right" w:leader="dot" w:pos="9746"/>
            </w:tabs>
            <w:spacing w:line="360" w:lineRule="auto"/>
            <w:rPr>
              <w:b/>
              <w:bCs/>
            </w:rPr>
          </w:pPr>
          <w:r>
            <w:fldChar w:fldCharType="begin"/>
          </w:r>
          <w:r>
            <w:instrText xml:space="preserve"> HYPERLINK \l "_Toc24426" </w:instrText>
          </w:r>
          <w:r>
            <w:fldChar w:fldCharType="separate"/>
          </w:r>
          <w:r>
            <w:rPr>
              <w:rFonts w:hint="eastAsia" w:eastAsia="黑体"/>
              <w:b/>
              <w:bCs/>
              <w:szCs w:val="30"/>
            </w:rPr>
            <w:t>七、结论</w:t>
          </w:r>
          <w:r>
            <w:rPr>
              <w:b/>
              <w:bCs/>
            </w:rPr>
            <w:tab/>
          </w:r>
          <w:r>
            <w:rPr>
              <w:b/>
              <w:bCs/>
            </w:rPr>
            <w:fldChar w:fldCharType="begin"/>
          </w:r>
          <w:r>
            <w:rPr>
              <w:b/>
              <w:bCs/>
            </w:rPr>
            <w:instrText xml:space="preserve"> PAGEREF _Toc24426 \h </w:instrText>
          </w:r>
          <w:r>
            <w:rPr>
              <w:b/>
              <w:bCs/>
            </w:rPr>
            <w:fldChar w:fldCharType="separate"/>
          </w:r>
          <w:r>
            <w:rPr>
              <w:b/>
              <w:bCs/>
            </w:rPr>
            <w:t>99</w:t>
          </w:r>
          <w:r>
            <w:rPr>
              <w:b/>
              <w:bCs/>
            </w:rPr>
            <w:fldChar w:fldCharType="end"/>
          </w:r>
          <w:r>
            <w:rPr>
              <w:b/>
              <w:bCs/>
            </w:rPr>
            <w:fldChar w:fldCharType="end"/>
          </w:r>
        </w:p>
        <w:p w14:paraId="00922056">
          <w:pPr>
            <w:spacing w:line="360" w:lineRule="auto"/>
            <w:rPr>
              <w:rFonts w:eastAsia="楷体_GB2312"/>
              <w:sz w:val="21"/>
              <w:szCs w:val="36"/>
            </w:rPr>
          </w:pPr>
          <w:r>
            <w:rPr>
              <w:b/>
              <w:bCs/>
            </w:rPr>
            <w:fldChar w:fldCharType="end"/>
          </w:r>
        </w:p>
      </w:sdtContent>
    </w:sdt>
    <w:p w14:paraId="00EF4376">
      <w:pPr>
        <w:autoSpaceDE w:val="0"/>
        <w:autoSpaceDN w:val="0"/>
        <w:adjustRightInd w:val="0"/>
        <w:snapToGrid w:val="0"/>
        <w:spacing w:line="360" w:lineRule="auto"/>
        <w:rPr>
          <w:b/>
          <w:bCs/>
          <w:sz w:val="21"/>
          <w:szCs w:val="21"/>
        </w:rPr>
        <w:sectPr>
          <w:pgSz w:w="11906" w:h="16838"/>
          <w:pgMar w:top="1440" w:right="1080" w:bottom="1440" w:left="1080" w:header="851" w:footer="992" w:gutter="0"/>
          <w:pgNumType w:start="1"/>
          <w:cols w:space="720" w:num="1"/>
          <w:docGrid w:type="lines" w:linePitch="312" w:charSpace="0"/>
        </w:sectPr>
      </w:pPr>
    </w:p>
    <w:p w14:paraId="75FBAC87">
      <w:pPr>
        <w:autoSpaceDE w:val="0"/>
        <w:autoSpaceDN w:val="0"/>
        <w:adjustRightInd w:val="0"/>
        <w:snapToGrid w:val="0"/>
        <w:spacing w:line="360" w:lineRule="auto"/>
        <w:rPr>
          <w:b/>
          <w:bCs/>
          <w:sz w:val="21"/>
          <w:szCs w:val="21"/>
        </w:rPr>
      </w:pPr>
      <w:r>
        <w:rPr>
          <w:rFonts w:hint="eastAsia"/>
          <w:b/>
          <w:bCs/>
          <w:sz w:val="21"/>
          <w:szCs w:val="21"/>
        </w:rPr>
        <w:t>附图：</w:t>
      </w:r>
    </w:p>
    <w:p w14:paraId="5316B841">
      <w:pPr>
        <w:numPr>
          <w:ilvl w:val="0"/>
          <w:numId w:val="5"/>
        </w:numPr>
        <w:autoSpaceDE w:val="0"/>
        <w:autoSpaceDN w:val="0"/>
        <w:adjustRightInd w:val="0"/>
        <w:snapToGrid w:val="0"/>
        <w:spacing w:line="360" w:lineRule="auto"/>
        <w:rPr>
          <w:sz w:val="21"/>
          <w:szCs w:val="21"/>
        </w:rPr>
      </w:pPr>
      <w:r>
        <w:rPr>
          <w:rFonts w:hint="eastAsia"/>
          <w:sz w:val="21"/>
          <w:szCs w:val="21"/>
        </w:rPr>
        <w:t xml:space="preserve">  建设项目地理位置图</w:t>
      </w:r>
    </w:p>
    <w:p w14:paraId="29A774D9">
      <w:pPr>
        <w:numPr>
          <w:ilvl w:val="0"/>
          <w:numId w:val="5"/>
        </w:numPr>
        <w:autoSpaceDE w:val="0"/>
        <w:autoSpaceDN w:val="0"/>
        <w:adjustRightInd w:val="0"/>
        <w:snapToGrid w:val="0"/>
        <w:spacing w:line="360" w:lineRule="auto"/>
        <w:rPr>
          <w:sz w:val="21"/>
          <w:szCs w:val="21"/>
        </w:rPr>
      </w:pPr>
      <w:r>
        <w:rPr>
          <w:rFonts w:hint="eastAsia"/>
          <w:sz w:val="21"/>
          <w:szCs w:val="21"/>
        </w:rPr>
        <w:t xml:space="preserve">  泸定县三条控制线图</w:t>
      </w:r>
    </w:p>
    <w:p w14:paraId="183A7D81">
      <w:pPr>
        <w:numPr>
          <w:ilvl w:val="0"/>
          <w:numId w:val="5"/>
        </w:numPr>
        <w:autoSpaceDE w:val="0"/>
        <w:autoSpaceDN w:val="0"/>
        <w:adjustRightInd w:val="0"/>
        <w:snapToGrid w:val="0"/>
        <w:spacing w:line="360" w:lineRule="auto"/>
        <w:rPr>
          <w:sz w:val="21"/>
          <w:szCs w:val="21"/>
        </w:rPr>
      </w:pPr>
      <w:r>
        <w:rPr>
          <w:rFonts w:hint="eastAsia"/>
          <w:sz w:val="21"/>
          <w:szCs w:val="21"/>
        </w:rPr>
        <w:t xml:space="preserve">  项目区域环境管控单元图</w:t>
      </w:r>
    </w:p>
    <w:p w14:paraId="16ED7B15">
      <w:pPr>
        <w:numPr>
          <w:ilvl w:val="0"/>
          <w:numId w:val="5"/>
        </w:numPr>
        <w:autoSpaceDE w:val="0"/>
        <w:autoSpaceDN w:val="0"/>
        <w:adjustRightInd w:val="0"/>
        <w:snapToGrid w:val="0"/>
        <w:spacing w:line="360" w:lineRule="auto"/>
        <w:rPr>
          <w:sz w:val="21"/>
          <w:szCs w:val="21"/>
        </w:rPr>
      </w:pPr>
      <w:r>
        <w:rPr>
          <w:rFonts w:hint="eastAsia"/>
          <w:sz w:val="21"/>
          <w:szCs w:val="21"/>
        </w:rPr>
        <w:t xml:space="preserve">  项目外环境关系及环境保护目标分布图</w:t>
      </w:r>
    </w:p>
    <w:p w14:paraId="2F979777">
      <w:pPr>
        <w:numPr>
          <w:ilvl w:val="0"/>
          <w:numId w:val="5"/>
        </w:numPr>
        <w:autoSpaceDE w:val="0"/>
        <w:autoSpaceDN w:val="0"/>
        <w:adjustRightInd w:val="0"/>
        <w:snapToGrid w:val="0"/>
        <w:spacing w:line="360" w:lineRule="auto"/>
        <w:rPr>
          <w:sz w:val="21"/>
          <w:szCs w:val="21"/>
        </w:rPr>
      </w:pPr>
      <w:r>
        <w:rPr>
          <w:rFonts w:hint="eastAsia"/>
          <w:sz w:val="21"/>
          <w:szCs w:val="21"/>
        </w:rPr>
        <w:t xml:space="preserve">  项目总平面布置图</w:t>
      </w:r>
    </w:p>
    <w:p w14:paraId="659A8AF7">
      <w:pPr>
        <w:numPr>
          <w:ilvl w:val="0"/>
          <w:numId w:val="5"/>
        </w:numPr>
        <w:autoSpaceDE w:val="0"/>
        <w:autoSpaceDN w:val="0"/>
        <w:adjustRightInd w:val="0"/>
        <w:snapToGrid w:val="0"/>
        <w:spacing w:line="360" w:lineRule="auto"/>
        <w:rPr>
          <w:sz w:val="21"/>
          <w:szCs w:val="21"/>
        </w:rPr>
      </w:pPr>
      <w:r>
        <w:rPr>
          <w:rFonts w:hint="eastAsia"/>
          <w:sz w:val="21"/>
          <w:szCs w:val="21"/>
        </w:rPr>
        <w:t xml:space="preserve">  项目施工平面布置图</w:t>
      </w:r>
    </w:p>
    <w:p w14:paraId="74D224A8">
      <w:pPr>
        <w:numPr>
          <w:ilvl w:val="0"/>
          <w:numId w:val="5"/>
        </w:numPr>
        <w:autoSpaceDE w:val="0"/>
        <w:autoSpaceDN w:val="0"/>
        <w:adjustRightInd w:val="0"/>
        <w:snapToGrid w:val="0"/>
        <w:spacing w:line="360" w:lineRule="auto"/>
        <w:rPr>
          <w:sz w:val="21"/>
          <w:szCs w:val="21"/>
        </w:rPr>
      </w:pPr>
      <w:r>
        <w:rPr>
          <w:rFonts w:hint="eastAsia"/>
          <w:sz w:val="21"/>
          <w:szCs w:val="21"/>
        </w:rPr>
        <w:t xml:space="preserve">  工程地质剖面图</w:t>
      </w:r>
    </w:p>
    <w:p w14:paraId="3CD535B2">
      <w:pPr>
        <w:numPr>
          <w:ilvl w:val="0"/>
          <w:numId w:val="5"/>
        </w:numPr>
        <w:autoSpaceDE w:val="0"/>
        <w:autoSpaceDN w:val="0"/>
        <w:adjustRightInd w:val="0"/>
        <w:snapToGrid w:val="0"/>
        <w:spacing w:line="360" w:lineRule="auto"/>
        <w:rPr>
          <w:sz w:val="21"/>
          <w:szCs w:val="21"/>
        </w:rPr>
      </w:pPr>
      <w:r>
        <w:rPr>
          <w:rFonts w:hint="eastAsia"/>
          <w:sz w:val="21"/>
          <w:szCs w:val="21"/>
        </w:rPr>
        <w:t xml:space="preserve">  项目河道纵断面图</w:t>
      </w:r>
    </w:p>
    <w:p w14:paraId="5A79C075">
      <w:pPr>
        <w:numPr>
          <w:ilvl w:val="0"/>
          <w:numId w:val="5"/>
        </w:numPr>
        <w:autoSpaceDE w:val="0"/>
        <w:autoSpaceDN w:val="0"/>
        <w:adjustRightInd w:val="0"/>
        <w:snapToGrid w:val="0"/>
        <w:spacing w:line="360" w:lineRule="auto"/>
        <w:rPr>
          <w:sz w:val="21"/>
          <w:szCs w:val="21"/>
        </w:rPr>
      </w:pPr>
      <w:r>
        <w:rPr>
          <w:rFonts w:hint="eastAsia"/>
          <w:sz w:val="21"/>
          <w:szCs w:val="21"/>
        </w:rPr>
        <w:t xml:space="preserve">  项目生态环境保护措施图</w:t>
      </w:r>
    </w:p>
    <w:p w14:paraId="0BD93DB2">
      <w:pPr>
        <w:numPr>
          <w:ilvl w:val="0"/>
          <w:numId w:val="5"/>
        </w:numPr>
        <w:autoSpaceDE w:val="0"/>
        <w:autoSpaceDN w:val="0"/>
        <w:adjustRightInd w:val="0"/>
        <w:snapToGrid w:val="0"/>
        <w:spacing w:line="360" w:lineRule="auto"/>
        <w:rPr>
          <w:sz w:val="21"/>
          <w:szCs w:val="21"/>
        </w:rPr>
      </w:pPr>
      <w:r>
        <w:rPr>
          <w:rFonts w:hint="eastAsia"/>
          <w:sz w:val="21"/>
          <w:szCs w:val="21"/>
        </w:rPr>
        <w:t xml:space="preserve">  项目环境质量现状监测布点图</w:t>
      </w:r>
    </w:p>
    <w:p w14:paraId="28208C70">
      <w:pPr>
        <w:numPr>
          <w:ilvl w:val="0"/>
          <w:numId w:val="5"/>
        </w:numPr>
        <w:autoSpaceDE w:val="0"/>
        <w:autoSpaceDN w:val="0"/>
        <w:adjustRightInd w:val="0"/>
        <w:snapToGrid w:val="0"/>
        <w:spacing w:line="360" w:lineRule="auto"/>
        <w:rPr>
          <w:sz w:val="21"/>
          <w:szCs w:val="21"/>
        </w:rPr>
      </w:pPr>
      <w:r>
        <w:rPr>
          <w:rFonts w:hint="eastAsia"/>
          <w:sz w:val="21"/>
          <w:szCs w:val="21"/>
        </w:rPr>
        <w:t xml:space="preserve">  土地利用现状图</w:t>
      </w:r>
    </w:p>
    <w:p w14:paraId="03B87610">
      <w:pPr>
        <w:numPr>
          <w:ilvl w:val="0"/>
          <w:numId w:val="5"/>
        </w:numPr>
        <w:autoSpaceDE w:val="0"/>
        <w:autoSpaceDN w:val="0"/>
        <w:adjustRightInd w:val="0"/>
        <w:snapToGrid w:val="0"/>
        <w:spacing w:line="360" w:lineRule="auto"/>
        <w:rPr>
          <w:sz w:val="21"/>
          <w:szCs w:val="21"/>
        </w:rPr>
      </w:pPr>
      <w:r>
        <w:rPr>
          <w:rFonts w:hint="eastAsia"/>
          <w:sz w:val="21"/>
          <w:szCs w:val="21"/>
        </w:rPr>
        <w:t xml:space="preserve">  植被类型图</w:t>
      </w:r>
    </w:p>
    <w:p w14:paraId="56960154">
      <w:pPr>
        <w:numPr>
          <w:ilvl w:val="0"/>
          <w:numId w:val="5"/>
        </w:numPr>
        <w:autoSpaceDE w:val="0"/>
        <w:autoSpaceDN w:val="0"/>
        <w:adjustRightInd w:val="0"/>
        <w:snapToGrid w:val="0"/>
        <w:spacing w:line="360" w:lineRule="auto"/>
        <w:rPr>
          <w:sz w:val="21"/>
          <w:szCs w:val="21"/>
        </w:rPr>
      </w:pPr>
      <w:r>
        <w:rPr>
          <w:rFonts w:hint="eastAsia"/>
          <w:sz w:val="21"/>
          <w:szCs w:val="21"/>
        </w:rPr>
        <w:t xml:space="preserve">  生态系统类型图</w:t>
      </w:r>
    </w:p>
    <w:p w14:paraId="53BDD239">
      <w:pPr>
        <w:numPr>
          <w:ilvl w:val="0"/>
          <w:numId w:val="5"/>
        </w:numPr>
        <w:autoSpaceDE w:val="0"/>
        <w:autoSpaceDN w:val="0"/>
        <w:adjustRightInd w:val="0"/>
        <w:snapToGrid w:val="0"/>
        <w:spacing w:line="360" w:lineRule="auto"/>
        <w:rPr>
          <w:sz w:val="21"/>
          <w:szCs w:val="21"/>
        </w:rPr>
      </w:pPr>
      <w:r>
        <w:rPr>
          <w:rFonts w:hint="eastAsia"/>
          <w:sz w:val="21"/>
          <w:szCs w:val="21"/>
        </w:rPr>
        <w:t xml:space="preserve">  项目区地表水系图</w:t>
      </w:r>
    </w:p>
    <w:p w14:paraId="1DB2B38F">
      <w:pPr>
        <w:autoSpaceDE w:val="0"/>
        <w:autoSpaceDN w:val="0"/>
        <w:adjustRightInd w:val="0"/>
        <w:snapToGrid w:val="0"/>
        <w:spacing w:line="360" w:lineRule="auto"/>
        <w:rPr>
          <w:b/>
          <w:bCs/>
          <w:sz w:val="21"/>
          <w:szCs w:val="21"/>
        </w:rPr>
      </w:pPr>
      <w:r>
        <w:rPr>
          <w:rFonts w:hint="eastAsia"/>
          <w:b/>
          <w:bCs/>
          <w:sz w:val="21"/>
          <w:szCs w:val="21"/>
        </w:rPr>
        <w:t>附件：</w:t>
      </w:r>
    </w:p>
    <w:p w14:paraId="6B9F41F9">
      <w:pPr>
        <w:numPr>
          <w:ilvl w:val="0"/>
          <w:numId w:val="6"/>
        </w:numPr>
        <w:autoSpaceDE w:val="0"/>
        <w:autoSpaceDN w:val="0"/>
        <w:adjustRightInd w:val="0"/>
        <w:snapToGrid w:val="0"/>
        <w:spacing w:line="360" w:lineRule="auto"/>
        <w:rPr>
          <w:sz w:val="21"/>
          <w:szCs w:val="21"/>
        </w:rPr>
      </w:pPr>
      <w:r>
        <w:rPr>
          <w:rFonts w:hint="eastAsia"/>
          <w:sz w:val="21"/>
          <w:szCs w:val="21"/>
        </w:rPr>
        <w:t xml:space="preserve">  环评委托书</w:t>
      </w:r>
    </w:p>
    <w:p w14:paraId="57B2E32B">
      <w:pPr>
        <w:numPr>
          <w:ilvl w:val="0"/>
          <w:numId w:val="6"/>
        </w:numPr>
        <w:autoSpaceDE w:val="0"/>
        <w:autoSpaceDN w:val="0"/>
        <w:adjustRightInd w:val="0"/>
        <w:snapToGrid w:val="0"/>
        <w:spacing w:line="360" w:lineRule="auto"/>
        <w:rPr>
          <w:sz w:val="21"/>
          <w:szCs w:val="21"/>
        </w:rPr>
      </w:pPr>
      <w:r>
        <w:rPr>
          <w:rFonts w:hint="eastAsia"/>
          <w:sz w:val="21"/>
          <w:szCs w:val="21"/>
        </w:rPr>
        <w:t xml:space="preserve">  项目可行性研究报告的批复</w:t>
      </w:r>
    </w:p>
    <w:p w14:paraId="04C1D040">
      <w:pPr>
        <w:numPr>
          <w:ilvl w:val="0"/>
          <w:numId w:val="6"/>
        </w:numPr>
        <w:autoSpaceDE w:val="0"/>
        <w:autoSpaceDN w:val="0"/>
        <w:adjustRightInd w:val="0"/>
        <w:snapToGrid w:val="0"/>
        <w:spacing w:line="360" w:lineRule="auto"/>
        <w:rPr>
          <w:sz w:val="21"/>
          <w:szCs w:val="21"/>
        </w:rPr>
      </w:pPr>
      <w:r>
        <w:rPr>
          <w:rFonts w:hint="eastAsia"/>
          <w:sz w:val="21"/>
          <w:szCs w:val="21"/>
        </w:rPr>
        <w:t xml:space="preserve">  工程初步设计及概算的批复</w:t>
      </w:r>
    </w:p>
    <w:p w14:paraId="1A5EE2BF">
      <w:pPr>
        <w:numPr>
          <w:ilvl w:val="0"/>
          <w:numId w:val="6"/>
        </w:numPr>
        <w:autoSpaceDE w:val="0"/>
        <w:autoSpaceDN w:val="0"/>
        <w:adjustRightInd w:val="0"/>
        <w:snapToGrid w:val="0"/>
        <w:spacing w:line="360" w:lineRule="auto"/>
        <w:rPr>
          <w:sz w:val="21"/>
          <w:szCs w:val="21"/>
        </w:rPr>
      </w:pPr>
      <w:r>
        <w:rPr>
          <w:rFonts w:hint="eastAsia"/>
          <w:sz w:val="21"/>
          <w:szCs w:val="21"/>
        </w:rPr>
        <w:t xml:space="preserve">  项目用地预审与选址意见书的情况说明</w:t>
      </w:r>
    </w:p>
    <w:p w14:paraId="452D7567">
      <w:pPr>
        <w:numPr>
          <w:ilvl w:val="0"/>
          <w:numId w:val="6"/>
        </w:numPr>
        <w:autoSpaceDE w:val="0"/>
        <w:autoSpaceDN w:val="0"/>
        <w:adjustRightInd w:val="0"/>
        <w:snapToGrid w:val="0"/>
        <w:spacing w:line="360" w:lineRule="auto"/>
        <w:rPr>
          <w:sz w:val="21"/>
          <w:szCs w:val="21"/>
        </w:rPr>
      </w:pPr>
      <w:r>
        <w:rPr>
          <w:sz w:val="21"/>
          <w:szCs w:val="21"/>
        </w:rPr>
        <w:t xml:space="preserve">  </w:t>
      </w:r>
      <w:r>
        <w:rPr>
          <w:rFonts w:hint="eastAsia"/>
          <w:sz w:val="21"/>
          <w:szCs w:val="21"/>
        </w:rPr>
        <w:t>甘孜州农牧农村局关于《泸定县海螺沟山洪沟（共和村、柏秧坪村段）治理工程对水生生物影响及补救措施专题评价报告》的审查意见（甘农牧函〔2026〕144号）</w:t>
      </w:r>
    </w:p>
    <w:p w14:paraId="7BFDDD36">
      <w:pPr>
        <w:numPr>
          <w:ilvl w:val="0"/>
          <w:numId w:val="6"/>
        </w:numPr>
        <w:autoSpaceDE w:val="0"/>
        <w:autoSpaceDN w:val="0"/>
        <w:adjustRightInd w:val="0"/>
        <w:snapToGrid w:val="0"/>
        <w:spacing w:line="360" w:lineRule="auto"/>
        <w:rPr>
          <w:sz w:val="21"/>
          <w:szCs w:val="21"/>
        </w:rPr>
      </w:pPr>
      <w:r>
        <w:rPr>
          <w:rFonts w:hint="eastAsia"/>
          <w:sz w:val="21"/>
          <w:szCs w:val="21"/>
        </w:rPr>
        <w:t xml:space="preserve"> 甘孜州海螺沟景区管理委员会城乡生态局关于项目是否涉及饮用水源保护区的复函</w:t>
      </w:r>
    </w:p>
    <w:p w14:paraId="551C56EE">
      <w:pPr>
        <w:numPr>
          <w:ilvl w:val="0"/>
          <w:numId w:val="6"/>
        </w:numPr>
        <w:autoSpaceDE w:val="0"/>
        <w:autoSpaceDN w:val="0"/>
        <w:adjustRightInd w:val="0"/>
        <w:snapToGrid w:val="0"/>
        <w:spacing w:line="360" w:lineRule="auto"/>
        <w:rPr>
          <w:sz w:val="21"/>
          <w:szCs w:val="21"/>
        </w:rPr>
      </w:pPr>
      <w:r>
        <w:rPr>
          <w:rFonts w:hint="eastAsia"/>
          <w:sz w:val="21"/>
          <w:szCs w:val="21"/>
        </w:rPr>
        <w:t xml:space="preserve">  甘孜州自然资源和规划局海螺沟直属分局关于项目是否涉及敏感区复函</w:t>
      </w:r>
    </w:p>
    <w:p w14:paraId="3B3FBB1C">
      <w:pPr>
        <w:numPr>
          <w:ilvl w:val="0"/>
          <w:numId w:val="6"/>
        </w:numPr>
        <w:autoSpaceDE w:val="0"/>
        <w:autoSpaceDN w:val="0"/>
        <w:adjustRightInd w:val="0"/>
        <w:snapToGrid w:val="0"/>
        <w:spacing w:line="360" w:lineRule="auto"/>
        <w:rPr>
          <w:sz w:val="21"/>
          <w:szCs w:val="21"/>
        </w:rPr>
      </w:pPr>
      <w:r>
        <w:rPr>
          <w:rFonts w:hint="eastAsia"/>
          <w:sz w:val="21"/>
          <w:szCs w:val="21"/>
        </w:rPr>
        <w:t xml:space="preserve">  泸定县林业和草原局关于核实项目是否占用各级各类自然保护地、国家级公益林及基本草原的复函</w:t>
      </w:r>
    </w:p>
    <w:p w14:paraId="16F9E210">
      <w:pPr>
        <w:numPr>
          <w:ilvl w:val="0"/>
          <w:numId w:val="6"/>
        </w:numPr>
        <w:autoSpaceDE w:val="0"/>
        <w:autoSpaceDN w:val="0"/>
        <w:adjustRightInd w:val="0"/>
        <w:snapToGrid w:val="0"/>
        <w:spacing w:line="360" w:lineRule="auto"/>
        <w:rPr>
          <w:sz w:val="21"/>
          <w:szCs w:val="21"/>
        </w:rPr>
      </w:pPr>
      <w:r>
        <w:rPr>
          <w:rFonts w:hint="eastAsia"/>
          <w:sz w:val="21"/>
          <w:szCs w:val="21"/>
        </w:rPr>
        <w:t xml:space="preserve">  甘孜州海螺沟国家森林公园管理局关于同意项目在四川海螺沟国家森林公园建设的复函</w:t>
      </w:r>
    </w:p>
    <w:p w14:paraId="0B623ED5">
      <w:pPr>
        <w:numPr>
          <w:ilvl w:val="0"/>
          <w:numId w:val="6"/>
        </w:numPr>
        <w:autoSpaceDE w:val="0"/>
        <w:autoSpaceDN w:val="0"/>
        <w:adjustRightInd w:val="0"/>
        <w:snapToGrid w:val="0"/>
        <w:spacing w:line="360" w:lineRule="auto"/>
        <w:rPr>
          <w:sz w:val="21"/>
          <w:szCs w:val="21"/>
        </w:rPr>
      </w:pPr>
      <w:r>
        <w:rPr>
          <w:rFonts w:hint="eastAsia"/>
          <w:sz w:val="21"/>
          <w:szCs w:val="21"/>
        </w:rPr>
        <w:t xml:space="preserve">  甘孜州海螺沟景区管理委员会关于同意项目在四川海螺沟国家地质公园建设的批复</w:t>
      </w:r>
    </w:p>
    <w:p w14:paraId="53111BA3">
      <w:pPr>
        <w:numPr>
          <w:ilvl w:val="0"/>
          <w:numId w:val="6"/>
        </w:numPr>
        <w:autoSpaceDE w:val="0"/>
        <w:autoSpaceDN w:val="0"/>
        <w:adjustRightInd w:val="0"/>
        <w:snapToGrid w:val="0"/>
        <w:spacing w:line="360" w:lineRule="auto"/>
        <w:rPr>
          <w:rFonts w:eastAsia="楷体"/>
          <w:sz w:val="36"/>
          <w:szCs w:val="36"/>
        </w:rPr>
      </w:pPr>
      <w:r>
        <w:rPr>
          <w:rFonts w:hint="eastAsia"/>
          <w:sz w:val="21"/>
          <w:szCs w:val="21"/>
        </w:rPr>
        <w:t xml:space="preserve">  项目环境质量现状监测报告</w:t>
      </w:r>
    </w:p>
    <w:p w14:paraId="525E2723">
      <w:pPr>
        <w:numPr>
          <w:ilvl w:val="0"/>
          <w:numId w:val="6"/>
        </w:numPr>
        <w:autoSpaceDE w:val="0"/>
        <w:autoSpaceDN w:val="0"/>
        <w:adjustRightInd w:val="0"/>
        <w:snapToGrid w:val="0"/>
        <w:spacing w:line="360" w:lineRule="auto"/>
        <w:rPr>
          <w:sz w:val="21"/>
          <w:szCs w:val="21"/>
        </w:rPr>
      </w:pPr>
      <w:r>
        <w:rPr>
          <w:rFonts w:hint="eastAsia"/>
          <w:sz w:val="21"/>
          <w:szCs w:val="21"/>
        </w:rPr>
        <w:t xml:space="preserve">  责令改正违法行为决定书</w:t>
      </w:r>
    </w:p>
    <w:p w14:paraId="01104B47">
      <w:pPr>
        <w:numPr>
          <w:ilvl w:val="0"/>
          <w:numId w:val="6"/>
        </w:numPr>
        <w:autoSpaceDE w:val="0"/>
        <w:autoSpaceDN w:val="0"/>
        <w:adjustRightInd w:val="0"/>
        <w:snapToGrid w:val="0"/>
        <w:spacing w:line="360" w:lineRule="auto"/>
        <w:rPr>
          <w:sz w:val="21"/>
          <w:szCs w:val="21"/>
        </w:rPr>
      </w:pPr>
      <w:r>
        <w:rPr>
          <w:rFonts w:hint="eastAsia"/>
          <w:sz w:val="21"/>
          <w:szCs w:val="21"/>
        </w:rPr>
        <w:t xml:space="preserve">  关于泸定县海螺沟山洪沟（共和村、柏秧坪村段）治理工程施工场地依托贡嘎神汤温泉酒店有关情况的说明</w:t>
      </w:r>
    </w:p>
    <w:p w14:paraId="692482EF">
      <w:pPr>
        <w:tabs>
          <w:tab w:val="left" w:pos="0"/>
        </w:tabs>
        <w:autoSpaceDE w:val="0"/>
        <w:autoSpaceDN w:val="0"/>
        <w:adjustRightInd w:val="0"/>
        <w:snapToGrid w:val="0"/>
        <w:spacing w:line="360" w:lineRule="auto"/>
        <w:rPr>
          <w:rFonts w:eastAsia="楷体"/>
          <w:sz w:val="36"/>
          <w:szCs w:val="36"/>
        </w:rPr>
        <w:sectPr>
          <w:pgSz w:w="11906" w:h="16838"/>
          <w:pgMar w:top="1440" w:right="1080" w:bottom="1440" w:left="1080" w:header="851" w:footer="992" w:gutter="0"/>
          <w:pgNumType w:start="1"/>
          <w:cols w:space="720" w:num="1"/>
          <w:docGrid w:type="lines" w:linePitch="312" w:charSpace="0"/>
        </w:sectPr>
      </w:pPr>
    </w:p>
    <w:p w14:paraId="38C0081B">
      <w:pPr>
        <w:pStyle w:val="52"/>
        <w:jc w:val="center"/>
        <w:rPr>
          <w:szCs w:val="24"/>
        </w:rPr>
      </w:pPr>
      <w:bookmarkStart w:id="0" w:name="_Toc102"/>
      <w:r>
        <w:rPr>
          <w:rFonts w:hint="eastAsia" w:eastAsia="黑体"/>
          <w:b w:val="0"/>
          <w:sz w:val="30"/>
          <w:szCs w:val="30"/>
        </w:rPr>
        <w:t>一、建设项目基本情况</w:t>
      </w:r>
      <w:bookmarkEnd w:id="0"/>
    </w:p>
    <w:tbl>
      <w:tblPr>
        <w:tblStyle w:val="28"/>
        <w:tblW w:w="49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425"/>
        <w:gridCol w:w="2336"/>
        <w:gridCol w:w="2531"/>
        <w:gridCol w:w="3346"/>
      </w:tblGrid>
      <w:tr w14:paraId="4CC4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3A03CDB9">
            <w:pPr>
              <w:jc w:val="center"/>
              <w:rPr>
                <w:b/>
                <w:bCs/>
              </w:rPr>
            </w:pPr>
            <w:r>
              <w:rPr>
                <w:rFonts w:hint="eastAsia"/>
                <w:b/>
                <w:bCs/>
              </w:rPr>
              <w:t>建设项目名称</w:t>
            </w:r>
          </w:p>
        </w:tc>
        <w:tc>
          <w:tcPr>
            <w:tcW w:w="8223" w:type="dxa"/>
            <w:gridSpan w:val="3"/>
            <w:vAlign w:val="center"/>
          </w:tcPr>
          <w:p w14:paraId="3EF80AD9">
            <w:pPr>
              <w:jc w:val="center"/>
            </w:pPr>
            <w:r>
              <w:rPr>
                <w:rFonts w:hint="eastAsia"/>
                <w:bCs/>
              </w:rPr>
              <w:t>泸定县海螺沟山洪沟（共和村、柏秧坪村段）治理工程</w:t>
            </w:r>
          </w:p>
        </w:tc>
      </w:tr>
      <w:tr w14:paraId="1321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3C08400C">
            <w:pPr>
              <w:jc w:val="center"/>
              <w:rPr>
                <w:b/>
                <w:bCs/>
              </w:rPr>
            </w:pPr>
            <w:r>
              <w:rPr>
                <w:rFonts w:hint="eastAsia"/>
                <w:b/>
                <w:bCs/>
              </w:rPr>
              <w:t>项目代码</w:t>
            </w:r>
          </w:p>
        </w:tc>
        <w:tc>
          <w:tcPr>
            <w:tcW w:w="8223" w:type="dxa"/>
            <w:gridSpan w:val="3"/>
            <w:vAlign w:val="center"/>
          </w:tcPr>
          <w:p w14:paraId="238DD498">
            <w:pPr>
              <w:jc w:val="center"/>
            </w:pPr>
            <w:r>
              <w:t>2501-513322-04-01-582010</w:t>
            </w:r>
          </w:p>
        </w:tc>
      </w:tr>
      <w:tr w14:paraId="302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079BBD9D">
            <w:pPr>
              <w:jc w:val="center"/>
              <w:rPr>
                <w:b/>
                <w:bCs/>
              </w:rPr>
            </w:pPr>
            <w:r>
              <w:rPr>
                <w:rFonts w:hint="eastAsia"/>
                <w:b/>
                <w:bCs/>
              </w:rPr>
              <w:t>建设单位联系人</w:t>
            </w:r>
          </w:p>
        </w:tc>
        <w:tc>
          <w:tcPr>
            <w:tcW w:w="2339" w:type="dxa"/>
            <w:vAlign w:val="center"/>
          </w:tcPr>
          <w:p w14:paraId="7CC5F2F1">
            <w:pPr>
              <w:jc w:val="center"/>
              <w:rPr>
                <w:rFonts w:hint="default" w:eastAsia="宋体"/>
                <w:lang w:val="en-US" w:eastAsia="zh-CN"/>
              </w:rPr>
            </w:pPr>
            <w:r>
              <w:rPr>
                <w:rFonts w:hint="eastAsia"/>
                <w:lang w:val="en-US" w:eastAsia="zh-CN"/>
              </w:rPr>
              <w:t>***</w:t>
            </w:r>
          </w:p>
        </w:tc>
        <w:tc>
          <w:tcPr>
            <w:tcW w:w="2534" w:type="dxa"/>
            <w:vAlign w:val="center"/>
          </w:tcPr>
          <w:p w14:paraId="51060F9F">
            <w:pPr>
              <w:jc w:val="center"/>
            </w:pPr>
            <w:r>
              <w:rPr>
                <w:rFonts w:hint="eastAsia"/>
                <w:b/>
                <w:bCs/>
              </w:rPr>
              <w:t>联系方式</w:t>
            </w:r>
          </w:p>
        </w:tc>
        <w:tc>
          <w:tcPr>
            <w:tcW w:w="3350" w:type="dxa"/>
            <w:vAlign w:val="center"/>
          </w:tcPr>
          <w:p w14:paraId="70921B34">
            <w:pPr>
              <w:jc w:val="center"/>
            </w:pPr>
            <w:r>
              <w:rPr>
                <w:rFonts w:hint="eastAsia"/>
              </w:rPr>
              <w:t>******</w:t>
            </w:r>
          </w:p>
        </w:tc>
      </w:tr>
      <w:tr w14:paraId="224F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6BBA0FCF">
            <w:pPr>
              <w:jc w:val="center"/>
              <w:rPr>
                <w:b/>
                <w:bCs/>
              </w:rPr>
            </w:pPr>
            <w:r>
              <w:rPr>
                <w:rFonts w:hint="eastAsia"/>
                <w:b/>
                <w:bCs/>
              </w:rPr>
              <w:t>建设地点</w:t>
            </w:r>
          </w:p>
        </w:tc>
        <w:tc>
          <w:tcPr>
            <w:tcW w:w="8223" w:type="dxa"/>
            <w:gridSpan w:val="3"/>
            <w:vAlign w:val="center"/>
          </w:tcPr>
          <w:p w14:paraId="5BFD5FC0">
            <w:pPr>
              <w:jc w:val="center"/>
            </w:pPr>
            <w:r>
              <w:rPr>
                <w:rFonts w:hint="eastAsia"/>
              </w:rPr>
              <w:t>四川省甘孜藏族自治州泸定县磨西镇柏秧坪村</w:t>
            </w:r>
          </w:p>
        </w:tc>
      </w:tr>
      <w:tr w14:paraId="2A47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511CCA75">
            <w:pPr>
              <w:jc w:val="center"/>
              <w:rPr>
                <w:b/>
                <w:bCs/>
              </w:rPr>
            </w:pPr>
            <w:r>
              <w:rPr>
                <w:rFonts w:hint="eastAsia"/>
                <w:b/>
                <w:bCs/>
              </w:rPr>
              <w:t>地理坐标</w:t>
            </w:r>
          </w:p>
        </w:tc>
        <w:tc>
          <w:tcPr>
            <w:tcW w:w="8223" w:type="dxa"/>
            <w:gridSpan w:val="3"/>
            <w:vAlign w:val="center"/>
          </w:tcPr>
          <w:p w14:paraId="588FCEAF">
            <w:pPr>
              <w:jc w:val="center"/>
            </w:pPr>
            <w:r>
              <w:rPr>
                <w:rFonts w:hint="eastAsia"/>
              </w:rPr>
              <w:t>起点：******</w:t>
            </w:r>
          </w:p>
          <w:p w14:paraId="1FF8E3CC">
            <w:pPr>
              <w:jc w:val="center"/>
            </w:pPr>
            <w:r>
              <w:rPr>
                <w:rFonts w:hint="eastAsia"/>
              </w:rPr>
              <w:t>终点：******</w:t>
            </w:r>
          </w:p>
        </w:tc>
      </w:tr>
      <w:tr w14:paraId="7ACB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1E0C0D4E">
            <w:pPr>
              <w:jc w:val="center"/>
              <w:rPr>
                <w:b/>
                <w:bCs/>
              </w:rPr>
            </w:pPr>
            <w:r>
              <w:rPr>
                <w:rFonts w:hint="eastAsia"/>
                <w:b/>
                <w:bCs/>
              </w:rPr>
              <w:t>建设项目</w:t>
            </w:r>
          </w:p>
          <w:p w14:paraId="4F671B76">
            <w:pPr>
              <w:jc w:val="center"/>
              <w:rPr>
                <w:b/>
                <w:bCs/>
              </w:rPr>
            </w:pPr>
            <w:r>
              <w:rPr>
                <w:rFonts w:hint="eastAsia"/>
                <w:b/>
                <w:bCs/>
              </w:rPr>
              <w:t>行业类别</w:t>
            </w:r>
          </w:p>
        </w:tc>
        <w:tc>
          <w:tcPr>
            <w:tcW w:w="2339" w:type="dxa"/>
            <w:vAlign w:val="center"/>
          </w:tcPr>
          <w:p w14:paraId="41956B90">
            <w:pPr>
              <w:jc w:val="center"/>
            </w:pPr>
            <w:r>
              <w:rPr>
                <w:rFonts w:hint="eastAsia"/>
              </w:rPr>
              <w:t>五十一、水利 127防洪除涝工程——其他</w:t>
            </w:r>
          </w:p>
        </w:tc>
        <w:tc>
          <w:tcPr>
            <w:tcW w:w="2534" w:type="dxa"/>
            <w:vAlign w:val="center"/>
          </w:tcPr>
          <w:p w14:paraId="1C4C4A28">
            <w:pPr>
              <w:jc w:val="center"/>
              <w:rPr>
                <w:b/>
                <w:bCs/>
              </w:rPr>
            </w:pPr>
            <w:r>
              <w:rPr>
                <w:rFonts w:hint="eastAsia"/>
                <w:b/>
                <w:bCs/>
              </w:rPr>
              <w:t>用地（用海）面积/长度</w:t>
            </w:r>
          </w:p>
        </w:tc>
        <w:tc>
          <w:tcPr>
            <w:tcW w:w="3350" w:type="dxa"/>
            <w:vAlign w:val="center"/>
          </w:tcPr>
          <w:p w14:paraId="35C5A804">
            <w:pPr>
              <w:jc w:val="center"/>
            </w:pPr>
            <w:r>
              <w:rPr>
                <w:rFonts w:hint="eastAsia"/>
                <w:kern w:val="24"/>
              </w:rPr>
              <w:t>临时占地0.80hm²，永久用地0.31hm²</w:t>
            </w:r>
            <w:r>
              <w:rPr>
                <w:rFonts w:hint="eastAsia"/>
              </w:rPr>
              <w:t>、</w:t>
            </w:r>
            <w:r>
              <w:rPr>
                <w:rFonts w:hint="eastAsia"/>
                <w:bCs/>
              </w:rPr>
              <w:t>河沟综合治理长度684.2m</w:t>
            </w:r>
          </w:p>
        </w:tc>
      </w:tr>
      <w:tr w14:paraId="702F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1466" w:type="dxa"/>
            <w:gridSpan w:val="2"/>
            <w:vAlign w:val="center"/>
          </w:tcPr>
          <w:p w14:paraId="6729AD40">
            <w:pPr>
              <w:jc w:val="center"/>
              <w:rPr>
                <w:b/>
                <w:bCs/>
              </w:rPr>
            </w:pPr>
            <w:r>
              <w:rPr>
                <w:rFonts w:hint="eastAsia"/>
                <w:b/>
                <w:bCs/>
              </w:rPr>
              <w:t>建设性质</w:t>
            </w:r>
          </w:p>
        </w:tc>
        <w:tc>
          <w:tcPr>
            <w:tcW w:w="2339" w:type="dxa"/>
            <w:vAlign w:val="center"/>
          </w:tcPr>
          <w:p w14:paraId="44E855C7">
            <w:pPr>
              <w:autoSpaceDE w:val="0"/>
              <w:autoSpaceDN w:val="0"/>
              <w:adjustRightInd w:val="0"/>
              <w:snapToGrid w:val="0"/>
            </w:pPr>
            <w:r>
              <w:rPr/>
              <w:sym w:font="Wingdings 2" w:char="0052"/>
            </w:r>
            <w:r>
              <w:rPr>
                <w:rFonts w:hint="eastAsia"/>
              </w:rPr>
              <w:t>新建（迁建）</w:t>
            </w:r>
          </w:p>
          <w:p w14:paraId="202F91DB">
            <w:pPr>
              <w:autoSpaceDE w:val="0"/>
              <w:autoSpaceDN w:val="0"/>
              <w:adjustRightInd w:val="0"/>
              <w:snapToGrid w:val="0"/>
            </w:pPr>
            <w:r>
              <w:rPr/>
              <w:sym w:font="Wingdings" w:char="00A8"/>
            </w:r>
            <w:r>
              <w:rPr>
                <w:rFonts w:hint="eastAsia"/>
              </w:rPr>
              <w:t>改建</w:t>
            </w:r>
          </w:p>
          <w:p w14:paraId="5BFB3AE0">
            <w:pPr>
              <w:autoSpaceDE w:val="0"/>
              <w:autoSpaceDN w:val="0"/>
              <w:adjustRightInd w:val="0"/>
              <w:snapToGrid w:val="0"/>
            </w:pPr>
            <w:r>
              <w:rPr/>
              <w:sym w:font="Wingdings" w:char="00A8"/>
            </w:r>
            <w:r>
              <w:rPr>
                <w:rFonts w:hint="eastAsia"/>
              </w:rPr>
              <w:t>扩建</w:t>
            </w:r>
          </w:p>
          <w:p w14:paraId="500E85AE">
            <w:r>
              <w:rPr/>
              <w:sym w:font="Wingdings" w:char="00A8"/>
            </w:r>
            <w:r>
              <w:rPr>
                <w:rFonts w:hint="eastAsia"/>
              </w:rPr>
              <w:t>技术改造</w:t>
            </w:r>
          </w:p>
        </w:tc>
        <w:tc>
          <w:tcPr>
            <w:tcW w:w="2534" w:type="dxa"/>
            <w:vAlign w:val="center"/>
          </w:tcPr>
          <w:p w14:paraId="582B4A0A">
            <w:pPr>
              <w:jc w:val="center"/>
              <w:rPr>
                <w:b/>
                <w:bCs/>
              </w:rPr>
            </w:pPr>
            <w:r>
              <w:rPr>
                <w:rFonts w:hint="eastAsia"/>
                <w:b/>
                <w:bCs/>
              </w:rPr>
              <w:t>建设项目</w:t>
            </w:r>
          </w:p>
          <w:p w14:paraId="0FC435B5">
            <w:pPr>
              <w:jc w:val="center"/>
              <w:rPr>
                <w:b/>
                <w:bCs/>
              </w:rPr>
            </w:pPr>
            <w:r>
              <w:rPr>
                <w:rFonts w:hint="eastAsia"/>
                <w:b/>
                <w:bCs/>
              </w:rPr>
              <w:t>申报情形</w:t>
            </w:r>
          </w:p>
        </w:tc>
        <w:tc>
          <w:tcPr>
            <w:tcW w:w="3350" w:type="dxa"/>
            <w:vAlign w:val="center"/>
          </w:tcPr>
          <w:p w14:paraId="754D0C96">
            <w:pPr>
              <w:autoSpaceDE w:val="0"/>
              <w:autoSpaceDN w:val="0"/>
              <w:adjustRightInd w:val="0"/>
              <w:snapToGrid w:val="0"/>
            </w:pPr>
            <w:r>
              <w:rPr/>
              <w:sym w:font="Wingdings 2" w:char="F052"/>
            </w:r>
            <w:r>
              <w:rPr>
                <w:rFonts w:hint="eastAsia"/>
              </w:rPr>
              <w:t>首次申报项目</w:t>
            </w:r>
          </w:p>
          <w:p w14:paraId="27E8BA4C">
            <w:pPr>
              <w:autoSpaceDE w:val="0"/>
              <w:autoSpaceDN w:val="0"/>
              <w:adjustRightInd w:val="0"/>
              <w:snapToGrid w:val="0"/>
            </w:pPr>
            <w:r>
              <w:rPr/>
              <w:sym w:font="Wingdings" w:char="00A8"/>
            </w:r>
            <w:r>
              <w:rPr>
                <w:rFonts w:hint="eastAsia"/>
              </w:rPr>
              <w:t>不予批准后再次申报项目</w:t>
            </w:r>
          </w:p>
          <w:p w14:paraId="263FCD5A">
            <w:pPr>
              <w:autoSpaceDE w:val="0"/>
              <w:autoSpaceDN w:val="0"/>
              <w:adjustRightInd w:val="0"/>
              <w:snapToGrid w:val="0"/>
            </w:pPr>
            <w:r>
              <w:rPr/>
              <w:sym w:font="Wingdings" w:char="00A8"/>
            </w:r>
            <w:r>
              <w:rPr>
                <w:rFonts w:hint="eastAsia"/>
              </w:rPr>
              <w:t>超五年重新审核项目</w:t>
            </w:r>
          </w:p>
          <w:p w14:paraId="78B5C411">
            <w:pPr>
              <w:autoSpaceDE w:val="0"/>
              <w:autoSpaceDN w:val="0"/>
              <w:adjustRightInd w:val="0"/>
              <w:snapToGrid w:val="0"/>
            </w:pPr>
            <w:r>
              <w:rPr/>
              <w:sym w:font="Wingdings" w:char="00A8"/>
            </w:r>
            <w:r>
              <w:rPr>
                <w:rFonts w:hint="eastAsia"/>
              </w:rPr>
              <w:t>重大变动重新报批项目</w:t>
            </w:r>
          </w:p>
        </w:tc>
      </w:tr>
      <w:tr w14:paraId="075A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72EE5B3E">
            <w:pPr>
              <w:jc w:val="center"/>
              <w:rPr>
                <w:b/>
                <w:bCs/>
              </w:rPr>
            </w:pPr>
            <w:r>
              <w:rPr>
                <w:rFonts w:hint="eastAsia"/>
                <w:b/>
                <w:bCs/>
              </w:rPr>
              <w:t>项目审批（核准/备案）部门（选填）</w:t>
            </w:r>
          </w:p>
        </w:tc>
        <w:tc>
          <w:tcPr>
            <w:tcW w:w="2339" w:type="dxa"/>
            <w:vAlign w:val="center"/>
          </w:tcPr>
          <w:p w14:paraId="3D2F4233">
            <w:pPr>
              <w:jc w:val="center"/>
            </w:pPr>
            <w:r>
              <w:rPr>
                <w:rFonts w:hint="eastAsia"/>
              </w:rPr>
              <w:t>海螺沟景区管委会发展建设局</w:t>
            </w:r>
          </w:p>
        </w:tc>
        <w:tc>
          <w:tcPr>
            <w:tcW w:w="2534" w:type="dxa"/>
            <w:vAlign w:val="center"/>
          </w:tcPr>
          <w:p w14:paraId="590B6EED">
            <w:pPr>
              <w:jc w:val="center"/>
              <w:rPr>
                <w:b/>
                <w:bCs/>
              </w:rPr>
            </w:pPr>
            <w:r>
              <w:rPr>
                <w:rFonts w:hint="eastAsia"/>
                <w:b/>
                <w:bCs/>
              </w:rPr>
              <w:t>项目审批（核准/</w:t>
            </w:r>
          </w:p>
          <w:p w14:paraId="26AB501E">
            <w:pPr>
              <w:jc w:val="center"/>
              <w:rPr>
                <w:b/>
                <w:bCs/>
              </w:rPr>
            </w:pPr>
            <w:r>
              <w:rPr>
                <w:rFonts w:hint="eastAsia"/>
                <w:b/>
                <w:bCs/>
              </w:rPr>
              <w:t>备案）文号（选填）</w:t>
            </w:r>
          </w:p>
        </w:tc>
        <w:tc>
          <w:tcPr>
            <w:tcW w:w="3350" w:type="dxa"/>
            <w:vAlign w:val="center"/>
          </w:tcPr>
          <w:p w14:paraId="152D5675">
            <w:pPr>
              <w:jc w:val="center"/>
            </w:pPr>
            <w:r>
              <w:rPr>
                <w:rFonts w:hint="eastAsia"/>
              </w:rPr>
              <w:t>甘海发展〔2025〕13号</w:t>
            </w:r>
          </w:p>
        </w:tc>
      </w:tr>
      <w:tr w14:paraId="58C5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37B564F3">
            <w:pPr>
              <w:jc w:val="center"/>
              <w:rPr>
                <w:b/>
                <w:bCs/>
              </w:rPr>
            </w:pPr>
            <w:r>
              <w:rPr>
                <w:rFonts w:hint="eastAsia"/>
                <w:b/>
                <w:bCs/>
              </w:rPr>
              <w:t>总投资（万元）</w:t>
            </w:r>
          </w:p>
        </w:tc>
        <w:tc>
          <w:tcPr>
            <w:tcW w:w="2339" w:type="dxa"/>
            <w:vAlign w:val="center"/>
          </w:tcPr>
          <w:p w14:paraId="44EE7DD1">
            <w:pPr>
              <w:jc w:val="center"/>
            </w:pPr>
            <w:r>
              <w:rPr>
                <w:rFonts w:hint="eastAsia"/>
              </w:rPr>
              <w:t>***</w:t>
            </w:r>
          </w:p>
        </w:tc>
        <w:tc>
          <w:tcPr>
            <w:tcW w:w="2534" w:type="dxa"/>
            <w:vAlign w:val="center"/>
          </w:tcPr>
          <w:p w14:paraId="0C5D95F8">
            <w:pPr>
              <w:rPr>
                <w:b/>
                <w:bCs/>
              </w:rPr>
            </w:pPr>
            <w:r>
              <w:rPr>
                <w:rFonts w:hint="eastAsia"/>
                <w:b/>
                <w:bCs/>
              </w:rPr>
              <w:t>环保投资（万元）</w:t>
            </w:r>
          </w:p>
        </w:tc>
        <w:tc>
          <w:tcPr>
            <w:tcW w:w="3350" w:type="dxa"/>
            <w:vAlign w:val="center"/>
          </w:tcPr>
          <w:p w14:paraId="7D4EF2CD">
            <w:pPr>
              <w:jc w:val="center"/>
            </w:pPr>
            <w:r>
              <w:rPr>
                <w:rFonts w:hint="eastAsia"/>
              </w:rPr>
              <w:t>***</w:t>
            </w:r>
          </w:p>
        </w:tc>
      </w:tr>
      <w:tr w14:paraId="3C21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328B46C0">
            <w:pPr>
              <w:jc w:val="center"/>
              <w:rPr>
                <w:b/>
                <w:bCs/>
              </w:rPr>
            </w:pPr>
            <w:r>
              <w:rPr>
                <w:rFonts w:hint="eastAsia"/>
                <w:b/>
                <w:bCs/>
              </w:rPr>
              <w:t>环保投资占比（%）</w:t>
            </w:r>
          </w:p>
        </w:tc>
        <w:tc>
          <w:tcPr>
            <w:tcW w:w="2339" w:type="dxa"/>
            <w:vAlign w:val="center"/>
          </w:tcPr>
          <w:p w14:paraId="2425F47D">
            <w:pPr>
              <w:jc w:val="center"/>
            </w:pPr>
            <w:r>
              <w:rPr>
                <w:rFonts w:hint="eastAsia"/>
              </w:rPr>
              <w:t>***</w:t>
            </w:r>
          </w:p>
        </w:tc>
        <w:tc>
          <w:tcPr>
            <w:tcW w:w="2534" w:type="dxa"/>
            <w:vAlign w:val="center"/>
          </w:tcPr>
          <w:p w14:paraId="5F2136DA">
            <w:pPr>
              <w:jc w:val="center"/>
            </w:pPr>
            <w:r>
              <w:rPr>
                <w:rFonts w:hint="eastAsia"/>
                <w:b/>
                <w:bCs/>
              </w:rPr>
              <w:t>施工工期</w:t>
            </w:r>
          </w:p>
        </w:tc>
        <w:tc>
          <w:tcPr>
            <w:tcW w:w="3350" w:type="dxa"/>
            <w:vAlign w:val="center"/>
          </w:tcPr>
          <w:p w14:paraId="18422210">
            <w:pPr>
              <w:jc w:val="center"/>
            </w:pPr>
            <w:r>
              <w:rPr>
                <w:rFonts w:hint="eastAsia"/>
              </w:rPr>
              <w:t>4个月</w:t>
            </w:r>
          </w:p>
        </w:tc>
      </w:tr>
      <w:tr w14:paraId="5040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6" w:type="dxa"/>
            <w:gridSpan w:val="2"/>
            <w:vAlign w:val="center"/>
          </w:tcPr>
          <w:p w14:paraId="6CC3535C">
            <w:pPr>
              <w:jc w:val="center"/>
              <w:rPr>
                <w:b/>
                <w:bCs/>
              </w:rPr>
            </w:pPr>
            <w:r>
              <w:rPr>
                <w:rFonts w:hint="eastAsia"/>
                <w:b/>
                <w:bCs/>
              </w:rPr>
              <w:t>是否开工建设</w:t>
            </w:r>
          </w:p>
        </w:tc>
        <w:tc>
          <w:tcPr>
            <w:tcW w:w="8223" w:type="dxa"/>
            <w:gridSpan w:val="3"/>
            <w:vAlign w:val="center"/>
          </w:tcPr>
          <w:p w14:paraId="1C61E024">
            <w:pPr>
              <w:autoSpaceDE w:val="0"/>
              <w:autoSpaceDN w:val="0"/>
              <w:adjustRightInd w:val="0"/>
              <w:snapToGrid w:val="0"/>
            </w:pPr>
            <w:r>
              <w:rPr/>
              <w:sym w:font="Wingdings 2" w:char="00A3"/>
            </w:r>
            <w:r>
              <w:rPr>
                <w:rFonts w:hint="eastAsia"/>
              </w:rPr>
              <w:t>否</w:t>
            </w:r>
          </w:p>
          <w:p w14:paraId="71E09852">
            <w:r>
              <w:rPr/>
              <w:sym w:font="Wingdings" w:char="00FE"/>
            </w:r>
            <w:r>
              <w:rPr>
                <w:rFonts w:hint="eastAsia"/>
              </w:rPr>
              <w:t>是：</w:t>
            </w:r>
            <w:r>
              <w:rPr>
                <w:rFonts w:hint="eastAsia"/>
                <w:u w:val="single"/>
              </w:rPr>
              <w:t>已开工建设。存在未批先建行为，河道护脚堤防、钢筋混凝土护脚、混凝土丁坝、重力式钢筋混凝土结构床梁等主体工程均已建设完成；左岸K0+000～K0+074.81等3段合计129.31m钢筋石笼护脚未建设，因现状河道条件不具备原方案实施条件，经设计复核不再建设；甘孜州生态环境局已出具责令改正违法行为决定书（甘环责改〔2026〕39号），当前建设单位正在补办环评手续。</w:t>
            </w:r>
          </w:p>
        </w:tc>
      </w:tr>
      <w:tr w14:paraId="2BC0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0" w:type="dxa"/>
            <w:vAlign w:val="center"/>
          </w:tcPr>
          <w:p w14:paraId="54A56C28">
            <w:pPr>
              <w:jc w:val="center"/>
              <w:rPr>
                <w:b/>
                <w:bCs/>
              </w:rPr>
            </w:pPr>
            <w:r>
              <w:rPr>
                <w:rFonts w:hint="eastAsia"/>
                <w:b/>
                <w:bCs/>
              </w:rPr>
              <w:t>专项评价设置情况</w:t>
            </w:r>
          </w:p>
        </w:tc>
        <w:tc>
          <w:tcPr>
            <w:tcW w:w="8649" w:type="dxa"/>
            <w:gridSpan w:val="4"/>
            <w:vAlign w:val="center"/>
          </w:tcPr>
          <w:p w14:paraId="69331C16">
            <w:pPr>
              <w:spacing w:before="156" w:beforeLines="50" w:line="360" w:lineRule="auto"/>
              <w:ind w:firstLine="480" w:firstLineChars="200"/>
            </w:pPr>
            <w:r>
              <w:rPr>
                <w:rFonts w:hint="eastAsia"/>
              </w:rPr>
              <w:t>根据《建设项目环境影响报告表编制技术指南（生态影响类）（试行）》，本项目专项评价设置情况见下表：</w:t>
            </w:r>
          </w:p>
          <w:p w14:paraId="68C964DC">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1</w:t>
            </w:r>
            <w:r>
              <w:rPr>
                <w:rFonts w:cs="Times New Roman"/>
              </w:rPr>
              <w:fldChar w:fldCharType="end"/>
            </w:r>
            <w:r>
              <w:rPr>
                <w:rFonts w:hint="eastAsia" w:cs="Times New Roman"/>
              </w:rPr>
              <w:t xml:space="preserve">  专项评价设置表</w:t>
            </w:r>
          </w:p>
          <w:tbl>
            <w:tblPr>
              <w:tblStyle w:val="2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4006"/>
              <w:gridCol w:w="2350"/>
              <w:gridCol w:w="1033"/>
            </w:tblGrid>
            <w:tr w14:paraId="411185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tcBorders>
                    <w:tl2br w:val="nil"/>
                    <w:tr2bl w:val="nil"/>
                  </w:tcBorders>
                  <w:vAlign w:val="center"/>
                </w:tcPr>
                <w:p w14:paraId="112F4935">
                  <w:pPr>
                    <w:pStyle w:val="59"/>
                    <w:rPr>
                      <w:rFonts w:cs="Times New Roman"/>
                      <w:b/>
                      <w:bCs/>
                    </w:rPr>
                  </w:pPr>
                  <w:r>
                    <w:rPr>
                      <w:rFonts w:hint="eastAsia" w:cs="Times New Roman"/>
                      <w:b/>
                      <w:bCs/>
                    </w:rPr>
                    <w:t>专项评价类别</w:t>
                  </w:r>
                </w:p>
              </w:tc>
              <w:tc>
                <w:tcPr>
                  <w:tcW w:w="2377" w:type="pct"/>
                  <w:tcBorders>
                    <w:tl2br w:val="nil"/>
                    <w:tr2bl w:val="nil"/>
                  </w:tcBorders>
                  <w:vAlign w:val="center"/>
                </w:tcPr>
                <w:p w14:paraId="5E181E57">
                  <w:pPr>
                    <w:pStyle w:val="59"/>
                    <w:rPr>
                      <w:rFonts w:cs="Times New Roman"/>
                      <w:b/>
                      <w:bCs/>
                    </w:rPr>
                  </w:pPr>
                  <w:r>
                    <w:rPr>
                      <w:rFonts w:hint="eastAsia" w:cs="Times New Roman"/>
                      <w:b/>
                      <w:bCs/>
                    </w:rPr>
                    <w:t>设置原则</w:t>
                  </w:r>
                </w:p>
              </w:tc>
              <w:tc>
                <w:tcPr>
                  <w:tcW w:w="1394" w:type="pct"/>
                  <w:tcBorders>
                    <w:tl2br w:val="nil"/>
                    <w:tr2bl w:val="nil"/>
                  </w:tcBorders>
                  <w:vAlign w:val="center"/>
                </w:tcPr>
                <w:p w14:paraId="5E50D043">
                  <w:pPr>
                    <w:pStyle w:val="59"/>
                    <w:rPr>
                      <w:rFonts w:cs="Times New Roman"/>
                      <w:b/>
                      <w:bCs/>
                    </w:rPr>
                  </w:pPr>
                  <w:r>
                    <w:rPr>
                      <w:rFonts w:hint="eastAsia" w:cs="Times New Roman"/>
                      <w:b/>
                      <w:bCs/>
                    </w:rPr>
                    <w:t>本项目情况</w:t>
                  </w:r>
                </w:p>
              </w:tc>
              <w:tc>
                <w:tcPr>
                  <w:tcW w:w="613" w:type="pct"/>
                  <w:tcBorders>
                    <w:tl2br w:val="nil"/>
                    <w:tr2bl w:val="nil"/>
                  </w:tcBorders>
                  <w:vAlign w:val="center"/>
                </w:tcPr>
                <w:p w14:paraId="5D528051">
                  <w:pPr>
                    <w:pStyle w:val="59"/>
                    <w:rPr>
                      <w:rFonts w:cs="Times New Roman"/>
                      <w:b/>
                      <w:bCs/>
                    </w:rPr>
                  </w:pPr>
                  <w:r>
                    <w:rPr>
                      <w:rFonts w:hint="eastAsia" w:cs="Times New Roman"/>
                      <w:b/>
                      <w:bCs/>
                    </w:rPr>
                    <w:t>是否专项评价</w:t>
                  </w:r>
                </w:p>
              </w:tc>
            </w:tr>
            <w:tr w14:paraId="53F41D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tcBorders>
                    <w:tl2br w:val="nil"/>
                    <w:tr2bl w:val="nil"/>
                  </w:tcBorders>
                  <w:vAlign w:val="center"/>
                </w:tcPr>
                <w:p w14:paraId="5838BD47">
                  <w:pPr>
                    <w:pStyle w:val="59"/>
                    <w:rPr>
                      <w:rFonts w:cs="Times New Roman"/>
                    </w:rPr>
                  </w:pPr>
                  <w:r>
                    <w:rPr>
                      <w:rFonts w:hint="eastAsia" w:cs="Times New Roman"/>
                    </w:rPr>
                    <w:t>地表水</w:t>
                  </w:r>
                </w:p>
              </w:tc>
              <w:tc>
                <w:tcPr>
                  <w:tcW w:w="2377" w:type="pct"/>
                  <w:tcBorders>
                    <w:tl2br w:val="nil"/>
                    <w:tr2bl w:val="nil"/>
                  </w:tcBorders>
                  <w:vAlign w:val="center"/>
                </w:tcPr>
                <w:p w14:paraId="13C2315A">
                  <w:pPr>
                    <w:pStyle w:val="59"/>
                    <w:jc w:val="both"/>
                    <w:rPr>
                      <w:rFonts w:cs="Times New Roman"/>
                    </w:rPr>
                  </w:pPr>
                  <w:r>
                    <w:rPr>
                      <w:rFonts w:hint="eastAsia" w:cs="Times New Roman"/>
                    </w:rPr>
                    <w:t>水力发电：引水式发电、涉及调峰发电的项目；</w:t>
                  </w:r>
                </w:p>
                <w:p w14:paraId="1BEBF408">
                  <w:pPr>
                    <w:pStyle w:val="59"/>
                    <w:jc w:val="both"/>
                    <w:rPr>
                      <w:rFonts w:cs="Times New Roman"/>
                    </w:rPr>
                  </w:pPr>
                  <w:r>
                    <w:rPr>
                      <w:rFonts w:hint="eastAsia" w:cs="Times New Roman"/>
                    </w:rPr>
                    <w:t>人工湖、人工湿地：全部；</w:t>
                  </w:r>
                </w:p>
                <w:p w14:paraId="45FDA26F">
                  <w:pPr>
                    <w:pStyle w:val="59"/>
                    <w:jc w:val="both"/>
                    <w:rPr>
                      <w:rFonts w:cs="Times New Roman"/>
                    </w:rPr>
                  </w:pPr>
                  <w:r>
                    <w:rPr>
                      <w:rFonts w:hint="eastAsia" w:cs="Times New Roman"/>
                    </w:rPr>
                    <w:t>水库：全部；</w:t>
                  </w:r>
                </w:p>
                <w:p w14:paraId="2E4D59C3">
                  <w:pPr>
                    <w:pStyle w:val="59"/>
                    <w:jc w:val="both"/>
                    <w:rPr>
                      <w:rFonts w:cs="Times New Roman"/>
                    </w:rPr>
                  </w:pPr>
                  <w:r>
                    <w:rPr>
                      <w:rFonts w:hint="eastAsia" w:cs="Times New Roman"/>
                    </w:rPr>
                    <w:t>引水工程：全部（配套的管线工程等除外）；</w:t>
                  </w:r>
                </w:p>
                <w:p w14:paraId="687954B8">
                  <w:pPr>
                    <w:pStyle w:val="59"/>
                    <w:jc w:val="both"/>
                    <w:rPr>
                      <w:rFonts w:cs="Times New Roman"/>
                    </w:rPr>
                  </w:pPr>
                  <w:r>
                    <w:rPr>
                      <w:rFonts w:hint="eastAsia" w:cs="Times New Roman"/>
                    </w:rPr>
                    <w:t>防洪除涝工程：包含水库的项目；</w:t>
                  </w:r>
                </w:p>
                <w:p w14:paraId="11B4109B">
                  <w:pPr>
                    <w:pStyle w:val="59"/>
                    <w:jc w:val="both"/>
                    <w:rPr>
                      <w:rFonts w:cs="Times New Roman"/>
                    </w:rPr>
                  </w:pPr>
                  <w:r>
                    <w:rPr>
                      <w:rFonts w:hint="eastAsia" w:cs="Times New Roman"/>
                    </w:rPr>
                    <w:t>河湖整治：涉及清淤且底泥存在重金属污染的项目。</w:t>
                  </w:r>
                </w:p>
              </w:tc>
              <w:tc>
                <w:tcPr>
                  <w:tcW w:w="1394" w:type="pct"/>
                  <w:tcBorders>
                    <w:tl2br w:val="nil"/>
                    <w:tr2bl w:val="nil"/>
                  </w:tcBorders>
                  <w:vAlign w:val="center"/>
                </w:tcPr>
                <w:p w14:paraId="43EDC427">
                  <w:pPr>
                    <w:pStyle w:val="59"/>
                    <w:jc w:val="both"/>
                    <w:rPr>
                      <w:rFonts w:cs="Times New Roman"/>
                    </w:rPr>
                  </w:pPr>
                  <w:r>
                    <w:rPr>
                      <w:rFonts w:hint="eastAsia" w:cs="Times New Roman"/>
                    </w:rPr>
                    <w:t>本项目不包含水库且项目治理河段无工业污染源，无重金属废水排入；工程涉及疏浚，疏浚仅指河道内砂砾石开挖中河床淤积砂卵石的局部清理，本河段属季节性山洪沟，河床质为砂卵石，不涉及淤泥，无淤泥产生量；经对砂砾石开挖段底泥监测，底泥满足</w:t>
                  </w:r>
                  <w:r>
                    <w:rPr>
                      <w:rFonts w:hint="eastAsia" w:cs="Times New Roman"/>
                      <w:lang w:val="zh-TW"/>
                    </w:rPr>
                    <w:t>《土壤环境质量 农用地土壤污染风险管控标准（试行）》（GB15618-2018）</w:t>
                  </w:r>
                  <w:r>
                    <w:rPr>
                      <w:rFonts w:hint="eastAsia" w:cs="Times New Roman"/>
                    </w:rPr>
                    <w:t>相关标准，不存在重金属污染，不属于“河湖整治：涉及清淤且底泥存在重金属污染”的情形。</w:t>
                  </w:r>
                </w:p>
              </w:tc>
              <w:tc>
                <w:tcPr>
                  <w:tcW w:w="613" w:type="pct"/>
                  <w:tcBorders>
                    <w:tl2br w:val="nil"/>
                    <w:tr2bl w:val="nil"/>
                  </w:tcBorders>
                  <w:vAlign w:val="center"/>
                </w:tcPr>
                <w:p w14:paraId="138AEEB4">
                  <w:pPr>
                    <w:pStyle w:val="59"/>
                    <w:rPr>
                      <w:rFonts w:cs="Times New Roman"/>
                    </w:rPr>
                  </w:pPr>
                  <w:r>
                    <w:rPr>
                      <w:rFonts w:hint="eastAsia" w:cs="Times New Roman"/>
                    </w:rPr>
                    <w:t>否</w:t>
                  </w:r>
                </w:p>
              </w:tc>
            </w:tr>
            <w:tr w14:paraId="276A0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tcBorders>
                    <w:tl2br w:val="nil"/>
                    <w:tr2bl w:val="nil"/>
                  </w:tcBorders>
                  <w:vAlign w:val="center"/>
                </w:tcPr>
                <w:p w14:paraId="571899C3">
                  <w:pPr>
                    <w:pStyle w:val="59"/>
                    <w:rPr>
                      <w:rFonts w:cs="Times New Roman"/>
                    </w:rPr>
                  </w:pPr>
                  <w:r>
                    <w:rPr>
                      <w:rFonts w:hint="eastAsia" w:cs="Times New Roman"/>
                    </w:rPr>
                    <w:t>地下水</w:t>
                  </w:r>
                </w:p>
              </w:tc>
              <w:tc>
                <w:tcPr>
                  <w:tcW w:w="2377" w:type="pct"/>
                  <w:tcBorders>
                    <w:tl2br w:val="nil"/>
                    <w:tr2bl w:val="nil"/>
                  </w:tcBorders>
                  <w:vAlign w:val="center"/>
                </w:tcPr>
                <w:p w14:paraId="65CFA128">
                  <w:pPr>
                    <w:pStyle w:val="59"/>
                    <w:jc w:val="both"/>
                    <w:rPr>
                      <w:rFonts w:cs="Times New Roman"/>
                    </w:rPr>
                  </w:pPr>
                  <w:r>
                    <w:rPr>
                      <w:rFonts w:hint="eastAsia" w:cs="Times New Roman"/>
                    </w:rPr>
                    <w:t>陆地石油和天然气开采：全部；地下水（含矿泉水）开采：全部；</w:t>
                  </w:r>
                </w:p>
                <w:p w14:paraId="69667B22">
                  <w:pPr>
                    <w:pStyle w:val="59"/>
                    <w:jc w:val="both"/>
                    <w:rPr>
                      <w:rFonts w:cs="Times New Roman"/>
                    </w:rPr>
                  </w:pPr>
                  <w:r>
                    <w:rPr>
                      <w:rFonts w:hint="eastAsia" w:cs="Times New Roman"/>
                    </w:rPr>
                    <w:t>水利、水电、交通等：含穿越可溶岩地层隧道的项目。</w:t>
                  </w:r>
                </w:p>
              </w:tc>
              <w:tc>
                <w:tcPr>
                  <w:tcW w:w="1394" w:type="pct"/>
                  <w:tcBorders>
                    <w:tl2br w:val="nil"/>
                    <w:tr2bl w:val="nil"/>
                  </w:tcBorders>
                  <w:vAlign w:val="center"/>
                </w:tcPr>
                <w:p w14:paraId="1B8EAE02">
                  <w:pPr>
                    <w:pStyle w:val="59"/>
                    <w:jc w:val="both"/>
                    <w:rPr>
                      <w:rFonts w:cs="Times New Roman"/>
                    </w:rPr>
                  </w:pPr>
                  <w:r>
                    <w:rPr>
                      <w:rFonts w:hint="eastAsia" w:cs="Times New Roman"/>
                    </w:rPr>
                    <w:t>本项目不含穿越可溶岩地层隧道的项目。</w:t>
                  </w:r>
                </w:p>
              </w:tc>
              <w:tc>
                <w:tcPr>
                  <w:tcW w:w="613" w:type="pct"/>
                  <w:tcBorders>
                    <w:tl2br w:val="nil"/>
                    <w:tr2bl w:val="nil"/>
                  </w:tcBorders>
                  <w:vAlign w:val="center"/>
                </w:tcPr>
                <w:p w14:paraId="4BB6305C">
                  <w:pPr>
                    <w:pStyle w:val="59"/>
                    <w:rPr>
                      <w:rFonts w:cs="Times New Roman"/>
                    </w:rPr>
                  </w:pPr>
                  <w:r>
                    <w:rPr>
                      <w:rFonts w:hint="eastAsia" w:cs="Times New Roman"/>
                    </w:rPr>
                    <w:t>否</w:t>
                  </w:r>
                </w:p>
              </w:tc>
            </w:tr>
            <w:tr w14:paraId="355A0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tcBorders>
                    <w:tl2br w:val="nil"/>
                    <w:tr2bl w:val="nil"/>
                  </w:tcBorders>
                  <w:vAlign w:val="center"/>
                </w:tcPr>
                <w:p w14:paraId="29413C3B">
                  <w:pPr>
                    <w:pStyle w:val="59"/>
                    <w:rPr>
                      <w:rFonts w:cs="Times New Roman"/>
                    </w:rPr>
                  </w:pPr>
                  <w:r>
                    <w:rPr>
                      <w:rFonts w:hint="eastAsia" w:cs="Times New Roman"/>
                    </w:rPr>
                    <w:t>生态</w:t>
                  </w:r>
                </w:p>
              </w:tc>
              <w:tc>
                <w:tcPr>
                  <w:tcW w:w="2377" w:type="pct"/>
                  <w:tcBorders>
                    <w:tl2br w:val="nil"/>
                    <w:tr2bl w:val="nil"/>
                  </w:tcBorders>
                  <w:vAlign w:val="center"/>
                </w:tcPr>
                <w:p w14:paraId="46B07ACD">
                  <w:pPr>
                    <w:pStyle w:val="59"/>
                    <w:jc w:val="both"/>
                    <w:rPr>
                      <w:rFonts w:cs="Times New Roman"/>
                    </w:rPr>
                  </w:pPr>
                  <w:r>
                    <w:rPr>
                      <w:rFonts w:hint="eastAsia" w:cs="Times New Roman"/>
                    </w:rPr>
                    <w:t>涉及环境敏感区（不包括饮用水水源保护区，以居住、医疗卫生、文化教育、科研、行政办公为主要功能的区域，以及文物保护单位）的项目。</w:t>
                  </w:r>
                </w:p>
              </w:tc>
              <w:tc>
                <w:tcPr>
                  <w:tcW w:w="1394" w:type="pct"/>
                  <w:tcBorders>
                    <w:tl2br w:val="nil"/>
                    <w:tr2bl w:val="nil"/>
                  </w:tcBorders>
                  <w:vAlign w:val="center"/>
                </w:tcPr>
                <w:p w14:paraId="7B63DC5E">
                  <w:pPr>
                    <w:pStyle w:val="59"/>
                    <w:jc w:val="both"/>
                    <w:rPr>
                      <w:rFonts w:cs="Times New Roman"/>
                    </w:rPr>
                  </w:pPr>
                  <w:r>
                    <w:rPr>
                      <w:rFonts w:hint="eastAsia" w:cs="Times New Roman"/>
                    </w:rPr>
                    <w:t>不涉及。</w:t>
                  </w:r>
                </w:p>
              </w:tc>
              <w:tc>
                <w:tcPr>
                  <w:tcW w:w="613" w:type="pct"/>
                  <w:tcBorders>
                    <w:tl2br w:val="nil"/>
                    <w:tr2bl w:val="nil"/>
                  </w:tcBorders>
                  <w:vAlign w:val="center"/>
                </w:tcPr>
                <w:p w14:paraId="4109F071">
                  <w:pPr>
                    <w:pStyle w:val="59"/>
                    <w:rPr>
                      <w:rFonts w:cs="Times New Roman"/>
                    </w:rPr>
                  </w:pPr>
                  <w:r>
                    <w:rPr>
                      <w:rFonts w:hint="eastAsia" w:cs="Times New Roman"/>
                    </w:rPr>
                    <w:t>否</w:t>
                  </w:r>
                </w:p>
              </w:tc>
            </w:tr>
            <w:tr w14:paraId="4B9740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tcBorders>
                    <w:tl2br w:val="nil"/>
                    <w:tr2bl w:val="nil"/>
                  </w:tcBorders>
                  <w:vAlign w:val="center"/>
                </w:tcPr>
                <w:p w14:paraId="59D5FBAB">
                  <w:pPr>
                    <w:pStyle w:val="59"/>
                    <w:rPr>
                      <w:rFonts w:cs="Times New Roman"/>
                    </w:rPr>
                  </w:pPr>
                  <w:r>
                    <w:rPr>
                      <w:rFonts w:hint="eastAsia" w:cs="Times New Roman"/>
                    </w:rPr>
                    <w:t>大气</w:t>
                  </w:r>
                </w:p>
              </w:tc>
              <w:tc>
                <w:tcPr>
                  <w:tcW w:w="2377" w:type="pct"/>
                  <w:tcBorders>
                    <w:tl2br w:val="nil"/>
                    <w:tr2bl w:val="nil"/>
                  </w:tcBorders>
                  <w:vAlign w:val="center"/>
                </w:tcPr>
                <w:p w14:paraId="0124B6E7">
                  <w:pPr>
                    <w:pStyle w:val="59"/>
                    <w:jc w:val="both"/>
                    <w:rPr>
                      <w:rFonts w:cs="Times New Roman"/>
                    </w:rPr>
                  </w:pPr>
                  <w:r>
                    <w:rPr>
                      <w:rFonts w:hint="eastAsia" w:cs="Times New Roman"/>
                    </w:rPr>
                    <w:t>油气、液体化工码头：全部；</w:t>
                  </w:r>
                </w:p>
                <w:p w14:paraId="78895EFB">
                  <w:pPr>
                    <w:pStyle w:val="59"/>
                    <w:jc w:val="both"/>
                    <w:rPr>
                      <w:rFonts w:cs="Times New Roman"/>
                    </w:rPr>
                  </w:pPr>
                  <w:r>
                    <w:rPr>
                      <w:rFonts w:hint="eastAsia" w:cs="Times New Roman"/>
                    </w:rPr>
                    <w:t>干散货（含煤炭、矿石）、件杂、多用途、通用码头：涉及粉尘、挥发性有机物排放的项目。</w:t>
                  </w:r>
                </w:p>
              </w:tc>
              <w:tc>
                <w:tcPr>
                  <w:tcW w:w="1394" w:type="pct"/>
                  <w:tcBorders>
                    <w:tl2br w:val="nil"/>
                    <w:tr2bl w:val="nil"/>
                  </w:tcBorders>
                  <w:vAlign w:val="center"/>
                </w:tcPr>
                <w:p w14:paraId="490DC3B0">
                  <w:pPr>
                    <w:pStyle w:val="59"/>
                    <w:jc w:val="both"/>
                    <w:rPr>
                      <w:rFonts w:cs="Times New Roman"/>
                    </w:rPr>
                  </w:pPr>
                  <w:r>
                    <w:rPr>
                      <w:rFonts w:hint="eastAsia" w:cs="Times New Roman"/>
                    </w:rPr>
                    <w:t>不涉及。</w:t>
                  </w:r>
                </w:p>
              </w:tc>
              <w:tc>
                <w:tcPr>
                  <w:tcW w:w="613" w:type="pct"/>
                  <w:tcBorders>
                    <w:tl2br w:val="nil"/>
                    <w:tr2bl w:val="nil"/>
                  </w:tcBorders>
                  <w:vAlign w:val="center"/>
                </w:tcPr>
                <w:p w14:paraId="301909BC">
                  <w:pPr>
                    <w:pStyle w:val="59"/>
                    <w:rPr>
                      <w:rFonts w:cs="Times New Roman"/>
                    </w:rPr>
                  </w:pPr>
                  <w:r>
                    <w:rPr>
                      <w:rFonts w:hint="eastAsia" w:cs="Times New Roman"/>
                    </w:rPr>
                    <w:t>否</w:t>
                  </w:r>
                </w:p>
              </w:tc>
            </w:tr>
            <w:tr w14:paraId="3AEA77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tcBorders>
                    <w:tl2br w:val="nil"/>
                    <w:tr2bl w:val="nil"/>
                  </w:tcBorders>
                  <w:vAlign w:val="center"/>
                </w:tcPr>
                <w:p w14:paraId="0483C267">
                  <w:pPr>
                    <w:pStyle w:val="59"/>
                    <w:rPr>
                      <w:rFonts w:cs="Times New Roman"/>
                    </w:rPr>
                  </w:pPr>
                  <w:r>
                    <w:rPr>
                      <w:rFonts w:hint="eastAsia" w:cs="Times New Roman"/>
                    </w:rPr>
                    <w:t>噪声</w:t>
                  </w:r>
                </w:p>
              </w:tc>
              <w:tc>
                <w:tcPr>
                  <w:tcW w:w="2377" w:type="pct"/>
                  <w:tcBorders>
                    <w:tl2br w:val="nil"/>
                    <w:tr2bl w:val="nil"/>
                  </w:tcBorders>
                  <w:vAlign w:val="center"/>
                </w:tcPr>
                <w:p w14:paraId="4DC5946D">
                  <w:pPr>
                    <w:pStyle w:val="59"/>
                    <w:jc w:val="both"/>
                    <w:rPr>
                      <w:rFonts w:cs="Times New Roman"/>
                    </w:rPr>
                  </w:pPr>
                  <w:r>
                    <w:rPr>
                      <w:rFonts w:hint="eastAsia" w:cs="Times New Roman"/>
                    </w:rPr>
                    <w:t>公路、铁路、机场等交通运输业涉及环境敏感区（以居住、医疗卫生、文化教育、科研、行政办公为主要功能的区域）的项目；</w:t>
                  </w:r>
                </w:p>
                <w:p w14:paraId="2FDBFD7A">
                  <w:pPr>
                    <w:pStyle w:val="59"/>
                    <w:jc w:val="both"/>
                    <w:rPr>
                      <w:rFonts w:cs="Times New Roman"/>
                    </w:rPr>
                  </w:pPr>
                  <w:r>
                    <w:rPr>
                      <w:rFonts w:hint="eastAsia" w:cs="Times New Roman"/>
                    </w:rPr>
                    <w:t>城市道路（不含维护，不含支路、人行天桥、人行地道）：全部</w:t>
                  </w:r>
                </w:p>
              </w:tc>
              <w:tc>
                <w:tcPr>
                  <w:tcW w:w="1394" w:type="pct"/>
                  <w:tcBorders>
                    <w:tl2br w:val="nil"/>
                    <w:tr2bl w:val="nil"/>
                  </w:tcBorders>
                  <w:vAlign w:val="center"/>
                </w:tcPr>
                <w:p w14:paraId="25981008">
                  <w:pPr>
                    <w:pStyle w:val="59"/>
                    <w:jc w:val="both"/>
                    <w:rPr>
                      <w:rFonts w:cs="Times New Roman"/>
                    </w:rPr>
                  </w:pPr>
                  <w:r>
                    <w:rPr>
                      <w:rFonts w:hint="eastAsia" w:cs="Times New Roman"/>
                    </w:rPr>
                    <w:t>不涉及。</w:t>
                  </w:r>
                </w:p>
              </w:tc>
              <w:tc>
                <w:tcPr>
                  <w:tcW w:w="613" w:type="pct"/>
                  <w:tcBorders>
                    <w:tl2br w:val="nil"/>
                    <w:tr2bl w:val="nil"/>
                  </w:tcBorders>
                  <w:vAlign w:val="center"/>
                </w:tcPr>
                <w:p w14:paraId="55ABCD29">
                  <w:pPr>
                    <w:pStyle w:val="59"/>
                    <w:rPr>
                      <w:rFonts w:cs="Times New Roman"/>
                    </w:rPr>
                  </w:pPr>
                  <w:r>
                    <w:rPr>
                      <w:rFonts w:hint="eastAsia" w:cs="Times New Roman"/>
                    </w:rPr>
                    <w:t>否</w:t>
                  </w:r>
                </w:p>
              </w:tc>
            </w:tr>
            <w:tr w14:paraId="689A5A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tcBorders>
                    <w:tl2br w:val="nil"/>
                    <w:tr2bl w:val="nil"/>
                  </w:tcBorders>
                  <w:vAlign w:val="center"/>
                </w:tcPr>
                <w:p w14:paraId="5008D895">
                  <w:pPr>
                    <w:pStyle w:val="59"/>
                    <w:rPr>
                      <w:rFonts w:cs="Times New Roman"/>
                    </w:rPr>
                  </w:pPr>
                  <w:r>
                    <w:rPr>
                      <w:rFonts w:hint="eastAsia" w:cs="Times New Roman"/>
                    </w:rPr>
                    <w:t>环境风险</w:t>
                  </w:r>
                </w:p>
              </w:tc>
              <w:tc>
                <w:tcPr>
                  <w:tcW w:w="2377" w:type="pct"/>
                  <w:tcBorders>
                    <w:tl2br w:val="nil"/>
                    <w:tr2bl w:val="nil"/>
                  </w:tcBorders>
                  <w:vAlign w:val="center"/>
                </w:tcPr>
                <w:p w14:paraId="7E699927">
                  <w:pPr>
                    <w:pStyle w:val="59"/>
                    <w:jc w:val="both"/>
                    <w:rPr>
                      <w:rFonts w:cs="Times New Roman"/>
                    </w:rPr>
                  </w:pPr>
                  <w:r>
                    <w:rPr>
                      <w:rFonts w:hint="eastAsia" w:cs="Times New Roman"/>
                    </w:rPr>
                    <w:t>石油和天然气开采：全部；</w:t>
                  </w:r>
                </w:p>
                <w:p w14:paraId="342562E2">
                  <w:pPr>
                    <w:pStyle w:val="59"/>
                    <w:jc w:val="both"/>
                    <w:rPr>
                      <w:rFonts w:cs="Times New Roman"/>
                    </w:rPr>
                  </w:pPr>
                  <w:r>
                    <w:rPr>
                      <w:rFonts w:hint="eastAsia" w:cs="Times New Roman"/>
                    </w:rPr>
                    <w:t>油气、液体化工码头：全部；</w:t>
                  </w:r>
                </w:p>
                <w:p w14:paraId="194F395E">
                  <w:pPr>
                    <w:pStyle w:val="59"/>
                    <w:jc w:val="both"/>
                    <w:rPr>
                      <w:rFonts w:cs="Times New Roman"/>
                    </w:rPr>
                  </w:pPr>
                  <w:r>
                    <w:rPr>
                      <w:rFonts w:hint="eastAsia" w:cs="Times New Roman"/>
                    </w:rPr>
                    <w:t>原油、成品油、天然气管线（不含城镇天然气管线、企业厂区内管线），危险化学品输送管线（不含企业厂区内管线）：全部。</w:t>
                  </w:r>
                </w:p>
              </w:tc>
              <w:tc>
                <w:tcPr>
                  <w:tcW w:w="1394" w:type="pct"/>
                  <w:tcBorders>
                    <w:tl2br w:val="nil"/>
                    <w:tr2bl w:val="nil"/>
                  </w:tcBorders>
                  <w:vAlign w:val="center"/>
                </w:tcPr>
                <w:p w14:paraId="0F5886A5">
                  <w:pPr>
                    <w:pStyle w:val="59"/>
                    <w:jc w:val="both"/>
                    <w:rPr>
                      <w:rFonts w:cs="Times New Roman"/>
                    </w:rPr>
                  </w:pPr>
                  <w:r>
                    <w:rPr>
                      <w:rFonts w:hint="eastAsia" w:cs="Times New Roman"/>
                    </w:rPr>
                    <w:t>不涉及。</w:t>
                  </w:r>
                </w:p>
              </w:tc>
              <w:tc>
                <w:tcPr>
                  <w:tcW w:w="613" w:type="pct"/>
                  <w:tcBorders>
                    <w:tl2br w:val="nil"/>
                    <w:tr2bl w:val="nil"/>
                  </w:tcBorders>
                  <w:vAlign w:val="center"/>
                </w:tcPr>
                <w:p w14:paraId="523223F5">
                  <w:pPr>
                    <w:pStyle w:val="59"/>
                    <w:rPr>
                      <w:rFonts w:cs="Times New Roman"/>
                    </w:rPr>
                  </w:pPr>
                  <w:r>
                    <w:rPr>
                      <w:rFonts w:hint="eastAsia" w:cs="Times New Roman"/>
                    </w:rPr>
                    <w:t>否</w:t>
                  </w:r>
                </w:p>
              </w:tc>
            </w:tr>
          </w:tbl>
          <w:p w14:paraId="049A3A6D">
            <w:pPr>
              <w:spacing w:before="156" w:beforeLines="50" w:line="360" w:lineRule="auto"/>
              <w:ind w:firstLine="480" w:firstLineChars="200"/>
            </w:pPr>
            <w:r>
              <w:rPr>
                <w:rFonts w:hint="eastAsia"/>
              </w:rPr>
              <w:t>综上分析，本项目不设置专项评价。</w:t>
            </w:r>
          </w:p>
        </w:tc>
      </w:tr>
      <w:tr w14:paraId="40B4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0" w:type="dxa"/>
            <w:vAlign w:val="center"/>
          </w:tcPr>
          <w:p w14:paraId="02C4A61F">
            <w:pPr>
              <w:jc w:val="center"/>
              <w:rPr>
                <w:b/>
                <w:bCs/>
              </w:rPr>
            </w:pPr>
            <w:r>
              <w:rPr>
                <w:rFonts w:hint="eastAsia"/>
                <w:b/>
                <w:bCs/>
              </w:rPr>
              <w:t>规划情况</w:t>
            </w:r>
          </w:p>
        </w:tc>
        <w:tc>
          <w:tcPr>
            <w:tcW w:w="8649" w:type="dxa"/>
            <w:gridSpan w:val="4"/>
            <w:vAlign w:val="center"/>
          </w:tcPr>
          <w:p w14:paraId="4D25B666">
            <w:pPr>
              <w:spacing w:line="360" w:lineRule="auto"/>
              <w:ind w:firstLine="482" w:firstLineChars="200"/>
            </w:pPr>
            <w:r>
              <w:rPr>
                <w:rFonts w:hint="eastAsia"/>
                <w:b/>
                <w:bCs/>
              </w:rPr>
              <w:t>规划名称：</w:t>
            </w:r>
            <w:r>
              <w:rPr>
                <w:rFonts w:hint="eastAsia"/>
              </w:rPr>
              <w:t>《四川省甘孜藏族自治州防洪规划修编报告（2021—2035年）》</w:t>
            </w:r>
          </w:p>
          <w:p w14:paraId="3AD3374E">
            <w:pPr>
              <w:spacing w:line="360" w:lineRule="auto"/>
              <w:ind w:firstLine="482" w:firstLineChars="200"/>
            </w:pPr>
            <w:r>
              <w:rPr>
                <w:rFonts w:hint="eastAsia"/>
                <w:b/>
                <w:bCs/>
              </w:rPr>
              <w:t>审批机关：</w:t>
            </w:r>
            <w:r>
              <w:t>/</w:t>
            </w:r>
          </w:p>
          <w:p w14:paraId="53FD8A6B">
            <w:pPr>
              <w:spacing w:line="360" w:lineRule="auto"/>
              <w:ind w:firstLine="482" w:firstLineChars="200"/>
            </w:pPr>
            <w:r>
              <w:rPr>
                <w:rFonts w:hint="eastAsia"/>
                <w:b/>
                <w:bCs/>
              </w:rPr>
              <w:t>审批文件名称及文号：</w:t>
            </w:r>
            <w:r>
              <w:t>/</w:t>
            </w:r>
          </w:p>
        </w:tc>
      </w:tr>
      <w:tr w14:paraId="0A69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0" w:type="dxa"/>
            <w:vAlign w:val="center"/>
          </w:tcPr>
          <w:p w14:paraId="58084A8D">
            <w:pPr>
              <w:jc w:val="center"/>
              <w:rPr>
                <w:b/>
                <w:bCs/>
              </w:rPr>
            </w:pPr>
            <w:r>
              <w:rPr>
                <w:rFonts w:hint="eastAsia"/>
                <w:b/>
                <w:bCs/>
              </w:rPr>
              <w:t>规划环境影响</w:t>
            </w:r>
          </w:p>
          <w:p w14:paraId="5120EBAC">
            <w:pPr>
              <w:jc w:val="center"/>
              <w:rPr>
                <w:b/>
                <w:bCs/>
              </w:rPr>
            </w:pPr>
            <w:r>
              <w:rPr>
                <w:rFonts w:hint="eastAsia"/>
                <w:b/>
                <w:bCs/>
              </w:rPr>
              <w:t>评价情况</w:t>
            </w:r>
          </w:p>
        </w:tc>
        <w:tc>
          <w:tcPr>
            <w:tcW w:w="8649" w:type="dxa"/>
            <w:gridSpan w:val="4"/>
            <w:vAlign w:val="center"/>
          </w:tcPr>
          <w:p w14:paraId="76FE0743">
            <w:pPr>
              <w:spacing w:line="360" w:lineRule="auto"/>
              <w:ind w:firstLine="480" w:firstLineChars="200"/>
            </w:pPr>
            <w:r>
              <w:rPr>
                <w:rFonts w:hint="eastAsia"/>
              </w:rPr>
              <w:t>根据《中华人民共和国生态环境法典》《规划环境影响评价条例》及《关于进一步加强水利规划环境影响评价工作的通知》（环发〔2014〕43号）的规定，防洪、治涝、灌溉等水利专业规划编制环境影响篇章或说明，不单独出具规划环境影响评价审查意见。经查询，上述规划均未单独印发规划环境影响评价报告书及其审查意见，本项目不存在可直接引用的规划环境影响评价文件。</w:t>
            </w:r>
          </w:p>
        </w:tc>
      </w:tr>
      <w:tr w14:paraId="540F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0" w:type="dxa"/>
            <w:vAlign w:val="center"/>
          </w:tcPr>
          <w:p w14:paraId="0FD72475">
            <w:pPr>
              <w:jc w:val="center"/>
              <w:rPr>
                <w:b/>
                <w:bCs/>
              </w:rPr>
            </w:pPr>
            <w:r>
              <w:rPr>
                <w:rFonts w:hint="eastAsia"/>
                <w:b/>
                <w:bCs/>
              </w:rPr>
              <w:t>规划及规划环境影响评价符合性分析</w:t>
            </w:r>
          </w:p>
        </w:tc>
        <w:tc>
          <w:tcPr>
            <w:tcW w:w="8649" w:type="dxa"/>
            <w:gridSpan w:val="4"/>
            <w:vAlign w:val="center"/>
          </w:tcPr>
          <w:p w14:paraId="4B9E45B7">
            <w:pPr>
              <w:pStyle w:val="106"/>
              <w:ind w:firstLine="482"/>
              <w:rPr>
                <w:b/>
                <w:bCs/>
              </w:rPr>
            </w:pPr>
            <w:r>
              <w:rPr>
                <w:rFonts w:hint="eastAsia"/>
                <w:b/>
                <w:bCs/>
              </w:rPr>
              <w:t>1、与《四川省甘孜藏族自治州防洪规划修编报告（2021—2035年）》符合性分析</w:t>
            </w:r>
          </w:p>
          <w:p w14:paraId="11E55394">
            <w:pPr>
              <w:pStyle w:val="106"/>
            </w:pPr>
            <w:r>
              <w:rPr>
                <w:rFonts w:hint="eastAsia"/>
              </w:rPr>
              <w:t>主要规划成果：</w:t>
            </w:r>
          </w:p>
          <w:p w14:paraId="25C3FCEE">
            <w:pPr>
              <w:pStyle w:val="106"/>
            </w:pPr>
            <w:r>
              <w:rPr>
                <w:rFonts w:hint="eastAsia"/>
              </w:rPr>
              <w:t>（1）防洪标准</w:t>
            </w:r>
          </w:p>
          <w:p w14:paraId="6ACAF7B9">
            <w:pPr>
              <w:pStyle w:val="106"/>
            </w:pPr>
            <w:r>
              <w:rPr>
                <w:rFonts w:hint="eastAsia"/>
              </w:rPr>
              <w:t>根据保护对象重要性和防洪现状，统筹河道洪涝灾害特点和防护区经济社会发展需要，依据《防洪标准》综合考虑制定防洪、排涝标准：州府所在地康定市城区按50年一遇洪水标准设防；县城城区及规划的新城区按30年一遇洪水标准设防；沿江重要的建制镇、建制乡按10～20年一遇洪水标准设防；一般性场镇和沿江的农村及耕地按10年一遇洪水标准设防。州府保护区、县城保护区及乡镇保护区的排涝标准按5～10年一遇暴雨重现期设防；一般保护区的排涝标准按5年一遇暴雨重现期设防。</w:t>
            </w:r>
          </w:p>
          <w:p w14:paraId="078E5611">
            <w:pPr>
              <w:pStyle w:val="106"/>
            </w:pPr>
            <w:r>
              <w:rPr>
                <w:rFonts w:hint="eastAsia"/>
              </w:rPr>
              <w:t>（2）防洪工程措施</w:t>
            </w:r>
          </w:p>
          <w:p w14:paraId="7A888657">
            <w:pPr>
              <w:pStyle w:val="106"/>
            </w:pPr>
            <w:r>
              <w:rPr>
                <w:rFonts w:hint="eastAsia"/>
              </w:rPr>
              <w:t>根据甘孜州防洪现状分析，本次共计规划防洪治理工程365处，共计治理河长1278.684km。规划新建堤防护岸347处，共计1034.959km（3000km²以上河流治理河段139处，总长433.91km，200~3000km²中小河流治理河段210处，总长601.043km），整治加固堤防护岸18处，共计60.861km（3000km²以上河流治理河段15处，总长52.861km，200~3000km²中小河流治理河段3处，总长8.00km）。金沙江流域规划防洪治理工程138处，共治理河长494.907km，新建堤防护岸135处，共计418.515km（3000km²以上河流治理河段43处，总长159.91km，200~3000km²中小河流治理河段92处，总长258.603km），整治加固防洪堤3处，共计12.80km（3000km²以小河流治理河段3处，总长12.80km）；雅砻江流域防洪治理工程147处，共治理河长510.364km，新建堤防护岸137处，共计405.102km（3000km²以上河流治理河段49处，总长178.898km，200~3000km²中小河流治理河段88处，总长226.204km），整治加固防洪堤10处，共计30.779km（3000km²以上河流治理河段8处，总长25.779km，200~3000km²中小河流治理河段2处，总长5.00km）；大渡河流域防洪治理工程80处，共治理河长273.413km，新建堤防护岸75处，共计211.342km（3000km²以上河流治理河段45处，总长95.106km，200~3000km²中小河流治理河段30处，总长116.236km），整治加固防洪堤5处，共计17.282km（3000km²以上河流治理河段4处，总长14.282km，200~3000km²中小河流治理河段1处，总长3.00km）。</w:t>
            </w:r>
          </w:p>
          <w:p w14:paraId="6296B256">
            <w:pPr>
              <w:pStyle w:val="106"/>
            </w:pPr>
            <w:r>
              <w:rPr>
                <w:rFonts w:hint="eastAsia"/>
              </w:rPr>
              <w:t>（3）山洪沟治理工程</w:t>
            </w:r>
          </w:p>
          <w:p w14:paraId="4A447B76">
            <w:pPr>
              <w:pStyle w:val="106"/>
            </w:pPr>
            <w:r>
              <w:rPr>
                <w:rFonts w:hint="eastAsia"/>
              </w:rPr>
              <w:t>根据甘孜州防洪现状分析，本次共计规划治理山洪沟354条，治理河长940.173km。</w:t>
            </w:r>
          </w:p>
          <w:p w14:paraId="40413F20">
            <w:pPr>
              <w:pStyle w:val="106"/>
            </w:pPr>
            <w:r>
              <w:t>本项目位于泸定县磨西镇共和村、柏秧坪村段，所在海螺沟为燕子沟右岸支流，燕子沟为磨西河右源，磨西河为大渡河右岸一级支流；海螺沟流域面积197km²、河长33.1km、平均比降104‰，属典型的高山峡谷型山洪沟。本项目为防洪除涝工程，工程</w:t>
            </w:r>
            <w:r>
              <w:rPr>
                <w:rFonts w:hint="eastAsia"/>
              </w:rPr>
              <w:t>内容</w:t>
            </w:r>
            <w:r>
              <w:t>为新建堤防、护脚及护岸，河道综合治理长度684.20m、新建堤防717.20m、护脚156m，防洪标准20年一遇、排涝标准10年一遇。</w:t>
            </w:r>
          </w:p>
          <w:p w14:paraId="221F7FA0">
            <w:pPr>
              <w:pStyle w:val="106"/>
            </w:pPr>
            <w:r>
              <w:t>本项目属其中的山洪沟治理工程</w:t>
            </w:r>
            <w:r>
              <w:rPr>
                <w:rFonts w:hint="eastAsia"/>
              </w:rPr>
              <w:t>且</w:t>
            </w:r>
            <w:r>
              <w:t>所处水系属该规划确定的大渡河流域防洪治理范围，本项目按20年一遇设防，高于该规划的设防要求，属从严设防。本项目未列入该规划的具体工程清单，但工程类别、治理任务和设防标准均与该规划的总体安排一致。</w:t>
            </w:r>
          </w:p>
          <w:p w14:paraId="2D6FDE2A">
            <w:pPr>
              <w:pStyle w:val="106"/>
            </w:pPr>
            <w:r>
              <w:rPr>
                <w:rFonts w:hint="eastAsia"/>
              </w:rPr>
              <w:t>综上，本项目符合《四川省甘孜藏族自治州防洪规划修编报告》（2021—2035年）相关要求。</w:t>
            </w:r>
          </w:p>
          <w:p w14:paraId="37AABE36">
            <w:pPr>
              <w:pStyle w:val="106"/>
              <w:ind w:firstLine="482"/>
              <w:rPr>
                <w:b/>
                <w:bCs/>
              </w:rPr>
            </w:pPr>
            <w:r>
              <w:rPr>
                <w:rFonts w:hint="eastAsia"/>
                <w:b/>
                <w:bCs/>
              </w:rPr>
              <w:t>2、与流域规划的符合性分析</w:t>
            </w:r>
          </w:p>
          <w:p w14:paraId="2C4FE600">
            <w:pPr>
              <w:pStyle w:val="106"/>
            </w:pPr>
            <w:r>
              <w:rPr>
                <w:rFonts w:hint="eastAsia"/>
              </w:rPr>
              <w:t>本项目所在水系属大渡河流域。经复核，海螺沟河段目前尚未编制、批复独立的流域综合规划，可行性研究报告“行洪论证与计算”专章亦明确“评价河段水利规划与实施情况：工程河段目前无水利规划”。本项目所在水系的上位流域规划为《大渡河流域综合规划》。</w:t>
            </w:r>
          </w:p>
          <w:p w14:paraId="10375350">
            <w:pPr>
              <w:pStyle w:val="106"/>
            </w:pPr>
            <w:r>
              <w:rPr>
                <w:rFonts w:hint="eastAsia"/>
              </w:rPr>
              <w:t>本项目为山洪沟防洪治理工程，不涉及水资源开发利用、水力发电、跨流域调水、水库建设等流域综合规划重点管控内容；工程不设置拦河建筑物，不新增取水口和入河排污口，不改变流域水资源配置格局，工程实施后不减少河道生态流量。工程建设任务与该规划关于完善防洪减灾体系、加强中小河流和山洪灾害防治的总体要求不冲突。</w:t>
            </w:r>
          </w:p>
          <w:p w14:paraId="3583D837">
            <w:pPr>
              <w:pStyle w:val="106"/>
            </w:pPr>
            <w:r>
              <w:rPr>
                <w:rFonts w:hint="eastAsia"/>
              </w:rPr>
              <w:t>综上，本项目与流域规划的要求相符合。</w:t>
            </w:r>
          </w:p>
          <w:p w14:paraId="1E0A79A5">
            <w:pPr>
              <w:pStyle w:val="106"/>
              <w:ind w:firstLine="482"/>
              <w:rPr>
                <w:b/>
                <w:bCs/>
              </w:rPr>
            </w:pPr>
            <w:r>
              <w:rPr>
                <w:rFonts w:hint="eastAsia"/>
                <w:b/>
                <w:bCs/>
              </w:rPr>
              <w:t>3、与岸线管控规划的符合性分析</w:t>
            </w:r>
          </w:p>
          <w:p w14:paraId="12E9633F">
            <w:pPr>
              <w:pStyle w:val="106"/>
            </w:pPr>
            <w:r>
              <w:rPr>
                <w:rFonts w:hint="eastAsia"/>
              </w:rPr>
              <w:t>本项目所在海螺沟河段未单独编制岸线保护与利用规划，本项目岸线管控依据为《四川省甘孜州海螺沟泸定县河段河道管理范围划定实施方案》划定的河道管理范围线。</w:t>
            </w:r>
          </w:p>
          <w:p w14:paraId="1E91131F">
            <w:pPr>
              <w:pStyle w:val="106"/>
            </w:pPr>
            <w:r>
              <w:rPr>
                <w:rFonts w:hint="eastAsia"/>
              </w:rPr>
              <w:t>本项目新建堤防、护脚及护岸轴线全部位于海螺沟已划定的河道管理范围线以内，基本沿原河岸线布置，仅对局部河段做适当优化和微调，未向河道外侧新增占地；本项目工程占地为现状水域及水利设施用地，不涉及新增建设用地，甘孜州自然资源和规划局海螺沟直属分局已出具情况说明（附件4），明确项目均在河道管理范围线内、满足河道行洪要求；可行性研究报告编制了“行洪论证与计算”专章，论证结论为工程建成后河道行洪断面未缩小、行洪能力未降低；本项目不属于化工园区和化工项目，不涉及《中华人民共和国长江保护法》第二十六条关于长江干支流岸线一公里范围内禁止新建、扩建化工园区和化工项目的情形。</w:t>
            </w:r>
          </w:p>
          <w:p w14:paraId="3E975EAF">
            <w:pPr>
              <w:pStyle w:val="106"/>
            </w:pPr>
            <w:r>
              <w:rPr>
                <w:rFonts w:hint="eastAsia"/>
              </w:rPr>
              <w:t>工程实施后，该段岸线由现状天然土质岸坡调整为混凝土护脚堤防及钢筋石笼护垫护岸，岸线走向基本不变、岸线稳定性提高，防洪功能和岸线集约利用水平同步提升，符合岸线管控关于稳定河势、保障行洪、集约利用的总体要求。</w:t>
            </w:r>
          </w:p>
          <w:p w14:paraId="501831EB">
            <w:pPr>
              <w:pStyle w:val="106"/>
            </w:pPr>
            <w:r>
              <w:rPr>
                <w:rFonts w:hint="eastAsia"/>
              </w:rPr>
              <w:t>综上，本项目与岸线管控要求相符合。</w:t>
            </w:r>
          </w:p>
          <w:p w14:paraId="4B3FF61D">
            <w:pPr>
              <w:pStyle w:val="106"/>
              <w:ind w:firstLine="482"/>
              <w:rPr>
                <w:b/>
                <w:bCs/>
              </w:rPr>
            </w:pPr>
            <w:r>
              <w:rPr>
                <w:rFonts w:hint="eastAsia"/>
                <w:b/>
                <w:bCs/>
              </w:rPr>
              <w:t>4、规划环境影响评价符合性分析</w:t>
            </w:r>
          </w:p>
          <w:p w14:paraId="6FD18608">
            <w:pPr>
              <w:pStyle w:val="106"/>
            </w:pPr>
            <w:r>
              <w:rPr>
                <w:rFonts w:hint="eastAsia"/>
              </w:rPr>
              <w:t>本项目属上述规划确定的山洪沟防洪治理任务的具体落实项目，工程建设内容、规模、选址与该规划确定的防洪治理任务一致，不新增规划未包含的工程类型，不改变规划确定的功能定位。规划层面的环境影响已通过规划环境影响篇章予以统筹考虑，本项目已针对施工期和运营期的生态、地表水、环境空气、声环境及固体废物影响提出相应保护措施，与规划环境影响篇章提出的要求相协调。</w:t>
            </w:r>
          </w:p>
        </w:tc>
      </w:tr>
      <w:tr w14:paraId="6903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6" w:hRule="atLeast"/>
          <w:jc w:val="center"/>
        </w:trPr>
        <w:tc>
          <w:tcPr>
            <w:tcW w:w="1040" w:type="dxa"/>
            <w:vAlign w:val="center"/>
          </w:tcPr>
          <w:p w14:paraId="7EA0B355">
            <w:pPr>
              <w:jc w:val="center"/>
              <w:rPr>
                <w:b/>
                <w:bCs/>
              </w:rPr>
            </w:pPr>
            <w:r>
              <w:rPr>
                <w:rFonts w:hint="eastAsia"/>
                <w:b/>
                <w:bCs/>
              </w:rPr>
              <w:t>其他符合性分析</w:t>
            </w:r>
          </w:p>
        </w:tc>
        <w:tc>
          <w:tcPr>
            <w:tcW w:w="8649" w:type="dxa"/>
            <w:gridSpan w:val="4"/>
            <w:vAlign w:val="center"/>
          </w:tcPr>
          <w:p w14:paraId="760CD17E">
            <w:pPr>
              <w:spacing w:line="360" w:lineRule="auto"/>
              <w:ind w:firstLine="482" w:firstLineChars="200"/>
              <w:rPr>
                <w:b/>
              </w:rPr>
            </w:pPr>
            <w:r>
              <w:rPr>
                <w:rFonts w:hint="eastAsia"/>
                <w:b/>
              </w:rPr>
              <w:t>1、产业政策符合性分析</w:t>
            </w:r>
          </w:p>
          <w:p w14:paraId="64CDB44D">
            <w:pPr>
              <w:spacing w:line="360" w:lineRule="auto"/>
              <w:ind w:firstLine="480" w:firstLineChars="200"/>
              <w:rPr>
                <w:bCs/>
              </w:rPr>
            </w:pPr>
            <w:r>
              <w:rPr>
                <w:rFonts w:hint="eastAsia"/>
                <w:bCs/>
              </w:rPr>
              <w:t>根据《国民经济行业分类》（GB/T4754-2017）</w:t>
            </w:r>
            <w:r>
              <w:rPr>
                <w:rFonts w:hint="eastAsia"/>
              </w:rPr>
              <w:t>（2019年修订版）</w:t>
            </w:r>
            <w:r>
              <w:rPr>
                <w:rFonts w:hint="eastAsia"/>
                <w:bCs/>
              </w:rPr>
              <w:t>可知，本项目属于</w:t>
            </w:r>
            <w:r>
              <w:t>“</w:t>
            </w:r>
            <w:r>
              <w:rPr>
                <w:rFonts w:eastAsia="Times New Roman"/>
                <w:spacing w:val="-3"/>
              </w:rPr>
              <w:t xml:space="preserve">N7610 </w:t>
            </w:r>
            <w:r>
              <w:rPr>
                <w:rFonts w:hint="eastAsia"/>
                <w:spacing w:val="-3"/>
              </w:rPr>
              <w:t>防洪除涝设施</w:t>
            </w:r>
            <w:r>
              <w:rPr>
                <w:rFonts w:hint="eastAsia"/>
                <w:spacing w:val="-4"/>
              </w:rPr>
              <w:t>管理</w:t>
            </w:r>
            <w:r>
              <w:t>”</w:t>
            </w:r>
            <w:r>
              <w:rPr>
                <w:rFonts w:hint="eastAsia"/>
                <w:bCs/>
              </w:rPr>
              <w:t>。</w:t>
            </w:r>
            <w:r>
              <w:rPr>
                <w:rFonts w:hint="eastAsia"/>
              </w:rPr>
              <w:t>根据2023年12月27日国家发展改革委修订发布《</w:t>
            </w:r>
            <w:r>
              <w:fldChar w:fldCharType="begin"/>
            </w:r>
            <w:r>
              <w:instrText xml:space="preserve"> HYPERLINK "http://www.gov.cn/xinwen/2019-11/06/5449193/files/26c9d25f713f4ed5b8dc51ae40ef37af.pdf" \t "_blank" </w:instrText>
            </w:r>
            <w:r>
              <w:fldChar w:fldCharType="separate"/>
            </w:r>
            <w:r>
              <w:rPr>
                <w:rFonts w:hint="eastAsia"/>
              </w:rPr>
              <w:t>产业结构调整指导目录（2024年本）</w:t>
            </w:r>
            <w:r>
              <w:rPr>
                <w:rFonts w:hint="eastAsia"/>
              </w:rPr>
              <w:fldChar w:fldCharType="end"/>
            </w:r>
            <w:r>
              <w:rPr>
                <w:rFonts w:hint="eastAsia"/>
              </w:rPr>
              <w:t>》有关政策规定，</w:t>
            </w:r>
            <w:r>
              <w:rPr>
                <w:rFonts w:hint="eastAsia"/>
                <w:bCs/>
              </w:rPr>
              <w:t>本项目属于第一类“鼓励类”第二条“水利”第3款“防洪提升工程”，属于鼓励类建设项目。</w:t>
            </w:r>
          </w:p>
          <w:p w14:paraId="428ACC9B">
            <w:pPr>
              <w:spacing w:line="360" w:lineRule="auto"/>
              <w:ind w:firstLine="480" w:firstLineChars="200"/>
              <w:rPr>
                <w:bCs/>
              </w:rPr>
            </w:pPr>
            <w:r>
              <w:rPr>
                <w:rFonts w:hint="eastAsia"/>
              </w:rPr>
              <w:t>同时，2025年1月17日，海螺沟景区管理委员会发展建设局出具了《关于泸定县海螺沟山洪沟（共和村、柏秧坪村段）治理工程可行性研究报告的批复》（甘海发展〔2025〕13号），见附件2，同意本项目的建设。</w:t>
            </w:r>
          </w:p>
          <w:p w14:paraId="61D83FF5">
            <w:pPr>
              <w:spacing w:line="360" w:lineRule="auto"/>
              <w:ind w:firstLine="480" w:firstLineChars="200"/>
              <w:rPr>
                <w:bCs/>
              </w:rPr>
            </w:pPr>
            <w:r>
              <w:rPr>
                <w:rFonts w:hint="eastAsia"/>
                <w:bCs/>
              </w:rPr>
              <w:t>本项目于2025年4月10日取得甘孜州自然资源和规划局海螺沟直属分局出具的用地预审与选址意见书的情况说明（附件4），其明确项目均在河道管理范围线内，满足河道行洪要求，不涉及新增建设用地，无需办理建设项目用地预审与选址意见书。</w:t>
            </w:r>
          </w:p>
          <w:p w14:paraId="401A7830">
            <w:pPr>
              <w:spacing w:line="360" w:lineRule="auto"/>
              <w:ind w:firstLine="480" w:firstLineChars="200"/>
              <w:rPr>
                <w:bCs/>
              </w:rPr>
            </w:pPr>
            <w:r>
              <w:rPr>
                <w:rFonts w:hint="eastAsia"/>
                <w:bCs/>
              </w:rPr>
              <w:t>本项目可行性研究报告编制了《行洪论证与计算》专章，对工程建设前后的行洪水位、流速及冲淤变化进行了论证分析，论证结论为：工程建成后河道行洪断面未缩小、行洪能力未降低，工程建设对河道行洪安全无不利影响。</w:t>
            </w:r>
          </w:p>
          <w:p w14:paraId="5281AFA4">
            <w:pPr>
              <w:spacing w:line="360" w:lineRule="auto"/>
              <w:ind w:firstLine="480" w:firstLineChars="200"/>
              <w:rPr>
                <w:bCs/>
              </w:rPr>
            </w:pPr>
            <w:r>
              <w:rPr>
                <w:rFonts w:hint="eastAsia"/>
                <w:bCs/>
              </w:rPr>
              <w:t>综上，本项目的建设符合国家现行产业政策。</w:t>
            </w:r>
          </w:p>
          <w:p w14:paraId="543BF720">
            <w:pPr>
              <w:autoSpaceDE w:val="0"/>
              <w:autoSpaceDN w:val="0"/>
              <w:adjustRightInd w:val="0"/>
              <w:spacing w:line="360" w:lineRule="auto"/>
              <w:ind w:firstLine="482" w:firstLineChars="200"/>
              <w:rPr>
                <w:b/>
              </w:rPr>
            </w:pPr>
            <w:r>
              <w:rPr>
                <w:rFonts w:hint="eastAsia"/>
                <w:b/>
              </w:rPr>
              <w:t>2、“三区三线”分析</w:t>
            </w:r>
          </w:p>
          <w:p w14:paraId="1B846A95">
            <w:pPr>
              <w:autoSpaceDE w:val="0"/>
              <w:autoSpaceDN w:val="0"/>
              <w:adjustRightInd w:val="0"/>
              <w:spacing w:line="360" w:lineRule="auto"/>
              <w:ind w:firstLine="480" w:firstLineChars="200"/>
              <w:rPr>
                <w:b/>
              </w:rPr>
            </w:pPr>
            <w:r>
              <w:rPr>
                <w:rFonts w:hint="eastAsia"/>
              </w:rPr>
              <w:t>国土空间规划主要为“三区三线”，是根据城镇空间、农业空间、生态空间三种类型的空间，分别对应划定的城镇开发边界、永久基本农田保护红线、生态保护红线三条控制线。“三区”内部统筹要素分类，是功能分区和用途分类的基础：“三线”是“三区”内部最核心的刚性要求。空间关系上，“三区”各自包含“三线”。生态空间，包括生态保护红线范围和一般生态空间；农业空间，包括永久基本农田和一般农业空间；城镇空间，包括城镇开发边界内和边界外部分城镇空间。“三线”属于国土空间的边界管控，对国土空间提出强制性约束要求。</w:t>
            </w:r>
          </w:p>
          <w:p w14:paraId="41F99572">
            <w:pPr>
              <w:autoSpaceDE w:val="0"/>
              <w:autoSpaceDN w:val="0"/>
              <w:adjustRightInd w:val="0"/>
              <w:spacing w:line="360" w:lineRule="auto"/>
              <w:ind w:firstLine="480" w:firstLineChars="200"/>
              <w:rPr>
                <w:bCs/>
              </w:rPr>
            </w:pPr>
            <w:r>
              <w:rPr>
                <w:rFonts w:hint="eastAsia"/>
                <w:bCs/>
              </w:rPr>
              <w:t>本项目位于泸定县磨西镇共和村、柏秧坪村段海螺沟河道及两岸滩地。主体工程占地为水域及水利设施用地，施工场地依托贡嘎神汤温泉酒店灾后恢复提升工程既有占地布设，均不新增建设用地、不改变土地利用性质，不涉及耕地占用和农用地转用。对照国土空间规划“三区”，项目用地位于生态空间范围内的河道水域，不占用农业空间和城镇空间，属国土空间规划中防洪减灾基础设施的布局内容。</w:t>
            </w:r>
          </w:p>
          <w:p w14:paraId="1EE6FC8D">
            <w:pPr>
              <w:autoSpaceDE w:val="0"/>
              <w:autoSpaceDN w:val="0"/>
              <w:adjustRightInd w:val="0"/>
              <w:spacing w:line="360" w:lineRule="auto"/>
              <w:ind w:firstLine="480" w:firstLineChars="200"/>
              <w:rPr>
                <w:bCs/>
              </w:rPr>
            </w:pPr>
            <w:r>
              <w:rPr>
                <w:rFonts w:hint="eastAsia"/>
                <w:bCs/>
              </w:rPr>
              <w:t>项目于2026年6月11日取得甘孜州自然资源和规划局海螺沟直属分局出具的《关于核实海螺沟山洪沟（共和村、柏秧坪村段）治理工程项目是否涉及敏感区的复函》（甘自然资规海分函</w:t>
            </w:r>
            <w:r>
              <w:rPr>
                <w:rFonts w:hint="eastAsia"/>
              </w:rPr>
              <w:t>〔2026〕21号</w:t>
            </w:r>
            <w:r>
              <w:rPr>
                <w:rFonts w:hint="eastAsia"/>
                <w:bCs/>
              </w:rPr>
              <w:t>），详见附件6，其明确项目不涉及生态保护红线、永久基本农田，位于城镇开发边界外。</w:t>
            </w:r>
          </w:p>
          <w:p w14:paraId="1E73614D">
            <w:pPr>
              <w:autoSpaceDE w:val="0"/>
              <w:autoSpaceDN w:val="0"/>
              <w:adjustRightInd w:val="0"/>
              <w:spacing w:line="360" w:lineRule="auto"/>
              <w:ind w:firstLine="480" w:firstLineChars="200"/>
              <w:rPr>
                <w:bCs/>
              </w:rPr>
            </w:pPr>
            <w:r>
              <w:rPr>
                <w:rFonts w:hint="eastAsia"/>
                <w:bCs/>
              </w:rPr>
              <w:t>本项目为海螺沟山洪沟防洪治理工程，属《产业结构调整指导目录（2024年本）》鼓励类“防洪提升工程”，是国土空间规划中允许在生态空间内布局的防洪减灾基础设施。工程建设不占用三条控制线范围内用地，不改变生态空间主导功能，不减少生态空间面积；工程实施后河道行洪能力提高、岸坡趋于稳定，有利于生态空间的防洪安全和岸线稳定。甘孜州大部分区域属国家层面限制开发的重点生态功能区，本项目不占生态保护红线、不破坏生态空间主导功能，与重点生态功能区定位不冲突。</w:t>
            </w:r>
          </w:p>
          <w:p w14:paraId="4B6883AA">
            <w:pPr>
              <w:autoSpaceDE w:val="0"/>
              <w:autoSpaceDN w:val="0"/>
              <w:adjustRightInd w:val="0"/>
              <w:spacing w:line="360" w:lineRule="auto"/>
              <w:ind w:firstLine="480" w:firstLineChars="200"/>
              <w:rPr>
                <w:bCs/>
              </w:rPr>
            </w:pPr>
            <w:r>
              <w:rPr>
                <w:rFonts w:hint="eastAsia"/>
                <w:bCs/>
              </w:rPr>
              <w:t>综上，本项目与国土空间规划“三区三线”管控要求相符合。</w:t>
            </w:r>
          </w:p>
          <w:p w14:paraId="038FEF8C">
            <w:pPr>
              <w:autoSpaceDE w:val="0"/>
              <w:autoSpaceDN w:val="0"/>
              <w:adjustRightInd w:val="0"/>
              <w:spacing w:line="360" w:lineRule="auto"/>
              <w:ind w:firstLine="482" w:firstLineChars="200"/>
              <w:jc w:val="left"/>
              <w:rPr>
                <w:b/>
              </w:rPr>
            </w:pPr>
            <w:r>
              <w:rPr>
                <w:rFonts w:hint="eastAsia"/>
                <w:b/>
              </w:rPr>
              <w:t>3、与“生态环境分区管控”的符合性</w:t>
            </w:r>
          </w:p>
          <w:p w14:paraId="43E578B8">
            <w:pPr>
              <w:pStyle w:val="72"/>
              <w:spacing w:line="360" w:lineRule="auto"/>
              <w:ind w:firstLine="480" w:firstLineChars="200"/>
              <w:rPr>
                <w:rFonts w:ascii="Times New Roman" w:hAnsi="Times New Roman" w:cs="Times New Roman"/>
                <w:sz w:val="24"/>
                <w:lang w:eastAsia="zh-CN"/>
              </w:rPr>
            </w:pPr>
            <w:r>
              <w:rPr>
                <w:rFonts w:hint="eastAsia" w:ascii="Times New Roman" w:hAnsi="Times New Roman" w:cs="Times New Roman"/>
                <w:sz w:val="24"/>
                <w:lang w:eastAsia="zh-CN"/>
              </w:rPr>
              <w:t>根据四川省生态环境厅《关于印发〈产业园区规划环评“三线一单”符合性分析技术要点（试点）〉和〈项目环评“三线一单”符合性分析技术要点（试点）〉的通知》（川环办函〔2021〕469号），四川省实施生态环境分区管控的有关工作部署，探索形成“区域环评—规划环评—项目环评”联动管理体系。本项目属于一般建设项目中的生态类建设项目，建设项目的“生态环境分区管控”符合性分析可通过分析项目选址、选线、平面布置及建设、运行方案与环境管控单元及生态环境准入清单的符合性展开。</w:t>
            </w:r>
          </w:p>
          <w:p w14:paraId="555500C9">
            <w:pPr>
              <w:pStyle w:val="72"/>
              <w:spacing w:line="360" w:lineRule="auto"/>
              <w:ind w:firstLine="480" w:firstLineChars="200"/>
              <w:rPr>
                <w:rFonts w:ascii="Times New Roman" w:hAnsi="Times New Roman" w:cs="Times New Roman"/>
                <w:sz w:val="24"/>
                <w:lang w:eastAsia="zh-CN"/>
              </w:rPr>
            </w:pPr>
            <w:r>
              <w:rPr>
                <w:rFonts w:hint="eastAsia" w:ascii="Times New Roman" w:hAnsi="Times New Roman" w:cs="Times New Roman"/>
                <w:sz w:val="24"/>
                <w:lang w:eastAsia="zh-CN"/>
              </w:rPr>
              <w:t>甘孜州环境管控单元分布图见下图所示：</w:t>
            </w:r>
          </w:p>
          <w:p w14:paraId="390C05F9">
            <w:pPr>
              <w:pStyle w:val="72"/>
              <w:spacing w:line="360" w:lineRule="auto"/>
              <w:jc w:val="center"/>
              <w:rPr>
                <w:rFonts w:ascii="Times New Roman" w:hAnsi="Times New Roman" w:cs="Times New Roman"/>
              </w:rPr>
            </w:pPr>
            <w:r>
              <w:rPr>
                <w:rFonts w:ascii="Times New Roman" w:hAnsi="Times New Roman" w:cs="Times New Roman"/>
                <w:sz w:val="24"/>
              </w:rPr>
              <mc:AlternateContent>
                <mc:Choice Requires="wps">
                  <w:drawing>
                    <wp:anchor distT="0" distB="0" distL="114300" distR="114300" simplePos="0" relativeHeight="251661312" behindDoc="0" locked="0" layoutInCell="1" allowOverlap="1">
                      <wp:simplePos x="0" y="0"/>
                      <wp:positionH relativeFrom="column">
                        <wp:posOffset>3175000</wp:posOffset>
                      </wp:positionH>
                      <wp:positionV relativeFrom="paragraph">
                        <wp:posOffset>1697355</wp:posOffset>
                      </wp:positionV>
                      <wp:extent cx="832485" cy="230505"/>
                      <wp:effectExtent l="490220" t="4445" r="10795" b="717550"/>
                      <wp:wrapNone/>
                      <wp:docPr id="2" name="矩形标注 68"/>
                      <wp:cNvGraphicFramePr/>
                      <a:graphic xmlns:a="http://schemas.openxmlformats.org/drawingml/2006/main">
                        <a:graphicData uri="http://schemas.microsoft.com/office/word/2010/wordprocessingShape">
                          <wps:wsp>
                            <wps:cNvSpPr/>
                            <wps:spPr>
                              <a:xfrm>
                                <a:off x="0" y="0"/>
                                <a:ext cx="832485" cy="230505"/>
                              </a:xfrm>
                              <a:prstGeom prst="wedgeRectCallout">
                                <a:avLst>
                                  <a:gd name="adj1" fmla="val -108352"/>
                                  <a:gd name="adj2" fmla="val 353856"/>
                                </a:avLst>
                              </a:prstGeom>
                              <a:noFill/>
                              <a:ln w="952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F12D508">
                                  <w:pPr>
                                    <w:adjustRightInd w:val="0"/>
                                    <w:snapToGrid w:val="0"/>
                                    <w:jc w:val="center"/>
                                    <w:rPr>
                                      <w:color w:val="FF0000"/>
                                      <w:sz w:val="18"/>
                                      <w:szCs w:val="18"/>
                                    </w:rPr>
                                  </w:pPr>
                                  <w:r>
                                    <w:rPr>
                                      <w:rFonts w:hint="eastAsia"/>
                                      <w:color w:val="FF0000"/>
                                      <w:sz w:val="18"/>
                                      <w:szCs w:val="18"/>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68" o:spid="_x0000_s1026" o:spt="61" type="#_x0000_t61" style="position:absolute;left:0pt;margin-left:250pt;margin-top:133.65pt;height:18.15pt;width:65.55pt;z-index:251661312;v-text-anchor:middle;mso-width-relative:page;mso-height-relative:page;" filled="f" stroked="t" coordsize="21600,21600" o:gfxdata="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LdliRraAAAACwEAAA8AAAAAAAAAAQAgAAAAIgAAAGRycy9kb3ducmV2LnhtbFBL&#10;AQIUABQAAAAIAIdO4kD3am1knwIAACQFAAAOAAAAAAAAAAEAIAAAACkBAABkcnMvZTJvRG9jLnht&#10;bFBLBQYAAAAABgAGAFkBAAA6BgAAAAA=&#10;" adj="-12604,87233">
                      <v:fill on="f" focussize="0,0"/>
                      <v:stroke color="#FF0000 [2404]" joinstyle="round"/>
                      <v:imagedata o:title=""/>
                      <o:lock v:ext="edit" aspectratio="f"/>
                      <v:textbox>
                        <w:txbxContent>
                          <w:p w14:paraId="3F12D508">
                            <w:pPr>
                              <w:adjustRightInd w:val="0"/>
                              <w:snapToGrid w:val="0"/>
                              <w:jc w:val="center"/>
                              <w:rPr>
                                <w:color w:val="FF0000"/>
                                <w:sz w:val="18"/>
                                <w:szCs w:val="18"/>
                              </w:rPr>
                            </w:pPr>
                            <w:r>
                              <w:rPr>
                                <w:rFonts w:hint="eastAsia"/>
                                <w:color w:val="FF0000"/>
                                <w:sz w:val="18"/>
                                <w:szCs w:val="18"/>
                              </w:rPr>
                              <w:t>本项目位置</w:t>
                            </w:r>
                          </w:p>
                        </w:txbxContent>
                      </v:textbox>
                    </v:shape>
                  </w:pict>
                </mc:Fallback>
              </mc:AlternateContent>
            </w:r>
            <w:r>
              <w:rPr>
                <w:rFonts w:ascii="Times New Roman" w:hAnsi="Times New Roman" w:cs="Times New Roman"/>
              </w:rPr>
              <w:drawing>
                <wp:inline distT="0" distB="0" distL="114300" distR="114300">
                  <wp:extent cx="4850765" cy="3457575"/>
                  <wp:effectExtent l="0" t="0" r="6985" b="952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1"/>
                          <a:stretch>
                            <a:fillRect/>
                          </a:stretch>
                        </pic:blipFill>
                        <pic:spPr>
                          <a:xfrm>
                            <a:off x="0" y="0"/>
                            <a:ext cx="4850765" cy="3457575"/>
                          </a:xfrm>
                          <a:prstGeom prst="rect">
                            <a:avLst/>
                          </a:prstGeom>
                          <a:noFill/>
                          <a:ln>
                            <a:noFill/>
                          </a:ln>
                        </pic:spPr>
                      </pic:pic>
                    </a:graphicData>
                  </a:graphic>
                </wp:inline>
              </w:drawing>
            </w:r>
          </w:p>
          <w:p w14:paraId="1D4DEAF7">
            <w:pPr>
              <w:pStyle w:val="7"/>
              <w:rPr>
                <w:rFonts w:cs="Times New Roman"/>
              </w:rPr>
            </w:pPr>
            <w:r>
              <w:rPr>
                <w:rFonts w:hint="eastAsia" w:cs="Times New Roman"/>
              </w:rPr>
              <w:t xml:space="preserve">图1- </w:t>
            </w:r>
            <w:r>
              <w:rPr>
                <w:rFonts w:cs="Times New Roman"/>
              </w:rPr>
              <w:fldChar w:fldCharType="begin"/>
            </w:r>
            <w:r>
              <w:rPr>
                <w:rFonts w:hint="eastAsia" w:cs="Times New Roman"/>
              </w:rPr>
              <w:instrText xml:space="preserve"> SEQ 图1- \* ARABIC </w:instrText>
            </w:r>
            <w:r>
              <w:rPr>
                <w:rFonts w:cs="Times New Roman"/>
              </w:rPr>
              <w:fldChar w:fldCharType="separate"/>
            </w:r>
            <w:r>
              <w:rPr>
                <w:rFonts w:cs="Times New Roman"/>
              </w:rPr>
              <w:t>1</w:t>
            </w:r>
            <w:r>
              <w:rPr>
                <w:rFonts w:cs="Times New Roman"/>
              </w:rPr>
              <w:fldChar w:fldCharType="end"/>
            </w:r>
            <w:r>
              <w:rPr>
                <w:rFonts w:hint="eastAsia" w:cs="Times New Roman"/>
              </w:rPr>
              <w:t xml:space="preserve">  甘孜州环境管控单元分布图</w:t>
            </w:r>
          </w:p>
          <w:p w14:paraId="513BC079">
            <w:pPr>
              <w:pStyle w:val="106"/>
            </w:pPr>
            <w:r>
              <w:rPr>
                <w:rFonts w:hint="eastAsia"/>
              </w:rPr>
              <w:t>根据甘孜州人民政府《关于落实生态保护红线、环境质量底线、资源利用上线制定生态环境准入清单实施生态环境分区管控的通知》（甘府发〔2021〕7号），并结合项目所在地管控单元和管控类型，项目与区域总体管控要求符合性分析如下：</w:t>
            </w:r>
          </w:p>
          <w:p w14:paraId="7C53CB61">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2</w:t>
            </w:r>
            <w:r>
              <w:rPr>
                <w:rFonts w:cs="Times New Roman"/>
              </w:rPr>
              <w:fldChar w:fldCharType="end"/>
            </w:r>
            <w:r>
              <w:rPr>
                <w:rFonts w:hint="eastAsia" w:cs="Times New Roman"/>
              </w:rPr>
              <w:t xml:space="preserve">  项目与区域总体管控要求符合性分析</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4488"/>
              <w:gridCol w:w="2062"/>
              <w:gridCol w:w="865"/>
            </w:tblGrid>
            <w:tr w14:paraId="3F275D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5" w:type="pct"/>
                  <w:tcBorders>
                    <w:tl2br w:val="nil"/>
                    <w:tr2bl w:val="nil"/>
                  </w:tcBorders>
                  <w:vAlign w:val="center"/>
                </w:tcPr>
                <w:p w14:paraId="35AE37E2">
                  <w:pPr>
                    <w:pStyle w:val="40"/>
                    <w:rPr>
                      <w:rFonts w:cs="Times New Roman"/>
                      <w:b/>
                      <w:bCs/>
                    </w:rPr>
                  </w:pPr>
                  <w:r>
                    <w:rPr>
                      <w:rFonts w:hint="eastAsia" w:cs="Times New Roman"/>
                      <w:b/>
                      <w:bCs/>
                    </w:rPr>
                    <w:t>区域</w:t>
                  </w:r>
                </w:p>
              </w:tc>
              <w:tc>
                <w:tcPr>
                  <w:tcW w:w="2665" w:type="pct"/>
                  <w:tcBorders>
                    <w:tl2br w:val="nil"/>
                    <w:tr2bl w:val="nil"/>
                  </w:tcBorders>
                  <w:vAlign w:val="center"/>
                </w:tcPr>
                <w:p w14:paraId="77A2A573">
                  <w:pPr>
                    <w:pStyle w:val="40"/>
                    <w:rPr>
                      <w:rFonts w:cs="Times New Roman"/>
                      <w:b/>
                      <w:bCs/>
                    </w:rPr>
                  </w:pPr>
                  <w:r>
                    <w:rPr>
                      <w:rFonts w:hint="eastAsia" w:cs="Times New Roman"/>
                      <w:b/>
                      <w:bCs/>
                    </w:rPr>
                    <w:t>生态环境总体管控要求</w:t>
                  </w:r>
                </w:p>
              </w:tc>
              <w:tc>
                <w:tcPr>
                  <w:tcW w:w="1225" w:type="pct"/>
                  <w:tcBorders>
                    <w:tl2br w:val="nil"/>
                    <w:tr2bl w:val="nil"/>
                  </w:tcBorders>
                  <w:vAlign w:val="center"/>
                </w:tcPr>
                <w:p w14:paraId="35B23081">
                  <w:pPr>
                    <w:pStyle w:val="40"/>
                    <w:rPr>
                      <w:rFonts w:cs="Times New Roman"/>
                      <w:b/>
                      <w:bCs/>
                    </w:rPr>
                  </w:pPr>
                  <w:r>
                    <w:rPr>
                      <w:rFonts w:hint="eastAsia" w:cs="Times New Roman"/>
                      <w:b/>
                      <w:bCs/>
                    </w:rPr>
                    <w:t>本项目情况</w:t>
                  </w:r>
                </w:p>
              </w:tc>
              <w:tc>
                <w:tcPr>
                  <w:tcW w:w="514" w:type="pct"/>
                  <w:tcBorders>
                    <w:tl2br w:val="nil"/>
                    <w:tr2bl w:val="nil"/>
                  </w:tcBorders>
                  <w:vAlign w:val="center"/>
                </w:tcPr>
                <w:p w14:paraId="0FFB84EE">
                  <w:pPr>
                    <w:pStyle w:val="40"/>
                    <w:rPr>
                      <w:rFonts w:cs="Times New Roman"/>
                      <w:b/>
                      <w:bCs/>
                    </w:rPr>
                  </w:pPr>
                  <w:r>
                    <w:rPr>
                      <w:rFonts w:hint="eastAsia" w:cs="Times New Roman"/>
                      <w:b/>
                      <w:bCs/>
                    </w:rPr>
                    <w:t>符合性</w:t>
                  </w:r>
                </w:p>
              </w:tc>
            </w:tr>
            <w:tr w14:paraId="09219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5" w:type="pct"/>
                  <w:tcBorders>
                    <w:tl2br w:val="nil"/>
                    <w:tr2bl w:val="nil"/>
                  </w:tcBorders>
                  <w:vAlign w:val="center"/>
                </w:tcPr>
                <w:p w14:paraId="643CC1D0">
                  <w:pPr>
                    <w:pStyle w:val="40"/>
                    <w:rPr>
                      <w:rFonts w:cs="Times New Roman"/>
                    </w:rPr>
                  </w:pPr>
                  <w:r>
                    <w:rPr>
                      <w:rFonts w:hint="eastAsia" w:cs="Times New Roman"/>
                    </w:rPr>
                    <w:t>甘孜州</w:t>
                  </w:r>
                </w:p>
              </w:tc>
              <w:tc>
                <w:tcPr>
                  <w:tcW w:w="2665" w:type="pct"/>
                  <w:tcBorders>
                    <w:tl2br w:val="nil"/>
                    <w:tr2bl w:val="nil"/>
                  </w:tcBorders>
                  <w:vAlign w:val="center"/>
                </w:tcPr>
                <w:p w14:paraId="09E42F5E">
                  <w:pPr>
                    <w:pStyle w:val="40"/>
                    <w:numPr>
                      <w:ilvl w:val="0"/>
                      <w:numId w:val="7"/>
                    </w:numPr>
                    <w:jc w:val="both"/>
                    <w:rPr>
                      <w:rFonts w:cs="Times New Roman"/>
                    </w:rPr>
                  </w:pPr>
                  <w:r>
                    <w:rPr>
                      <w:rFonts w:hint="eastAsia" w:cs="Times New Roman"/>
                    </w:rPr>
                    <w:t>合理控制开发活动和生态旅游规模，保障长江及黄河上游生态安全和生态屏障、生物多样性和水源涵养生态功能；</w:t>
                  </w:r>
                </w:p>
                <w:p w14:paraId="11F9E4B8">
                  <w:pPr>
                    <w:pStyle w:val="40"/>
                    <w:numPr>
                      <w:ilvl w:val="0"/>
                      <w:numId w:val="7"/>
                    </w:numPr>
                    <w:jc w:val="both"/>
                    <w:rPr>
                      <w:rFonts w:cs="Times New Roman"/>
                    </w:rPr>
                  </w:pPr>
                  <w:r>
                    <w:rPr>
                      <w:rFonts w:hint="eastAsia" w:cs="Times New Roman"/>
                    </w:rPr>
                    <w:t>合理控制畜牧业发展规模，破坏天然草地的建设活动执行倍量补偿；</w:t>
                  </w:r>
                </w:p>
                <w:p w14:paraId="3AC829D5">
                  <w:pPr>
                    <w:pStyle w:val="40"/>
                    <w:numPr>
                      <w:ilvl w:val="0"/>
                      <w:numId w:val="7"/>
                    </w:numPr>
                    <w:jc w:val="both"/>
                    <w:rPr>
                      <w:rFonts w:cs="Times New Roman"/>
                    </w:rPr>
                  </w:pPr>
                  <w:r>
                    <w:rPr>
                      <w:rFonts w:hint="eastAsia" w:cs="Times New Roman"/>
                    </w:rPr>
                    <w:t>锂等矿产、清洁能源、生态旅游等重点行业严格执行资源环境绩效水平要求；</w:t>
                  </w:r>
                </w:p>
                <w:p w14:paraId="2BF992B1">
                  <w:pPr>
                    <w:pStyle w:val="40"/>
                    <w:numPr>
                      <w:ilvl w:val="0"/>
                      <w:numId w:val="7"/>
                    </w:numPr>
                    <w:jc w:val="both"/>
                    <w:rPr>
                      <w:rFonts w:cs="Times New Roman"/>
                    </w:rPr>
                  </w:pPr>
                  <w:r>
                    <w:rPr>
                      <w:rFonts w:hint="eastAsia" w:cs="Times New Roman"/>
                    </w:rPr>
                    <w:t>加强矿山生态修复和污染防治、加大川藏铁路建设用地规范化处置和生态环境修复；</w:t>
                  </w:r>
                </w:p>
                <w:p w14:paraId="207D60A0">
                  <w:pPr>
                    <w:pStyle w:val="40"/>
                    <w:numPr>
                      <w:ilvl w:val="0"/>
                      <w:numId w:val="7"/>
                    </w:numPr>
                    <w:jc w:val="both"/>
                    <w:rPr>
                      <w:rFonts w:cs="Times New Roman"/>
                    </w:rPr>
                  </w:pPr>
                  <w:r>
                    <w:rPr>
                      <w:rFonts w:hint="eastAsia" w:cs="Times New Roman"/>
                    </w:rPr>
                    <w:t>加快小水电清理整顿，加强流域生态修复；</w:t>
                  </w:r>
                </w:p>
                <w:p w14:paraId="04F0A92E">
                  <w:pPr>
                    <w:pStyle w:val="40"/>
                    <w:jc w:val="both"/>
                    <w:rPr>
                      <w:rFonts w:cs="Times New Roman"/>
                    </w:rPr>
                  </w:pPr>
                  <w:r>
                    <w:rPr>
                      <w:rFonts w:hint="eastAsia" w:cs="Times New Roman"/>
                    </w:rPr>
                    <w:t>6.以构建“两江一河”生态防护和防治体系为目标，加强地质环境恢复治理和地质灾害防治、草原退化生态系统恢复。</w:t>
                  </w:r>
                </w:p>
              </w:tc>
              <w:tc>
                <w:tcPr>
                  <w:tcW w:w="1225" w:type="pct"/>
                  <w:tcBorders>
                    <w:tl2br w:val="nil"/>
                    <w:tr2bl w:val="nil"/>
                  </w:tcBorders>
                  <w:vAlign w:val="center"/>
                </w:tcPr>
                <w:p w14:paraId="1F96EF07">
                  <w:pPr>
                    <w:pStyle w:val="40"/>
                    <w:jc w:val="both"/>
                    <w:rPr>
                      <w:rFonts w:cs="Times New Roman"/>
                    </w:rPr>
                  </w:pPr>
                  <w:r>
                    <w:rPr>
                      <w:rFonts w:hint="eastAsia" w:cs="Times New Roman"/>
                    </w:rPr>
                    <w:t>本项目为防洪除涝建设项目，不属于旅游开发、畜牧业、矿产、水电等项目，主要为</w:t>
                  </w:r>
                  <w:r>
                    <w:rPr>
                      <w:rFonts w:hint="eastAsia" w:cs="Times New Roman"/>
                      <w:bCs/>
                    </w:rPr>
                    <w:t>海螺沟山洪沟的防洪除涝治理。</w:t>
                  </w:r>
                </w:p>
              </w:tc>
              <w:tc>
                <w:tcPr>
                  <w:tcW w:w="514" w:type="pct"/>
                  <w:tcBorders>
                    <w:tl2br w:val="nil"/>
                    <w:tr2bl w:val="nil"/>
                  </w:tcBorders>
                  <w:vAlign w:val="center"/>
                </w:tcPr>
                <w:p w14:paraId="7C5CA48C">
                  <w:pPr>
                    <w:pStyle w:val="40"/>
                    <w:rPr>
                      <w:rFonts w:cs="Times New Roman"/>
                    </w:rPr>
                  </w:pPr>
                  <w:r>
                    <w:rPr>
                      <w:rFonts w:hint="eastAsia" w:cs="Times New Roman"/>
                    </w:rPr>
                    <w:t>符合</w:t>
                  </w:r>
                </w:p>
              </w:tc>
            </w:tr>
            <w:tr w14:paraId="7110B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5" w:type="pct"/>
                  <w:tcBorders>
                    <w:tl2br w:val="nil"/>
                    <w:tr2bl w:val="nil"/>
                  </w:tcBorders>
                  <w:vAlign w:val="center"/>
                </w:tcPr>
                <w:p w14:paraId="69267736">
                  <w:pPr>
                    <w:pStyle w:val="40"/>
                    <w:rPr>
                      <w:rFonts w:cs="Times New Roman"/>
                    </w:rPr>
                  </w:pPr>
                  <w:r>
                    <w:rPr>
                      <w:rFonts w:hint="eastAsia" w:cs="Times New Roman"/>
                    </w:rPr>
                    <w:t>泸定县</w:t>
                  </w:r>
                </w:p>
              </w:tc>
              <w:tc>
                <w:tcPr>
                  <w:tcW w:w="2665" w:type="pct"/>
                  <w:tcBorders>
                    <w:tl2br w:val="nil"/>
                    <w:tr2bl w:val="nil"/>
                  </w:tcBorders>
                  <w:vAlign w:val="center"/>
                </w:tcPr>
                <w:p w14:paraId="03B85226">
                  <w:pPr>
                    <w:pStyle w:val="40"/>
                    <w:numPr>
                      <w:ilvl w:val="0"/>
                      <w:numId w:val="8"/>
                    </w:numPr>
                    <w:jc w:val="both"/>
                    <w:rPr>
                      <w:rFonts w:cs="Times New Roman"/>
                    </w:rPr>
                  </w:pPr>
                  <w:r>
                    <w:rPr>
                      <w:rFonts w:hint="eastAsia" w:cs="Times New Roman"/>
                    </w:rPr>
                    <w:t>禁止在长江干支流岸线一公里范围内新建化工园区和化工项目；</w:t>
                  </w:r>
                </w:p>
                <w:p w14:paraId="51343520">
                  <w:pPr>
                    <w:pStyle w:val="40"/>
                    <w:numPr>
                      <w:ilvl w:val="0"/>
                      <w:numId w:val="8"/>
                    </w:numPr>
                    <w:jc w:val="both"/>
                    <w:rPr>
                      <w:rFonts w:cs="Times New Roman"/>
                    </w:rPr>
                  </w:pPr>
                  <w:r>
                    <w:rPr>
                      <w:rFonts w:hint="eastAsia" w:cs="Times New Roman"/>
                    </w:rPr>
                    <w:t>优化调整产业结构，严格高排放、高能耗项目环境准入要求，加快园区外企业退城入园；</w:t>
                  </w:r>
                </w:p>
                <w:p w14:paraId="5AE6E4BD">
                  <w:pPr>
                    <w:pStyle w:val="40"/>
                    <w:numPr>
                      <w:ilvl w:val="0"/>
                      <w:numId w:val="8"/>
                    </w:numPr>
                    <w:jc w:val="both"/>
                    <w:rPr>
                      <w:rFonts w:cs="Times New Roman"/>
                    </w:rPr>
                  </w:pPr>
                  <w:r>
                    <w:rPr>
                      <w:rFonts w:hint="eastAsia" w:cs="Times New Roman"/>
                    </w:rPr>
                    <w:t>加强大气污染治理，推进水泥等行业废气超低排放和深度治理；</w:t>
                  </w:r>
                </w:p>
                <w:p w14:paraId="66E217E0">
                  <w:pPr>
                    <w:pStyle w:val="40"/>
                    <w:numPr>
                      <w:ilvl w:val="0"/>
                      <w:numId w:val="8"/>
                    </w:numPr>
                    <w:jc w:val="both"/>
                    <w:rPr>
                      <w:rFonts w:cs="Times New Roman"/>
                    </w:rPr>
                  </w:pPr>
                  <w:r>
                    <w:rPr>
                      <w:rFonts w:hint="eastAsia" w:cs="Times New Roman"/>
                    </w:rPr>
                    <w:t>合理控制畜禽养殖布局，推进畜禽粪污无害化、资源化综合利用；</w:t>
                  </w:r>
                </w:p>
                <w:p w14:paraId="0ABAD7D3">
                  <w:pPr>
                    <w:pStyle w:val="40"/>
                    <w:jc w:val="both"/>
                    <w:rPr>
                      <w:rFonts w:cs="Times New Roman"/>
                    </w:rPr>
                  </w:pPr>
                  <w:r>
                    <w:rPr>
                      <w:rFonts w:hint="eastAsia" w:cs="Times New Roman"/>
                    </w:rPr>
                    <w:t>5.强化主体功能区定位，保障大渡河干流生态基流。</w:t>
                  </w:r>
                </w:p>
              </w:tc>
              <w:tc>
                <w:tcPr>
                  <w:tcW w:w="1225" w:type="pct"/>
                  <w:tcBorders>
                    <w:tl2br w:val="nil"/>
                    <w:tr2bl w:val="nil"/>
                  </w:tcBorders>
                  <w:vAlign w:val="center"/>
                </w:tcPr>
                <w:p w14:paraId="3CF67F43">
                  <w:pPr>
                    <w:pStyle w:val="40"/>
                    <w:jc w:val="both"/>
                    <w:rPr>
                      <w:rFonts w:cs="Times New Roman"/>
                    </w:rPr>
                  </w:pPr>
                  <w:r>
                    <w:rPr>
                      <w:rFonts w:hint="eastAsia" w:cs="Times New Roman"/>
                    </w:rPr>
                    <w:t>本项目为防洪除涝工程项目，不属于化工园区及化工项目，不属于高排放、高耗能项目，不属于水泥、畜禽养殖等项目；根据《</w:t>
                  </w:r>
                  <w:r>
                    <w:rPr>
                      <w:rFonts w:hint="eastAsia" w:cs="Times New Roman"/>
                      <w:szCs w:val="32"/>
                    </w:rPr>
                    <w:t>四川省国土空间规划（2021—2035年）</w:t>
                  </w:r>
                  <w:r>
                    <w:rPr>
                      <w:rFonts w:hint="eastAsia" w:cs="Times New Roman"/>
                    </w:rPr>
                    <w:t>》甘孜州属于重点生态功能区，本项目的建设为强化主体功能区定位。</w:t>
                  </w:r>
                </w:p>
              </w:tc>
              <w:tc>
                <w:tcPr>
                  <w:tcW w:w="514" w:type="pct"/>
                  <w:tcBorders>
                    <w:tl2br w:val="nil"/>
                    <w:tr2bl w:val="nil"/>
                  </w:tcBorders>
                  <w:vAlign w:val="center"/>
                </w:tcPr>
                <w:p w14:paraId="577CFD5D">
                  <w:pPr>
                    <w:pStyle w:val="40"/>
                    <w:rPr>
                      <w:rFonts w:cs="Times New Roman"/>
                    </w:rPr>
                  </w:pPr>
                  <w:r>
                    <w:rPr>
                      <w:rFonts w:hint="eastAsia" w:cs="Times New Roman"/>
                    </w:rPr>
                    <w:t>符合</w:t>
                  </w:r>
                </w:p>
              </w:tc>
            </w:tr>
          </w:tbl>
          <w:p w14:paraId="2895F651">
            <w:pPr>
              <w:pStyle w:val="72"/>
              <w:spacing w:line="360" w:lineRule="auto"/>
              <w:ind w:firstLine="480" w:firstLineChars="200"/>
              <w:rPr>
                <w:rFonts w:ascii="Times New Roman" w:hAnsi="Times New Roman" w:cs="Times New Roman"/>
                <w:sz w:val="24"/>
                <w:lang w:eastAsia="zh-CN"/>
              </w:rPr>
            </w:pPr>
            <w:r>
              <w:rPr>
                <w:rFonts w:hint="eastAsia" w:ascii="Times New Roman" w:hAnsi="Times New Roman" w:cs="Times New Roman"/>
                <w:sz w:val="24"/>
                <w:lang w:eastAsia="zh-CN"/>
              </w:rPr>
              <w:t>根据《甘孜州人民政府关于落实生态保护红线、环境质量底线、资源利用上线和生态环境准入清单要求实施生态环境分区管控的通知》（甘府发〔2021〕7号）以及四川省“生态环境分区管控符合性分析”数据分析系统，本项目涉及生态环境管控单元1个，环境要素管控分区4个。查询截图如下。</w:t>
            </w:r>
          </w:p>
          <w:p w14:paraId="1C174517">
            <w:pPr>
              <w:pStyle w:val="24"/>
              <w:widowControl/>
            </w:pPr>
            <w:r>
              <w:drawing>
                <wp:inline distT="0" distB="0" distL="114300" distR="114300">
                  <wp:extent cx="5335905" cy="2550795"/>
                  <wp:effectExtent l="0" t="0" r="17145"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2"/>
                          <a:stretch>
                            <a:fillRect/>
                          </a:stretch>
                        </pic:blipFill>
                        <pic:spPr>
                          <a:xfrm>
                            <a:off x="0" y="0"/>
                            <a:ext cx="5335905" cy="2550795"/>
                          </a:xfrm>
                          <a:prstGeom prst="rect">
                            <a:avLst/>
                          </a:prstGeom>
                          <a:noFill/>
                          <a:ln>
                            <a:noFill/>
                          </a:ln>
                        </pic:spPr>
                      </pic:pic>
                    </a:graphicData>
                  </a:graphic>
                </wp:inline>
              </w:drawing>
            </w:r>
          </w:p>
          <w:p w14:paraId="43C237A8">
            <w:pPr>
              <w:pStyle w:val="7"/>
              <w:spacing w:line="360" w:lineRule="auto"/>
              <w:rPr>
                <w:rFonts w:cs="Times New Roman"/>
              </w:rPr>
            </w:pPr>
            <w:r>
              <w:rPr>
                <w:rFonts w:hint="eastAsia" w:cs="Times New Roman"/>
              </w:rPr>
              <w:t xml:space="preserve">图1- </w:t>
            </w:r>
            <w:r>
              <w:rPr>
                <w:rFonts w:cs="Times New Roman"/>
              </w:rPr>
              <w:fldChar w:fldCharType="begin"/>
            </w:r>
            <w:r>
              <w:rPr>
                <w:rFonts w:hint="eastAsia" w:cs="Times New Roman"/>
              </w:rPr>
              <w:instrText xml:space="preserve"> SEQ 图1- \* ARABIC </w:instrText>
            </w:r>
            <w:r>
              <w:rPr>
                <w:rFonts w:cs="Times New Roman"/>
              </w:rPr>
              <w:fldChar w:fldCharType="separate"/>
            </w:r>
            <w:r>
              <w:rPr>
                <w:rFonts w:cs="Times New Roman"/>
              </w:rPr>
              <w:t>2</w:t>
            </w:r>
            <w:r>
              <w:rPr>
                <w:rFonts w:cs="Times New Roman"/>
              </w:rPr>
              <w:fldChar w:fldCharType="end"/>
            </w:r>
            <w:r>
              <w:rPr>
                <w:rFonts w:hint="eastAsia" w:cs="Times New Roman"/>
              </w:rPr>
              <w:t xml:space="preserve">  项目生态分区管控查询结果</w:t>
            </w:r>
          </w:p>
          <w:p w14:paraId="0CDDF9A2">
            <w:pPr>
              <w:pStyle w:val="72"/>
              <w:spacing w:line="360" w:lineRule="auto"/>
              <w:ind w:firstLine="480" w:firstLineChars="200"/>
              <w:rPr>
                <w:rFonts w:ascii="Times New Roman" w:hAnsi="Times New Roman" w:cs="Times New Roman"/>
                <w:sz w:val="24"/>
                <w:lang w:eastAsia="zh-CN"/>
              </w:rPr>
            </w:pPr>
            <w:r>
              <w:rPr>
                <w:rFonts w:hint="eastAsia" w:ascii="Times New Roman" w:hAnsi="Times New Roman" w:cs="Times New Roman"/>
                <w:sz w:val="24"/>
                <w:lang w:eastAsia="zh-CN"/>
              </w:rPr>
              <w:t>本项目涉及生态环境管控单元详见下表。</w:t>
            </w:r>
          </w:p>
          <w:p w14:paraId="3ABE67E9">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3</w:t>
            </w:r>
            <w:r>
              <w:rPr>
                <w:rFonts w:cs="Times New Roman"/>
              </w:rPr>
              <w:fldChar w:fldCharType="end"/>
            </w:r>
            <w:r>
              <w:rPr>
                <w:rFonts w:hint="eastAsia" w:cs="Times New Roman"/>
              </w:rPr>
              <w:t xml:space="preserve">  生态环境管控单元查询结果</w:t>
            </w:r>
          </w:p>
          <w:tbl>
            <w:tblPr>
              <w:tblStyle w:val="28"/>
              <w:tblW w:w="5000"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548"/>
              <w:gridCol w:w="2207"/>
              <w:gridCol w:w="2115"/>
              <w:gridCol w:w="1805"/>
              <w:gridCol w:w="1747"/>
            </w:tblGrid>
            <w:tr w14:paraId="507DD8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571" w:type="dxa"/>
                  <w:tcBorders>
                    <w:tl2br w:val="nil"/>
                    <w:tr2bl w:val="nil"/>
                  </w:tcBorders>
                  <w:tcMar>
                    <w:top w:w="50" w:type="dxa"/>
                    <w:left w:w="50" w:type="dxa"/>
                    <w:bottom w:w="50" w:type="dxa"/>
                    <w:right w:w="50" w:type="dxa"/>
                  </w:tcMar>
                  <w:vAlign w:val="center"/>
                </w:tcPr>
                <w:p w14:paraId="35A527FE">
                  <w:pPr>
                    <w:pStyle w:val="40"/>
                    <w:rPr>
                      <w:rFonts w:cs="Times New Roman"/>
                      <w:b/>
                      <w:bCs/>
                    </w:rPr>
                  </w:pPr>
                  <w:r>
                    <w:rPr>
                      <w:rFonts w:hint="eastAsia" w:cs="Times New Roman"/>
                      <w:b/>
                      <w:bCs/>
                    </w:rPr>
                    <w:t>序号</w:t>
                  </w:r>
                </w:p>
              </w:tc>
              <w:tc>
                <w:tcPr>
                  <w:tcW w:w="2319" w:type="dxa"/>
                  <w:tcBorders>
                    <w:tl2br w:val="nil"/>
                    <w:tr2bl w:val="nil"/>
                  </w:tcBorders>
                  <w:tcMar>
                    <w:top w:w="50" w:type="dxa"/>
                    <w:left w:w="50" w:type="dxa"/>
                    <w:bottom w:w="50" w:type="dxa"/>
                    <w:right w:w="50" w:type="dxa"/>
                  </w:tcMar>
                  <w:vAlign w:val="center"/>
                </w:tcPr>
                <w:p w14:paraId="1BFC06A7">
                  <w:pPr>
                    <w:pStyle w:val="40"/>
                    <w:rPr>
                      <w:rFonts w:cs="Times New Roman"/>
                      <w:b/>
                      <w:bCs/>
                    </w:rPr>
                  </w:pPr>
                  <w:r>
                    <w:rPr>
                      <w:rFonts w:hint="eastAsia" w:cs="Times New Roman"/>
                      <w:b/>
                      <w:bCs/>
                    </w:rPr>
                    <w:t>涉及环境管控单元名称</w:t>
                  </w:r>
                </w:p>
              </w:tc>
              <w:tc>
                <w:tcPr>
                  <w:tcW w:w="2222" w:type="dxa"/>
                  <w:tcBorders>
                    <w:tl2br w:val="nil"/>
                    <w:tr2bl w:val="nil"/>
                  </w:tcBorders>
                  <w:tcMar>
                    <w:top w:w="50" w:type="dxa"/>
                    <w:left w:w="50" w:type="dxa"/>
                    <w:bottom w:w="50" w:type="dxa"/>
                    <w:right w:w="50" w:type="dxa"/>
                  </w:tcMar>
                  <w:vAlign w:val="center"/>
                </w:tcPr>
                <w:p w14:paraId="2E98042B">
                  <w:pPr>
                    <w:pStyle w:val="40"/>
                    <w:rPr>
                      <w:rFonts w:cs="Times New Roman"/>
                      <w:b/>
                      <w:bCs/>
                    </w:rPr>
                  </w:pPr>
                  <w:r>
                    <w:rPr>
                      <w:rFonts w:hint="eastAsia" w:cs="Times New Roman"/>
                      <w:b/>
                      <w:bCs/>
                    </w:rPr>
                    <w:t>涉及环境管控单元编码</w:t>
                  </w:r>
                </w:p>
              </w:tc>
              <w:tc>
                <w:tcPr>
                  <w:tcW w:w="1896" w:type="dxa"/>
                  <w:tcBorders>
                    <w:tl2br w:val="nil"/>
                    <w:tr2bl w:val="nil"/>
                  </w:tcBorders>
                  <w:tcMar>
                    <w:top w:w="50" w:type="dxa"/>
                    <w:left w:w="50" w:type="dxa"/>
                    <w:bottom w:w="50" w:type="dxa"/>
                    <w:right w:w="50" w:type="dxa"/>
                  </w:tcMar>
                  <w:vAlign w:val="center"/>
                </w:tcPr>
                <w:p w14:paraId="18E4B4C0">
                  <w:pPr>
                    <w:pStyle w:val="40"/>
                    <w:rPr>
                      <w:rFonts w:cs="Times New Roman"/>
                      <w:b/>
                      <w:bCs/>
                    </w:rPr>
                  </w:pPr>
                  <w:r>
                    <w:rPr>
                      <w:rFonts w:hint="eastAsia" w:cs="Times New Roman"/>
                      <w:b/>
                      <w:bCs/>
                    </w:rPr>
                    <w:t>行政区划</w:t>
                  </w:r>
                </w:p>
              </w:tc>
              <w:tc>
                <w:tcPr>
                  <w:tcW w:w="1835" w:type="dxa"/>
                  <w:tcBorders>
                    <w:tl2br w:val="nil"/>
                    <w:tr2bl w:val="nil"/>
                  </w:tcBorders>
                  <w:tcMar>
                    <w:top w:w="50" w:type="dxa"/>
                    <w:left w:w="50" w:type="dxa"/>
                    <w:bottom w:w="50" w:type="dxa"/>
                    <w:right w:w="50" w:type="dxa"/>
                  </w:tcMar>
                  <w:vAlign w:val="center"/>
                </w:tcPr>
                <w:p w14:paraId="18F6D609">
                  <w:pPr>
                    <w:pStyle w:val="40"/>
                    <w:rPr>
                      <w:rFonts w:cs="Times New Roman"/>
                      <w:b/>
                      <w:bCs/>
                    </w:rPr>
                  </w:pPr>
                  <w:r>
                    <w:rPr>
                      <w:rFonts w:hint="eastAsia" w:cs="Times New Roman"/>
                      <w:b/>
                      <w:bCs/>
                    </w:rPr>
                    <w:t>环境管控单元类型</w:t>
                  </w:r>
                </w:p>
              </w:tc>
            </w:tr>
            <w:tr w14:paraId="59067C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424" w:hRule="atLeast"/>
              </w:trPr>
              <w:tc>
                <w:tcPr>
                  <w:tcW w:w="571" w:type="dxa"/>
                  <w:tcBorders>
                    <w:tl2br w:val="nil"/>
                    <w:tr2bl w:val="nil"/>
                  </w:tcBorders>
                  <w:tcMar>
                    <w:top w:w="50" w:type="dxa"/>
                    <w:left w:w="50" w:type="dxa"/>
                    <w:bottom w:w="50" w:type="dxa"/>
                    <w:right w:w="50" w:type="dxa"/>
                  </w:tcMar>
                  <w:vAlign w:val="center"/>
                </w:tcPr>
                <w:p w14:paraId="06DA5BEA">
                  <w:pPr>
                    <w:pStyle w:val="40"/>
                    <w:rPr>
                      <w:rFonts w:cs="Times New Roman"/>
                    </w:rPr>
                  </w:pPr>
                  <w:r>
                    <w:rPr>
                      <w:rFonts w:cs="Times New Roman"/>
                    </w:rPr>
                    <w:t>1</w:t>
                  </w:r>
                </w:p>
              </w:tc>
              <w:tc>
                <w:tcPr>
                  <w:tcW w:w="2319" w:type="dxa"/>
                  <w:tcBorders>
                    <w:tl2br w:val="nil"/>
                    <w:tr2bl w:val="nil"/>
                  </w:tcBorders>
                  <w:tcMar>
                    <w:top w:w="50" w:type="dxa"/>
                    <w:left w:w="50" w:type="dxa"/>
                    <w:bottom w:w="50" w:type="dxa"/>
                    <w:right w:w="50" w:type="dxa"/>
                  </w:tcMar>
                  <w:vAlign w:val="center"/>
                </w:tcPr>
                <w:p w14:paraId="0204CA45">
                  <w:pPr>
                    <w:pStyle w:val="40"/>
                    <w:rPr>
                      <w:rFonts w:cs="Times New Roman"/>
                    </w:rPr>
                  </w:pPr>
                  <w:r>
                    <w:rPr>
                      <w:rFonts w:hint="eastAsia" w:cs="Times New Roman"/>
                    </w:rPr>
                    <w:t>泸定县一般管控单元</w:t>
                  </w:r>
                </w:p>
              </w:tc>
              <w:tc>
                <w:tcPr>
                  <w:tcW w:w="2222" w:type="dxa"/>
                  <w:tcBorders>
                    <w:tl2br w:val="nil"/>
                    <w:tr2bl w:val="nil"/>
                  </w:tcBorders>
                  <w:tcMar>
                    <w:top w:w="50" w:type="dxa"/>
                    <w:left w:w="50" w:type="dxa"/>
                    <w:bottom w:w="50" w:type="dxa"/>
                    <w:right w:w="50" w:type="dxa"/>
                  </w:tcMar>
                  <w:vAlign w:val="center"/>
                </w:tcPr>
                <w:p w14:paraId="0CD07DA1">
                  <w:pPr>
                    <w:pStyle w:val="40"/>
                    <w:rPr>
                      <w:rFonts w:cs="Times New Roman"/>
                    </w:rPr>
                  </w:pPr>
                  <w:r>
                    <w:rPr>
                      <w:rFonts w:cs="Times New Roman"/>
                    </w:rPr>
                    <w:t>ZH51332230001</w:t>
                  </w:r>
                </w:p>
              </w:tc>
              <w:tc>
                <w:tcPr>
                  <w:tcW w:w="1896" w:type="dxa"/>
                  <w:tcBorders>
                    <w:tl2br w:val="nil"/>
                    <w:tr2bl w:val="nil"/>
                  </w:tcBorders>
                  <w:tcMar>
                    <w:top w:w="50" w:type="dxa"/>
                    <w:left w:w="50" w:type="dxa"/>
                    <w:bottom w:w="50" w:type="dxa"/>
                    <w:right w:w="50" w:type="dxa"/>
                  </w:tcMar>
                  <w:vAlign w:val="center"/>
                </w:tcPr>
                <w:p w14:paraId="357044AF">
                  <w:pPr>
                    <w:pStyle w:val="40"/>
                    <w:rPr>
                      <w:rFonts w:cs="Times New Roman"/>
                    </w:rPr>
                  </w:pPr>
                  <w:r>
                    <w:rPr>
                      <w:rFonts w:hint="eastAsia" w:cs="Times New Roman"/>
                    </w:rPr>
                    <w:t>甘孜藏族自治州泸定县</w:t>
                  </w:r>
                </w:p>
              </w:tc>
              <w:tc>
                <w:tcPr>
                  <w:tcW w:w="1835" w:type="dxa"/>
                  <w:tcBorders>
                    <w:tl2br w:val="nil"/>
                    <w:tr2bl w:val="nil"/>
                  </w:tcBorders>
                  <w:tcMar>
                    <w:top w:w="50" w:type="dxa"/>
                    <w:left w:w="50" w:type="dxa"/>
                    <w:bottom w:w="50" w:type="dxa"/>
                    <w:right w:w="50" w:type="dxa"/>
                  </w:tcMar>
                  <w:vAlign w:val="center"/>
                </w:tcPr>
                <w:p w14:paraId="2F07CB14">
                  <w:pPr>
                    <w:pStyle w:val="40"/>
                    <w:rPr>
                      <w:rFonts w:cs="Times New Roman"/>
                    </w:rPr>
                  </w:pPr>
                  <w:r>
                    <w:rPr>
                      <w:rFonts w:hint="eastAsia" w:cs="Times New Roman"/>
                    </w:rPr>
                    <w:t>一般管控单元</w:t>
                  </w:r>
                </w:p>
              </w:tc>
            </w:tr>
          </w:tbl>
          <w:p w14:paraId="68EFC48E">
            <w:pPr>
              <w:pStyle w:val="72"/>
              <w:spacing w:line="360" w:lineRule="auto"/>
              <w:ind w:firstLine="480" w:firstLineChars="200"/>
              <w:rPr>
                <w:rFonts w:ascii="Times New Roman" w:hAnsi="Times New Roman" w:cs="Times New Roman"/>
                <w:sz w:val="24"/>
                <w:lang w:eastAsia="zh-CN"/>
              </w:rPr>
            </w:pPr>
            <w:r>
              <w:rPr>
                <w:rFonts w:hint="eastAsia" w:ascii="Times New Roman" w:hAnsi="Times New Roman" w:cs="Times New Roman"/>
                <w:sz w:val="24"/>
                <w:lang w:eastAsia="zh-CN"/>
              </w:rPr>
              <w:t>本项目涉及环境要素管控单元详见下表。</w:t>
            </w:r>
          </w:p>
          <w:p w14:paraId="515458DF">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4</w:t>
            </w:r>
            <w:r>
              <w:rPr>
                <w:rFonts w:cs="Times New Roman"/>
              </w:rPr>
              <w:fldChar w:fldCharType="end"/>
            </w:r>
            <w:r>
              <w:rPr>
                <w:rFonts w:hint="eastAsia" w:cs="Times New Roman"/>
              </w:rPr>
              <w:t xml:space="preserve">  环境要素管控单元查询结果</w:t>
            </w:r>
          </w:p>
          <w:tbl>
            <w:tblPr>
              <w:tblStyle w:val="28"/>
              <w:tblW w:w="5000"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427"/>
              <w:gridCol w:w="1839"/>
              <w:gridCol w:w="1896"/>
              <w:gridCol w:w="1976"/>
              <w:gridCol w:w="949"/>
              <w:gridCol w:w="1335"/>
            </w:tblGrid>
            <w:tr w14:paraId="22CF4E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27" w:hRule="atLeast"/>
              </w:trPr>
              <w:tc>
                <w:tcPr>
                  <w:tcW w:w="428" w:type="dxa"/>
                  <w:tcBorders>
                    <w:tl2br w:val="nil"/>
                    <w:tr2bl w:val="nil"/>
                  </w:tcBorders>
                  <w:tcMar>
                    <w:top w:w="50" w:type="dxa"/>
                    <w:left w:w="50" w:type="dxa"/>
                    <w:bottom w:w="50" w:type="dxa"/>
                    <w:right w:w="50" w:type="dxa"/>
                  </w:tcMar>
                  <w:vAlign w:val="center"/>
                </w:tcPr>
                <w:p w14:paraId="2BE24252">
                  <w:pPr>
                    <w:pStyle w:val="40"/>
                    <w:rPr>
                      <w:rFonts w:cs="Times New Roman"/>
                      <w:b/>
                      <w:bCs/>
                    </w:rPr>
                  </w:pPr>
                  <w:r>
                    <w:rPr>
                      <w:rFonts w:hint="eastAsia" w:cs="Times New Roman"/>
                      <w:b/>
                      <w:bCs/>
                    </w:rPr>
                    <w:t>序号</w:t>
                  </w:r>
                </w:p>
              </w:tc>
              <w:tc>
                <w:tcPr>
                  <w:tcW w:w="1840" w:type="dxa"/>
                  <w:tcBorders>
                    <w:tl2br w:val="nil"/>
                    <w:tr2bl w:val="nil"/>
                  </w:tcBorders>
                  <w:tcMar>
                    <w:top w:w="50" w:type="dxa"/>
                    <w:left w:w="50" w:type="dxa"/>
                    <w:bottom w:w="50" w:type="dxa"/>
                    <w:right w:w="50" w:type="dxa"/>
                  </w:tcMar>
                  <w:vAlign w:val="center"/>
                </w:tcPr>
                <w:p w14:paraId="22171F6E">
                  <w:pPr>
                    <w:pStyle w:val="40"/>
                    <w:rPr>
                      <w:rFonts w:cs="Times New Roman"/>
                      <w:b/>
                      <w:bCs/>
                    </w:rPr>
                  </w:pPr>
                  <w:r>
                    <w:rPr>
                      <w:rFonts w:hint="eastAsia" w:cs="Times New Roman"/>
                      <w:b/>
                      <w:bCs/>
                    </w:rPr>
                    <w:t>涉及环境要素管控分区名称</w:t>
                  </w:r>
                </w:p>
              </w:tc>
              <w:tc>
                <w:tcPr>
                  <w:tcW w:w="1896" w:type="dxa"/>
                  <w:tcBorders>
                    <w:tl2br w:val="nil"/>
                    <w:tr2bl w:val="nil"/>
                  </w:tcBorders>
                  <w:tcMar>
                    <w:top w:w="50" w:type="dxa"/>
                    <w:left w:w="50" w:type="dxa"/>
                    <w:bottom w:w="50" w:type="dxa"/>
                    <w:right w:w="50" w:type="dxa"/>
                  </w:tcMar>
                  <w:vAlign w:val="center"/>
                </w:tcPr>
                <w:p w14:paraId="6C1D780E">
                  <w:pPr>
                    <w:pStyle w:val="40"/>
                    <w:rPr>
                      <w:rFonts w:cs="Times New Roman"/>
                      <w:b/>
                      <w:bCs/>
                    </w:rPr>
                  </w:pPr>
                  <w:r>
                    <w:rPr>
                      <w:rFonts w:hint="eastAsia" w:cs="Times New Roman"/>
                      <w:b/>
                      <w:bCs/>
                    </w:rPr>
                    <w:t>涉及环境要素管控分区编码</w:t>
                  </w:r>
                </w:p>
              </w:tc>
              <w:tc>
                <w:tcPr>
                  <w:tcW w:w="1976" w:type="dxa"/>
                  <w:tcBorders>
                    <w:tl2br w:val="nil"/>
                    <w:tr2bl w:val="nil"/>
                  </w:tcBorders>
                  <w:tcMar>
                    <w:top w:w="50" w:type="dxa"/>
                    <w:left w:w="50" w:type="dxa"/>
                    <w:bottom w:w="50" w:type="dxa"/>
                    <w:right w:w="50" w:type="dxa"/>
                  </w:tcMar>
                  <w:vAlign w:val="center"/>
                </w:tcPr>
                <w:p w14:paraId="41939AA9">
                  <w:pPr>
                    <w:pStyle w:val="40"/>
                    <w:rPr>
                      <w:rFonts w:cs="Times New Roman"/>
                      <w:b/>
                      <w:bCs/>
                    </w:rPr>
                  </w:pPr>
                  <w:r>
                    <w:rPr>
                      <w:rFonts w:hint="eastAsia" w:cs="Times New Roman"/>
                      <w:b/>
                      <w:bCs/>
                    </w:rPr>
                    <w:t>行政区划</w:t>
                  </w:r>
                </w:p>
              </w:tc>
              <w:tc>
                <w:tcPr>
                  <w:tcW w:w="949" w:type="dxa"/>
                  <w:tcBorders>
                    <w:tl2br w:val="nil"/>
                    <w:tr2bl w:val="nil"/>
                  </w:tcBorders>
                  <w:tcMar>
                    <w:top w:w="50" w:type="dxa"/>
                    <w:left w:w="50" w:type="dxa"/>
                    <w:bottom w:w="50" w:type="dxa"/>
                    <w:right w:w="50" w:type="dxa"/>
                  </w:tcMar>
                  <w:vAlign w:val="center"/>
                </w:tcPr>
                <w:p w14:paraId="56A11CAF">
                  <w:pPr>
                    <w:pStyle w:val="40"/>
                    <w:rPr>
                      <w:rFonts w:cs="Times New Roman"/>
                      <w:b/>
                      <w:bCs/>
                    </w:rPr>
                  </w:pPr>
                  <w:r>
                    <w:rPr>
                      <w:rFonts w:hint="eastAsia" w:cs="Times New Roman"/>
                      <w:b/>
                      <w:bCs/>
                    </w:rPr>
                    <w:t>环境要素类型</w:t>
                  </w:r>
                </w:p>
              </w:tc>
              <w:tc>
                <w:tcPr>
                  <w:tcW w:w="1335" w:type="dxa"/>
                  <w:tcBorders>
                    <w:tl2br w:val="nil"/>
                    <w:tr2bl w:val="nil"/>
                  </w:tcBorders>
                  <w:tcMar>
                    <w:top w:w="50" w:type="dxa"/>
                    <w:left w:w="50" w:type="dxa"/>
                    <w:bottom w:w="50" w:type="dxa"/>
                    <w:right w:w="50" w:type="dxa"/>
                  </w:tcMar>
                  <w:vAlign w:val="center"/>
                </w:tcPr>
                <w:p w14:paraId="7DD656DD">
                  <w:pPr>
                    <w:pStyle w:val="40"/>
                    <w:rPr>
                      <w:rFonts w:cs="Times New Roman"/>
                      <w:b/>
                      <w:bCs/>
                    </w:rPr>
                  </w:pPr>
                  <w:r>
                    <w:rPr>
                      <w:rFonts w:hint="eastAsia" w:cs="Times New Roman"/>
                      <w:b/>
                      <w:bCs/>
                    </w:rPr>
                    <w:t>环境要素细类</w:t>
                  </w:r>
                </w:p>
              </w:tc>
            </w:tr>
            <w:tr w14:paraId="011A1D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27" w:hRule="atLeast"/>
              </w:trPr>
              <w:tc>
                <w:tcPr>
                  <w:tcW w:w="428" w:type="dxa"/>
                  <w:tcBorders>
                    <w:tl2br w:val="nil"/>
                    <w:tr2bl w:val="nil"/>
                  </w:tcBorders>
                  <w:tcMar>
                    <w:top w:w="50" w:type="dxa"/>
                    <w:left w:w="50" w:type="dxa"/>
                    <w:bottom w:w="50" w:type="dxa"/>
                    <w:right w:w="50" w:type="dxa"/>
                  </w:tcMar>
                  <w:vAlign w:val="center"/>
                </w:tcPr>
                <w:p w14:paraId="060B10F5">
                  <w:pPr>
                    <w:pStyle w:val="40"/>
                    <w:rPr>
                      <w:rFonts w:cs="Times New Roman"/>
                    </w:rPr>
                  </w:pPr>
                  <w:r>
                    <w:rPr>
                      <w:rFonts w:cs="Times New Roman"/>
                    </w:rPr>
                    <w:t>1</w:t>
                  </w:r>
                </w:p>
              </w:tc>
              <w:tc>
                <w:tcPr>
                  <w:tcW w:w="1840" w:type="dxa"/>
                  <w:tcBorders>
                    <w:tl2br w:val="nil"/>
                    <w:tr2bl w:val="nil"/>
                  </w:tcBorders>
                  <w:tcMar>
                    <w:top w:w="50" w:type="dxa"/>
                    <w:left w:w="50" w:type="dxa"/>
                    <w:bottom w:w="50" w:type="dxa"/>
                    <w:right w:w="50" w:type="dxa"/>
                  </w:tcMar>
                  <w:vAlign w:val="center"/>
                </w:tcPr>
                <w:p w14:paraId="71963801">
                  <w:pPr>
                    <w:pStyle w:val="40"/>
                    <w:rPr>
                      <w:rFonts w:cs="Times New Roman"/>
                    </w:rPr>
                  </w:pPr>
                  <w:r>
                    <w:rPr>
                      <w:rFonts w:hint="eastAsia" w:cs="Times New Roman"/>
                    </w:rPr>
                    <w:t>泸定县自然资源一般管控区</w:t>
                  </w:r>
                </w:p>
              </w:tc>
              <w:tc>
                <w:tcPr>
                  <w:tcW w:w="1896" w:type="dxa"/>
                  <w:tcBorders>
                    <w:tl2br w:val="nil"/>
                    <w:tr2bl w:val="nil"/>
                  </w:tcBorders>
                  <w:tcMar>
                    <w:top w:w="50" w:type="dxa"/>
                    <w:left w:w="50" w:type="dxa"/>
                    <w:bottom w:w="50" w:type="dxa"/>
                    <w:right w:w="50" w:type="dxa"/>
                  </w:tcMar>
                  <w:vAlign w:val="center"/>
                </w:tcPr>
                <w:p w14:paraId="2AEF76A0">
                  <w:pPr>
                    <w:pStyle w:val="40"/>
                    <w:rPr>
                      <w:rFonts w:cs="Times New Roman"/>
                    </w:rPr>
                  </w:pPr>
                  <w:r>
                    <w:rPr>
                      <w:rFonts w:cs="Times New Roman"/>
                    </w:rPr>
                    <w:t>YS5133223510001</w:t>
                  </w:r>
                </w:p>
              </w:tc>
              <w:tc>
                <w:tcPr>
                  <w:tcW w:w="1976" w:type="dxa"/>
                  <w:tcBorders>
                    <w:tl2br w:val="nil"/>
                    <w:tr2bl w:val="nil"/>
                  </w:tcBorders>
                  <w:tcMar>
                    <w:top w:w="50" w:type="dxa"/>
                    <w:left w:w="50" w:type="dxa"/>
                    <w:bottom w:w="50" w:type="dxa"/>
                    <w:right w:w="50" w:type="dxa"/>
                  </w:tcMar>
                  <w:vAlign w:val="center"/>
                </w:tcPr>
                <w:p w14:paraId="3FA6A022">
                  <w:pPr>
                    <w:pStyle w:val="40"/>
                    <w:rPr>
                      <w:rFonts w:cs="Times New Roman"/>
                    </w:rPr>
                  </w:pPr>
                  <w:r>
                    <w:rPr>
                      <w:rFonts w:hint="eastAsia" w:cs="Times New Roman"/>
                    </w:rPr>
                    <w:t>甘孜藏族自治州泸定县</w:t>
                  </w:r>
                </w:p>
              </w:tc>
              <w:tc>
                <w:tcPr>
                  <w:tcW w:w="949" w:type="dxa"/>
                  <w:tcBorders>
                    <w:tl2br w:val="nil"/>
                    <w:tr2bl w:val="nil"/>
                  </w:tcBorders>
                  <w:tcMar>
                    <w:top w:w="50" w:type="dxa"/>
                    <w:left w:w="50" w:type="dxa"/>
                    <w:bottom w:w="50" w:type="dxa"/>
                    <w:right w:w="50" w:type="dxa"/>
                  </w:tcMar>
                  <w:vAlign w:val="center"/>
                </w:tcPr>
                <w:p w14:paraId="765A012E">
                  <w:pPr>
                    <w:pStyle w:val="40"/>
                    <w:rPr>
                      <w:rFonts w:cs="Times New Roman"/>
                    </w:rPr>
                  </w:pPr>
                  <w:r>
                    <w:rPr>
                      <w:rFonts w:hint="eastAsia" w:cs="Times New Roman"/>
                    </w:rPr>
                    <w:t>自然资源</w:t>
                  </w:r>
                </w:p>
              </w:tc>
              <w:tc>
                <w:tcPr>
                  <w:tcW w:w="1335" w:type="dxa"/>
                  <w:tcBorders>
                    <w:tl2br w:val="nil"/>
                    <w:tr2bl w:val="nil"/>
                  </w:tcBorders>
                  <w:tcMar>
                    <w:top w:w="50" w:type="dxa"/>
                    <w:left w:w="50" w:type="dxa"/>
                    <w:bottom w:w="50" w:type="dxa"/>
                    <w:right w:w="50" w:type="dxa"/>
                  </w:tcMar>
                  <w:vAlign w:val="center"/>
                </w:tcPr>
                <w:p w14:paraId="75EC30D4">
                  <w:pPr>
                    <w:pStyle w:val="40"/>
                    <w:rPr>
                      <w:rFonts w:cs="Times New Roman"/>
                    </w:rPr>
                  </w:pPr>
                  <w:r>
                    <w:rPr>
                      <w:rFonts w:hint="eastAsia" w:cs="Times New Roman"/>
                    </w:rPr>
                    <w:t>自然资源一般管控区</w:t>
                  </w:r>
                </w:p>
              </w:tc>
            </w:tr>
            <w:tr w14:paraId="585731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27" w:hRule="atLeast"/>
              </w:trPr>
              <w:tc>
                <w:tcPr>
                  <w:tcW w:w="428" w:type="dxa"/>
                  <w:tcBorders>
                    <w:tl2br w:val="nil"/>
                    <w:tr2bl w:val="nil"/>
                  </w:tcBorders>
                  <w:tcMar>
                    <w:top w:w="50" w:type="dxa"/>
                    <w:left w:w="50" w:type="dxa"/>
                    <w:bottom w:w="50" w:type="dxa"/>
                    <w:right w:w="50" w:type="dxa"/>
                  </w:tcMar>
                  <w:vAlign w:val="center"/>
                </w:tcPr>
                <w:p w14:paraId="61E0A079">
                  <w:pPr>
                    <w:pStyle w:val="40"/>
                    <w:rPr>
                      <w:rFonts w:cs="Times New Roman"/>
                    </w:rPr>
                  </w:pPr>
                  <w:r>
                    <w:rPr>
                      <w:rFonts w:cs="Times New Roman"/>
                    </w:rPr>
                    <w:t>2</w:t>
                  </w:r>
                </w:p>
              </w:tc>
              <w:tc>
                <w:tcPr>
                  <w:tcW w:w="1840" w:type="dxa"/>
                  <w:tcBorders>
                    <w:tl2br w:val="nil"/>
                    <w:tr2bl w:val="nil"/>
                  </w:tcBorders>
                  <w:tcMar>
                    <w:top w:w="50" w:type="dxa"/>
                    <w:left w:w="50" w:type="dxa"/>
                    <w:bottom w:w="50" w:type="dxa"/>
                    <w:right w:w="50" w:type="dxa"/>
                  </w:tcMar>
                  <w:vAlign w:val="center"/>
                </w:tcPr>
                <w:p w14:paraId="017930B5">
                  <w:pPr>
                    <w:pStyle w:val="40"/>
                    <w:rPr>
                      <w:rFonts w:cs="Times New Roman"/>
                    </w:rPr>
                  </w:pPr>
                  <w:r>
                    <w:rPr>
                      <w:rFonts w:hint="eastAsia" w:cs="Times New Roman"/>
                    </w:rPr>
                    <w:t>泸定县其他区域</w:t>
                  </w:r>
                </w:p>
              </w:tc>
              <w:tc>
                <w:tcPr>
                  <w:tcW w:w="1896" w:type="dxa"/>
                  <w:tcBorders>
                    <w:tl2br w:val="nil"/>
                    <w:tr2bl w:val="nil"/>
                  </w:tcBorders>
                  <w:tcMar>
                    <w:top w:w="50" w:type="dxa"/>
                    <w:left w:w="50" w:type="dxa"/>
                    <w:bottom w:w="50" w:type="dxa"/>
                    <w:right w:w="50" w:type="dxa"/>
                  </w:tcMar>
                  <w:vAlign w:val="center"/>
                </w:tcPr>
                <w:p w14:paraId="214E3A2A">
                  <w:pPr>
                    <w:pStyle w:val="40"/>
                    <w:rPr>
                      <w:rFonts w:cs="Times New Roman"/>
                    </w:rPr>
                  </w:pPr>
                  <w:r>
                    <w:rPr>
                      <w:rFonts w:cs="Times New Roman"/>
                    </w:rPr>
                    <w:t>YS5133223110001</w:t>
                  </w:r>
                </w:p>
              </w:tc>
              <w:tc>
                <w:tcPr>
                  <w:tcW w:w="1976" w:type="dxa"/>
                  <w:tcBorders>
                    <w:tl2br w:val="nil"/>
                    <w:tr2bl w:val="nil"/>
                  </w:tcBorders>
                  <w:tcMar>
                    <w:top w:w="50" w:type="dxa"/>
                    <w:left w:w="50" w:type="dxa"/>
                    <w:bottom w:w="50" w:type="dxa"/>
                    <w:right w:w="50" w:type="dxa"/>
                  </w:tcMar>
                  <w:vAlign w:val="center"/>
                </w:tcPr>
                <w:p w14:paraId="511A2FC1">
                  <w:pPr>
                    <w:pStyle w:val="40"/>
                    <w:rPr>
                      <w:rFonts w:cs="Times New Roman"/>
                    </w:rPr>
                  </w:pPr>
                  <w:r>
                    <w:rPr>
                      <w:rFonts w:hint="eastAsia" w:cs="Times New Roman"/>
                    </w:rPr>
                    <w:t>甘孜藏族自治州泸定县</w:t>
                  </w:r>
                </w:p>
              </w:tc>
              <w:tc>
                <w:tcPr>
                  <w:tcW w:w="949" w:type="dxa"/>
                  <w:tcBorders>
                    <w:tl2br w:val="nil"/>
                    <w:tr2bl w:val="nil"/>
                  </w:tcBorders>
                  <w:tcMar>
                    <w:top w:w="50" w:type="dxa"/>
                    <w:left w:w="50" w:type="dxa"/>
                    <w:bottom w:w="50" w:type="dxa"/>
                    <w:right w:w="50" w:type="dxa"/>
                  </w:tcMar>
                  <w:vAlign w:val="center"/>
                </w:tcPr>
                <w:p w14:paraId="74A6E3ED">
                  <w:pPr>
                    <w:pStyle w:val="40"/>
                    <w:rPr>
                      <w:rFonts w:cs="Times New Roman"/>
                    </w:rPr>
                  </w:pPr>
                  <w:r>
                    <w:rPr>
                      <w:rFonts w:hint="eastAsia" w:cs="Times New Roman"/>
                    </w:rPr>
                    <w:t>生态</w:t>
                  </w:r>
                </w:p>
              </w:tc>
              <w:tc>
                <w:tcPr>
                  <w:tcW w:w="1335" w:type="dxa"/>
                  <w:tcBorders>
                    <w:tl2br w:val="nil"/>
                    <w:tr2bl w:val="nil"/>
                  </w:tcBorders>
                  <w:tcMar>
                    <w:top w:w="50" w:type="dxa"/>
                    <w:left w:w="50" w:type="dxa"/>
                    <w:bottom w:w="50" w:type="dxa"/>
                    <w:right w:w="50" w:type="dxa"/>
                  </w:tcMar>
                  <w:vAlign w:val="center"/>
                </w:tcPr>
                <w:p w14:paraId="4182F754">
                  <w:pPr>
                    <w:pStyle w:val="40"/>
                    <w:rPr>
                      <w:rFonts w:cs="Times New Roman"/>
                    </w:rPr>
                  </w:pPr>
                  <w:r>
                    <w:rPr>
                      <w:rFonts w:hint="eastAsia" w:cs="Times New Roman"/>
                    </w:rPr>
                    <w:t>一般管控区</w:t>
                  </w:r>
                </w:p>
              </w:tc>
            </w:tr>
            <w:tr w14:paraId="611C8E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27" w:hRule="atLeast"/>
              </w:trPr>
              <w:tc>
                <w:tcPr>
                  <w:tcW w:w="428" w:type="dxa"/>
                  <w:tcBorders>
                    <w:tl2br w:val="nil"/>
                    <w:tr2bl w:val="nil"/>
                  </w:tcBorders>
                  <w:tcMar>
                    <w:top w:w="50" w:type="dxa"/>
                    <w:left w:w="50" w:type="dxa"/>
                    <w:bottom w:w="50" w:type="dxa"/>
                    <w:right w:w="50" w:type="dxa"/>
                  </w:tcMar>
                  <w:vAlign w:val="center"/>
                </w:tcPr>
                <w:p w14:paraId="241888DE">
                  <w:pPr>
                    <w:pStyle w:val="40"/>
                    <w:rPr>
                      <w:rFonts w:cs="Times New Roman"/>
                    </w:rPr>
                  </w:pPr>
                  <w:r>
                    <w:rPr>
                      <w:rFonts w:cs="Times New Roman"/>
                    </w:rPr>
                    <w:t>3</w:t>
                  </w:r>
                </w:p>
              </w:tc>
              <w:tc>
                <w:tcPr>
                  <w:tcW w:w="1840" w:type="dxa"/>
                  <w:tcBorders>
                    <w:tl2br w:val="nil"/>
                    <w:tr2bl w:val="nil"/>
                  </w:tcBorders>
                  <w:tcMar>
                    <w:top w:w="50" w:type="dxa"/>
                    <w:left w:w="50" w:type="dxa"/>
                    <w:bottom w:w="50" w:type="dxa"/>
                    <w:right w:w="50" w:type="dxa"/>
                  </w:tcMar>
                  <w:vAlign w:val="center"/>
                </w:tcPr>
                <w:p w14:paraId="5C478523">
                  <w:pPr>
                    <w:pStyle w:val="40"/>
                    <w:rPr>
                      <w:rFonts w:cs="Times New Roman"/>
                    </w:rPr>
                  </w:pPr>
                  <w:r>
                    <w:rPr>
                      <w:rFonts w:hint="eastAsia" w:cs="Times New Roman"/>
                    </w:rPr>
                    <w:t>大渡河-泸定县-大岗山-控制单元</w:t>
                  </w:r>
                </w:p>
              </w:tc>
              <w:tc>
                <w:tcPr>
                  <w:tcW w:w="1896" w:type="dxa"/>
                  <w:tcBorders>
                    <w:tl2br w:val="nil"/>
                    <w:tr2bl w:val="nil"/>
                  </w:tcBorders>
                  <w:tcMar>
                    <w:top w:w="50" w:type="dxa"/>
                    <w:left w:w="50" w:type="dxa"/>
                    <w:bottom w:w="50" w:type="dxa"/>
                    <w:right w:w="50" w:type="dxa"/>
                  </w:tcMar>
                  <w:vAlign w:val="center"/>
                </w:tcPr>
                <w:p w14:paraId="3ECB7D69">
                  <w:pPr>
                    <w:pStyle w:val="40"/>
                    <w:rPr>
                      <w:rFonts w:cs="Times New Roman"/>
                    </w:rPr>
                  </w:pPr>
                  <w:r>
                    <w:rPr>
                      <w:rFonts w:cs="Times New Roman"/>
                    </w:rPr>
                    <w:t>YS5133223210001</w:t>
                  </w:r>
                </w:p>
              </w:tc>
              <w:tc>
                <w:tcPr>
                  <w:tcW w:w="1976" w:type="dxa"/>
                  <w:tcBorders>
                    <w:tl2br w:val="nil"/>
                    <w:tr2bl w:val="nil"/>
                  </w:tcBorders>
                  <w:tcMar>
                    <w:top w:w="50" w:type="dxa"/>
                    <w:left w:w="50" w:type="dxa"/>
                    <w:bottom w:w="50" w:type="dxa"/>
                    <w:right w:w="50" w:type="dxa"/>
                  </w:tcMar>
                  <w:vAlign w:val="center"/>
                </w:tcPr>
                <w:p w14:paraId="1F96FBFD">
                  <w:pPr>
                    <w:pStyle w:val="40"/>
                    <w:rPr>
                      <w:rFonts w:cs="Times New Roman"/>
                    </w:rPr>
                  </w:pPr>
                  <w:r>
                    <w:rPr>
                      <w:rFonts w:hint="eastAsia" w:cs="Times New Roman"/>
                    </w:rPr>
                    <w:t>甘孜藏族自治州泸定县</w:t>
                  </w:r>
                </w:p>
              </w:tc>
              <w:tc>
                <w:tcPr>
                  <w:tcW w:w="949" w:type="dxa"/>
                  <w:tcBorders>
                    <w:tl2br w:val="nil"/>
                    <w:tr2bl w:val="nil"/>
                  </w:tcBorders>
                  <w:tcMar>
                    <w:top w:w="50" w:type="dxa"/>
                    <w:left w:w="50" w:type="dxa"/>
                    <w:bottom w:w="50" w:type="dxa"/>
                    <w:right w:w="50" w:type="dxa"/>
                  </w:tcMar>
                  <w:vAlign w:val="center"/>
                </w:tcPr>
                <w:p w14:paraId="7E4DE063">
                  <w:pPr>
                    <w:pStyle w:val="40"/>
                    <w:rPr>
                      <w:rFonts w:cs="Times New Roman"/>
                    </w:rPr>
                  </w:pPr>
                  <w:r>
                    <w:rPr>
                      <w:rFonts w:hint="eastAsia" w:cs="Times New Roman"/>
                    </w:rPr>
                    <w:t>水</w:t>
                  </w:r>
                </w:p>
              </w:tc>
              <w:tc>
                <w:tcPr>
                  <w:tcW w:w="1335" w:type="dxa"/>
                  <w:tcBorders>
                    <w:tl2br w:val="nil"/>
                    <w:tr2bl w:val="nil"/>
                  </w:tcBorders>
                  <w:tcMar>
                    <w:top w:w="50" w:type="dxa"/>
                    <w:left w:w="50" w:type="dxa"/>
                    <w:bottom w:w="50" w:type="dxa"/>
                    <w:right w:w="50" w:type="dxa"/>
                  </w:tcMar>
                  <w:vAlign w:val="center"/>
                </w:tcPr>
                <w:p w14:paraId="0CA6411C">
                  <w:pPr>
                    <w:pStyle w:val="40"/>
                    <w:rPr>
                      <w:rFonts w:cs="Times New Roman"/>
                    </w:rPr>
                  </w:pPr>
                  <w:r>
                    <w:rPr>
                      <w:rFonts w:hint="eastAsia" w:cs="Times New Roman"/>
                    </w:rPr>
                    <w:t>水环境一般管控区</w:t>
                  </w:r>
                </w:p>
              </w:tc>
            </w:tr>
            <w:tr w14:paraId="5DB751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27" w:hRule="atLeast"/>
              </w:trPr>
              <w:tc>
                <w:tcPr>
                  <w:tcW w:w="428" w:type="dxa"/>
                  <w:tcBorders>
                    <w:tl2br w:val="nil"/>
                    <w:tr2bl w:val="nil"/>
                  </w:tcBorders>
                  <w:tcMar>
                    <w:top w:w="50" w:type="dxa"/>
                    <w:left w:w="50" w:type="dxa"/>
                    <w:bottom w:w="50" w:type="dxa"/>
                    <w:right w:w="50" w:type="dxa"/>
                  </w:tcMar>
                  <w:vAlign w:val="center"/>
                </w:tcPr>
                <w:p w14:paraId="1F93178C">
                  <w:pPr>
                    <w:pStyle w:val="40"/>
                    <w:rPr>
                      <w:rFonts w:cs="Times New Roman"/>
                    </w:rPr>
                  </w:pPr>
                  <w:r>
                    <w:rPr>
                      <w:rFonts w:cs="Times New Roman"/>
                    </w:rPr>
                    <w:t>4</w:t>
                  </w:r>
                </w:p>
              </w:tc>
              <w:tc>
                <w:tcPr>
                  <w:tcW w:w="1840" w:type="dxa"/>
                  <w:tcBorders>
                    <w:tl2br w:val="nil"/>
                    <w:tr2bl w:val="nil"/>
                  </w:tcBorders>
                  <w:tcMar>
                    <w:top w:w="50" w:type="dxa"/>
                    <w:left w:w="50" w:type="dxa"/>
                    <w:bottom w:w="50" w:type="dxa"/>
                    <w:right w:w="50" w:type="dxa"/>
                  </w:tcMar>
                  <w:vAlign w:val="center"/>
                </w:tcPr>
                <w:p w14:paraId="68FB09EF">
                  <w:pPr>
                    <w:pStyle w:val="40"/>
                    <w:rPr>
                      <w:rFonts w:cs="Times New Roman"/>
                    </w:rPr>
                  </w:pPr>
                  <w:r>
                    <w:rPr>
                      <w:rFonts w:hint="eastAsia" w:cs="Times New Roman"/>
                    </w:rPr>
                    <w:t>泸定县大气环境一般管控区</w:t>
                  </w:r>
                </w:p>
              </w:tc>
              <w:tc>
                <w:tcPr>
                  <w:tcW w:w="1896" w:type="dxa"/>
                  <w:tcBorders>
                    <w:tl2br w:val="nil"/>
                    <w:tr2bl w:val="nil"/>
                  </w:tcBorders>
                  <w:tcMar>
                    <w:top w:w="50" w:type="dxa"/>
                    <w:left w:w="50" w:type="dxa"/>
                    <w:bottom w:w="50" w:type="dxa"/>
                    <w:right w:w="50" w:type="dxa"/>
                  </w:tcMar>
                  <w:vAlign w:val="center"/>
                </w:tcPr>
                <w:p w14:paraId="01B8F8E2">
                  <w:pPr>
                    <w:pStyle w:val="40"/>
                    <w:rPr>
                      <w:rFonts w:cs="Times New Roman"/>
                    </w:rPr>
                  </w:pPr>
                  <w:r>
                    <w:rPr>
                      <w:rFonts w:cs="Times New Roman"/>
                    </w:rPr>
                    <w:t>YS5133223310001</w:t>
                  </w:r>
                </w:p>
              </w:tc>
              <w:tc>
                <w:tcPr>
                  <w:tcW w:w="1976" w:type="dxa"/>
                  <w:tcBorders>
                    <w:tl2br w:val="nil"/>
                    <w:tr2bl w:val="nil"/>
                  </w:tcBorders>
                  <w:tcMar>
                    <w:top w:w="50" w:type="dxa"/>
                    <w:left w:w="50" w:type="dxa"/>
                    <w:bottom w:w="50" w:type="dxa"/>
                    <w:right w:w="50" w:type="dxa"/>
                  </w:tcMar>
                  <w:vAlign w:val="center"/>
                </w:tcPr>
                <w:p w14:paraId="3030AE86">
                  <w:pPr>
                    <w:pStyle w:val="40"/>
                    <w:rPr>
                      <w:rFonts w:cs="Times New Roman"/>
                    </w:rPr>
                  </w:pPr>
                  <w:r>
                    <w:rPr>
                      <w:rFonts w:hint="eastAsia" w:cs="Times New Roman"/>
                    </w:rPr>
                    <w:t>甘孜藏族自治州泸定县</w:t>
                  </w:r>
                </w:p>
              </w:tc>
              <w:tc>
                <w:tcPr>
                  <w:tcW w:w="949" w:type="dxa"/>
                  <w:tcBorders>
                    <w:tl2br w:val="nil"/>
                    <w:tr2bl w:val="nil"/>
                  </w:tcBorders>
                  <w:tcMar>
                    <w:top w:w="50" w:type="dxa"/>
                    <w:left w:w="50" w:type="dxa"/>
                    <w:bottom w:w="50" w:type="dxa"/>
                    <w:right w:w="50" w:type="dxa"/>
                  </w:tcMar>
                  <w:vAlign w:val="center"/>
                </w:tcPr>
                <w:p w14:paraId="56A41BE7">
                  <w:pPr>
                    <w:pStyle w:val="40"/>
                    <w:rPr>
                      <w:rFonts w:cs="Times New Roman"/>
                    </w:rPr>
                  </w:pPr>
                  <w:r>
                    <w:rPr>
                      <w:rFonts w:hint="eastAsia" w:cs="Times New Roman"/>
                    </w:rPr>
                    <w:t>大气</w:t>
                  </w:r>
                </w:p>
              </w:tc>
              <w:tc>
                <w:tcPr>
                  <w:tcW w:w="1335" w:type="dxa"/>
                  <w:tcBorders>
                    <w:tl2br w:val="nil"/>
                    <w:tr2bl w:val="nil"/>
                  </w:tcBorders>
                  <w:tcMar>
                    <w:top w:w="50" w:type="dxa"/>
                    <w:left w:w="50" w:type="dxa"/>
                    <w:bottom w:w="50" w:type="dxa"/>
                    <w:right w:w="50" w:type="dxa"/>
                  </w:tcMar>
                  <w:vAlign w:val="center"/>
                </w:tcPr>
                <w:p w14:paraId="70CF59DC">
                  <w:pPr>
                    <w:pStyle w:val="40"/>
                    <w:rPr>
                      <w:rFonts w:cs="Times New Roman"/>
                    </w:rPr>
                  </w:pPr>
                  <w:r>
                    <w:rPr>
                      <w:rFonts w:hint="eastAsia" w:cs="Times New Roman"/>
                    </w:rPr>
                    <w:t>大气环境一般管控区</w:t>
                  </w:r>
                </w:p>
              </w:tc>
            </w:tr>
          </w:tbl>
          <w:p w14:paraId="5CB1CF63">
            <w:pPr>
              <w:pStyle w:val="11"/>
              <w:kinsoku w:val="0"/>
              <w:overflowPunct w:val="0"/>
              <w:snapToGrid w:val="0"/>
              <w:spacing w:before="156" w:beforeLines="50" w:after="0" w:line="360" w:lineRule="auto"/>
              <w:ind w:right="113" w:firstLine="480" w:firstLineChars="200"/>
              <w:rPr>
                <w:sz w:val="24"/>
              </w:rPr>
            </w:pPr>
            <w:r>
              <w:rPr>
                <w:rFonts w:hint="eastAsia"/>
                <w:sz w:val="24"/>
              </w:rPr>
              <w:t>结合四川政务服务网生态环境分区管控分析在线系统的研判报告，本项目与生态环境分区管控要求的符合性分析如下：</w:t>
            </w:r>
          </w:p>
          <w:p w14:paraId="2C6DF0F8">
            <w:pPr>
              <w:autoSpaceDE w:val="0"/>
              <w:autoSpaceDN w:val="0"/>
              <w:adjustRightInd w:val="0"/>
              <w:snapToGrid w:val="0"/>
              <w:spacing w:line="360" w:lineRule="auto"/>
              <w:ind w:firstLine="480" w:firstLineChars="200"/>
            </w:pPr>
            <w:r>
              <w:rPr>
                <w:rFonts w:hint="eastAsia"/>
              </w:rPr>
              <w:t>（1）所属经济区要求</w:t>
            </w:r>
          </w:p>
          <w:p w14:paraId="10C21212">
            <w:pPr>
              <w:autoSpaceDE w:val="0"/>
              <w:autoSpaceDN w:val="0"/>
              <w:adjustRightInd w:val="0"/>
              <w:snapToGrid w:val="0"/>
              <w:jc w:val="center"/>
              <w:rPr>
                <w:rFonts w:eastAsia="黑体"/>
              </w:rPr>
            </w:pPr>
            <w:r>
              <w:rPr>
                <w:rFonts w:hint="eastAsia" w:eastAsia="黑体"/>
              </w:rPr>
              <w:t xml:space="preserve">表1- </w:t>
            </w:r>
            <w:r>
              <w:rPr>
                <w:rFonts w:eastAsia="黑体"/>
              </w:rPr>
              <w:fldChar w:fldCharType="begin"/>
            </w:r>
            <w:r>
              <w:rPr>
                <w:rFonts w:hint="eastAsia" w:eastAsia="黑体"/>
              </w:rPr>
              <w:instrText xml:space="preserve"> SEQ 表1- \* ARABIC </w:instrText>
            </w:r>
            <w:r>
              <w:rPr>
                <w:rFonts w:eastAsia="黑体"/>
              </w:rPr>
              <w:fldChar w:fldCharType="separate"/>
            </w:r>
            <w:r>
              <w:rPr>
                <w:rFonts w:eastAsia="黑体"/>
              </w:rPr>
              <w:t>5</w:t>
            </w:r>
            <w:r>
              <w:rPr>
                <w:rFonts w:eastAsia="黑体"/>
              </w:rPr>
              <w:fldChar w:fldCharType="end"/>
            </w:r>
            <w:r>
              <w:rPr>
                <w:rFonts w:hint="eastAsia" w:eastAsia="黑体"/>
              </w:rPr>
              <w:t xml:space="preserve">  项目与所属经济区要求符合性分析</w:t>
            </w:r>
          </w:p>
          <w:tbl>
            <w:tblPr>
              <w:tblStyle w:val="28"/>
              <w:tblW w:w="5000"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801"/>
              <w:gridCol w:w="571"/>
              <w:gridCol w:w="4436"/>
              <w:gridCol w:w="1947"/>
              <w:gridCol w:w="667"/>
            </w:tblGrid>
            <w:tr w14:paraId="50C1D5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747" w:type="dxa"/>
                  <w:tcBorders>
                    <w:tl2br w:val="nil"/>
                    <w:tr2bl w:val="nil"/>
                  </w:tcBorders>
                  <w:tcMar>
                    <w:top w:w="50" w:type="dxa"/>
                    <w:left w:w="50" w:type="dxa"/>
                    <w:bottom w:w="50" w:type="dxa"/>
                    <w:right w:w="50" w:type="dxa"/>
                  </w:tcMar>
                  <w:vAlign w:val="center"/>
                </w:tcPr>
                <w:p w14:paraId="003BE3F5">
                  <w:pPr>
                    <w:widowControl/>
                    <w:autoSpaceDE w:val="0"/>
                    <w:autoSpaceDN w:val="0"/>
                    <w:adjustRightInd w:val="0"/>
                    <w:snapToGrid w:val="0"/>
                    <w:jc w:val="center"/>
                    <w:rPr>
                      <w:b/>
                      <w:bCs/>
                      <w:kern w:val="0"/>
                      <w:sz w:val="21"/>
                      <w:szCs w:val="21"/>
                    </w:rPr>
                  </w:pPr>
                  <w:r>
                    <w:rPr>
                      <w:rFonts w:hint="eastAsia"/>
                      <w:b/>
                      <w:bCs/>
                      <w:kern w:val="0"/>
                      <w:sz w:val="21"/>
                      <w:szCs w:val="21"/>
                    </w:rPr>
                    <w:t>经济区名称</w:t>
                  </w:r>
                </w:p>
              </w:tc>
              <w:tc>
                <w:tcPr>
                  <w:tcW w:w="532" w:type="dxa"/>
                  <w:tcBorders>
                    <w:tl2br w:val="nil"/>
                    <w:tr2bl w:val="nil"/>
                  </w:tcBorders>
                  <w:tcMar>
                    <w:top w:w="50" w:type="dxa"/>
                    <w:left w:w="50" w:type="dxa"/>
                    <w:bottom w:w="50" w:type="dxa"/>
                    <w:right w:w="50" w:type="dxa"/>
                  </w:tcMar>
                  <w:vAlign w:val="center"/>
                </w:tcPr>
                <w:p w14:paraId="14A4CFF3">
                  <w:pPr>
                    <w:widowControl/>
                    <w:autoSpaceDE w:val="0"/>
                    <w:autoSpaceDN w:val="0"/>
                    <w:adjustRightInd w:val="0"/>
                    <w:snapToGrid w:val="0"/>
                    <w:jc w:val="center"/>
                    <w:rPr>
                      <w:b/>
                      <w:bCs/>
                      <w:kern w:val="0"/>
                      <w:sz w:val="21"/>
                      <w:szCs w:val="21"/>
                    </w:rPr>
                  </w:pPr>
                  <w:r>
                    <w:rPr>
                      <w:rFonts w:hint="eastAsia"/>
                      <w:b/>
                      <w:bCs/>
                      <w:kern w:val="0"/>
                      <w:sz w:val="21"/>
                      <w:szCs w:val="21"/>
                    </w:rPr>
                    <w:t>标题</w:t>
                  </w:r>
                </w:p>
              </w:tc>
              <w:tc>
                <w:tcPr>
                  <w:tcW w:w="4135" w:type="dxa"/>
                  <w:tcBorders>
                    <w:tl2br w:val="nil"/>
                    <w:tr2bl w:val="nil"/>
                  </w:tcBorders>
                  <w:tcMar>
                    <w:top w:w="50" w:type="dxa"/>
                    <w:left w:w="50" w:type="dxa"/>
                    <w:bottom w:w="50" w:type="dxa"/>
                    <w:right w:w="50" w:type="dxa"/>
                  </w:tcMar>
                  <w:vAlign w:val="center"/>
                </w:tcPr>
                <w:p w14:paraId="11CA5B9F">
                  <w:pPr>
                    <w:widowControl/>
                    <w:autoSpaceDE w:val="0"/>
                    <w:autoSpaceDN w:val="0"/>
                    <w:adjustRightInd w:val="0"/>
                    <w:snapToGrid w:val="0"/>
                    <w:jc w:val="center"/>
                    <w:rPr>
                      <w:b/>
                      <w:bCs/>
                      <w:kern w:val="0"/>
                      <w:sz w:val="21"/>
                      <w:szCs w:val="21"/>
                    </w:rPr>
                  </w:pPr>
                  <w:r>
                    <w:rPr>
                      <w:rFonts w:hint="eastAsia"/>
                      <w:b/>
                      <w:bCs/>
                      <w:kern w:val="0"/>
                      <w:sz w:val="21"/>
                      <w:szCs w:val="21"/>
                    </w:rPr>
                    <w:t>内容</w:t>
                  </w:r>
                </w:p>
              </w:tc>
              <w:tc>
                <w:tcPr>
                  <w:tcW w:w="1815" w:type="dxa"/>
                  <w:tcBorders>
                    <w:tl2br w:val="nil"/>
                    <w:tr2bl w:val="nil"/>
                  </w:tcBorders>
                  <w:tcMar>
                    <w:top w:w="50" w:type="dxa"/>
                    <w:left w:w="50" w:type="dxa"/>
                    <w:bottom w:w="50" w:type="dxa"/>
                    <w:right w:w="50" w:type="dxa"/>
                  </w:tcMar>
                  <w:vAlign w:val="center"/>
                </w:tcPr>
                <w:p w14:paraId="1B29A967">
                  <w:pPr>
                    <w:widowControl/>
                    <w:autoSpaceDE w:val="0"/>
                    <w:autoSpaceDN w:val="0"/>
                    <w:adjustRightInd w:val="0"/>
                    <w:snapToGrid w:val="0"/>
                    <w:jc w:val="center"/>
                    <w:rPr>
                      <w:b/>
                      <w:bCs/>
                      <w:kern w:val="0"/>
                      <w:sz w:val="21"/>
                      <w:szCs w:val="21"/>
                    </w:rPr>
                  </w:pPr>
                  <w:r>
                    <w:rPr>
                      <w:rFonts w:hint="eastAsia"/>
                      <w:b/>
                      <w:bCs/>
                      <w:kern w:val="0"/>
                      <w:sz w:val="21"/>
                      <w:szCs w:val="21"/>
                    </w:rPr>
                    <w:t>本项目</w:t>
                  </w:r>
                </w:p>
              </w:tc>
              <w:tc>
                <w:tcPr>
                  <w:tcW w:w="622" w:type="dxa"/>
                  <w:tcBorders>
                    <w:tl2br w:val="nil"/>
                    <w:tr2bl w:val="nil"/>
                  </w:tcBorders>
                  <w:tcMar>
                    <w:top w:w="50" w:type="dxa"/>
                    <w:left w:w="50" w:type="dxa"/>
                    <w:bottom w:w="50" w:type="dxa"/>
                    <w:right w:w="50" w:type="dxa"/>
                  </w:tcMar>
                  <w:vAlign w:val="center"/>
                </w:tcPr>
                <w:p w14:paraId="28549AC2">
                  <w:pPr>
                    <w:widowControl/>
                    <w:autoSpaceDE w:val="0"/>
                    <w:autoSpaceDN w:val="0"/>
                    <w:adjustRightInd w:val="0"/>
                    <w:snapToGrid w:val="0"/>
                    <w:jc w:val="center"/>
                    <w:rPr>
                      <w:b/>
                      <w:bCs/>
                      <w:kern w:val="0"/>
                      <w:sz w:val="21"/>
                      <w:szCs w:val="21"/>
                    </w:rPr>
                  </w:pPr>
                  <w:r>
                    <w:rPr>
                      <w:rFonts w:hint="eastAsia"/>
                      <w:b/>
                      <w:bCs/>
                      <w:kern w:val="0"/>
                      <w:sz w:val="21"/>
                      <w:szCs w:val="21"/>
                    </w:rPr>
                    <w:t>符合性</w:t>
                  </w:r>
                </w:p>
              </w:tc>
            </w:tr>
            <w:tr w14:paraId="6DBE7B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747" w:type="dxa"/>
                  <w:vMerge w:val="restart"/>
                  <w:tcBorders>
                    <w:tl2br w:val="nil"/>
                    <w:tr2bl w:val="nil"/>
                  </w:tcBorders>
                  <w:tcMar>
                    <w:top w:w="50" w:type="dxa"/>
                    <w:left w:w="50" w:type="dxa"/>
                    <w:bottom w:w="50" w:type="dxa"/>
                    <w:right w:w="50" w:type="dxa"/>
                  </w:tcMar>
                  <w:vAlign w:val="center"/>
                </w:tcPr>
                <w:p w14:paraId="3721AA9E">
                  <w:pPr>
                    <w:widowControl/>
                    <w:autoSpaceDE w:val="0"/>
                    <w:autoSpaceDN w:val="0"/>
                    <w:adjustRightInd w:val="0"/>
                    <w:snapToGrid w:val="0"/>
                    <w:jc w:val="center"/>
                    <w:rPr>
                      <w:kern w:val="0"/>
                      <w:sz w:val="21"/>
                      <w:szCs w:val="21"/>
                    </w:rPr>
                  </w:pPr>
                  <w:r>
                    <w:rPr>
                      <w:rFonts w:hint="eastAsia"/>
                      <w:kern w:val="0"/>
                      <w:sz w:val="21"/>
                      <w:szCs w:val="21"/>
                    </w:rPr>
                    <w:t>川西北生态经济区</w:t>
                  </w:r>
                </w:p>
              </w:tc>
              <w:tc>
                <w:tcPr>
                  <w:tcW w:w="532" w:type="dxa"/>
                  <w:tcBorders>
                    <w:tl2br w:val="nil"/>
                    <w:tr2bl w:val="nil"/>
                  </w:tcBorders>
                  <w:tcMar>
                    <w:top w:w="50" w:type="dxa"/>
                    <w:left w:w="50" w:type="dxa"/>
                    <w:bottom w:w="50" w:type="dxa"/>
                    <w:right w:w="50" w:type="dxa"/>
                  </w:tcMar>
                  <w:vAlign w:val="center"/>
                </w:tcPr>
                <w:p w14:paraId="219B4498">
                  <w:pPr>
                    <w:widowControl/>
                    <w:autoSpaceDE w:val="0"/>
                    <w:autoSpaceDN w:val="0"/>
                    <w:adjustRightInd w:val="0"/>
                    <w:snapToGrid w:val="0"/>
                    <w:jc w:val="center"/>
                    <w:rPr>
                      <w:kern w:val="0"/>
                      <w:sz w:val="21"/>
                      <w:szCs w:val="21"/>
                    </w:rPr>
                  </w:pPr>
                  <w:r>
                    <w:rPr>
                      <w:rFonts w:hint="eastAsia"/>
                      <w:kern w:val="0"/>
                      <w:sz w:val="21"/>
                      <w:szCs w:val="21"/>
                    </w:rPr>
                    <w:t>区域特点</w:t>
                  </w:r>
                </w:p>
              </w:tc>
              <w:tc>
                <w:tcPr>
                  <w:tcW w:w="4135" w:type="dxa"/>
                  <w:tcBorders>
                    <w:tl2br w:val="nil"/>
                    <w:tr2bl w:val="nil"/>
                  </w:tcBorders>
                  <w:tcMar>
                    <w:top w:w="50" w:type="dxa"/>
                    <w:left w:w="50" w:type="dxa"/>
                    <w:bottom w:w="50" w:type="dxa"/>
                    <w:right w:w="50" w:type="dxa"/>
                  </w:tcMar>
                  <w:vAlign w:val="center"/>
                </w:tcPr>
                <w:p w14:paraId="5CA342D9">
                  <w:pPr>
                    <w:widowControl/>
                    <w:autoSpaceDE w:val="0"/>
                    <w:autoSpaceDN w:val="0"/>
                    <w:adjustRightInd w:val="0"/>
                    <w:snapToGrid w:val="0"/>
                    <w:rPr>
                      <w:kern w:val="0"/>
                      <w:sz w:val="21"/>
                      <w:szCs w:val="21"/>
                    </w:rPr>
                  </w:pPr>
                  <w:r>
                    <w:rPr>
                      <w:rFonts w:hint="eastAsia"/>
                      <w:kern w:val="0"/>
                      <w:sz w:val="21"/>
                      <w:szCs w:val="21"/>
                    </w:rPr>
                    <w:t>1.甘孜、阿坝2个州内大部分区域属于国家层面限制开发的重点生态功能区，是优先保护单元集中分布的地区。2.该区域地广人稀、工业化程度较低，是长江、黄河上游重要生态安全屏障，生态环境敏感度高。3.到2020年，区域生产总值目标为670亿元，常住人口城镇化率达35.9%。</w:t>
                  </w:r>
                </w:p>
              </w:tc>
              <w:tc>
                <w:tcPr>
                  <w:tcW w:w="1815" w:type="dxa"/>
                  <w:tcBorders>
                    <w:tl2br w:val="nil"/>
                    <w:tr2bl w:val="nil"/>
                  </w:tcBorders>
                  <w:tcMar>
                    <w:top w:w="50" w:type="dxa"/>
                    <w:left w:w="50" w:type="dxa"/>
                    <w:bottom w:w="50" w:type="dxa"/>
                    <w:right w:w="50" w:type="dxa"/>
                  </w:tcMar>
                  <w:vAlign w:val="center"/>
                </w:tcPr>
                <w:p w14:paraId="7E48718B">
                  <w:pPr>
                    <w:widowControl/>
                    <w:autoSpaceDE w:val="0"/>
                    <w:autoSpaceDN w:val="0"/>
                    <w:adjustRightInd w:val="0"/>
                    <w:snapToGrid w:val="0"/>
                    <w:rPr>
                      <w:kern w:val="0"/>
                      <w:sz w:val="21"/>
                      <w:szCs w:val="21"/>
                    </w:rPr>
                  </w:pPr>
                  <w:r>
                    <w:rPr>
                      <w:rFonts w:hint="eastAsia"/>
                      <w:kern w:val="0"/>
                      <w:sz w:val="21"/>
                      <w:szCs w:val="21"/>
                    </w:rPr>
                    <w:t>本项目位于甘孜州，项目的建设可以为区域生态做出积极贡献。</w:t>
                  </w:r>
                </w:p>
              </w:tc>
              <w:tc>
                <w:tcPr>
                  <w:tcW w:w="622" w:type="dxa"/>
                  <w:tcBorders>
                    <w:tl2br w:val="nil"/>
                    <w:tr2bl w:val="nil"/>
                  </w:tcBorders>
                  <w:tcMar>
                    <w:top w:w="50" w:type="dxa"/>
                    <w:left w:w="50" w:type="dxa"/>
                    <w:bottom w:w="50" w:type="dxa"/>
                    <w:right w:w="50" w:type="dxa"/>
                  </w:tcMar>
                  <w:vAlign w:val="center"/>
                </w:tcPr>
                <w:p w14:paraId="3C38E538">
                  <w:pPr>
                    <w:widowControl/>
                    <w:autoSpaceDE w:val="0"/>
                    <w:autoSpaceDN w:val="0"/>
                    <w:adjustRightInd w:val="0"/>
                    <w:snapToGrid w:val="0"/>
                    <w:jc w:val="center"/>
                    <w:rPr>
                      <w:kern w:val="0"/>
                      <w:sz w:val="21"/>
                      <w:szCs w:val="21"/>
                    </w:rPr>
                  </w:pPr>
                  <w:r>
                    <w:rPr>
                      <w:rFonts w:hint="eastAsia"/>
                      <w:kern w:val="0"/>
                      <w:sz w:val="21"/>
                      <w:szCs w:val="21"/>
                    </w:rPr>
                    <w:t>符合</w:t>
                  </w:r>
                </w:p>
              </w:tc>
            </w:tr>
            <w:tr w14:paraId="280CDC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747" w:type="dxa"/>
                  <w:vMerge w:val="continue"/>
                  <w:tcBorders>
                    <w:tl2br w:val="nil"/>
                    <w:tr2bl w:val="nil"/>
                  </w:tcBorders>
                  <w:tcMar>
                    <w:top w:w="50" w:type="dxa"/>
                    <w:left w:w="50" w:type="dxa"/>
                    <w:bottom w:w="50" w:type="dxa"/>
                    <w:right w:w="50" w:type="dxa"/>
                  </w:tcMar>
                  <w:vAlign w:val="center"/>
                </w:tcPr>
                <w:p w14:paraId="3F9F1A05">
                  <w:pPr>
                    <w:widowControl/>
                    <w:autoSpaceDE w:val="0"/>
                    <w:autoSpaceDN w:val="0"/>
                    <w:adjustRightInd w:val="0"/>
                    <w:snapToGrid w:val="0"/>
                    <w:jc w:val="center"/>
                    <w:rPr>
                      <w:kern w:val="0"/>
                      <w:sz w:val="21"/>
                      <w:szCs w:val="21"/>
                    </w:rPr>
                  </w:pPr>
                </w:p>
              </w:tc>
              <w:tc>
                <w:tcPr>
                  <w:tcW w:w="532" w:type="dxa"/>
                  <w:tcBorders>
                    <w:tl2br w:val="nil"/>
                    <w:tr2bl w:val="nil"/>
                  </w:tcBorders>
                  <w:tcMar>
                    <w:top w:w="50" w:type="dxa"/>
                    <w:left w:w="50" w:type="dxa"/>
                    <w:bottom w:w="50" w:type="dxa"/>
                    <w:right w:w="50" w:type="dxa"/>
                  </w:tcMar>
                  <w:vAlign w:val="center"/>
                </w:tcPr>
                <w:p w14:paraId="55B6098E">
                  <w:pPr>
                    <w:widowControl/>
                    <w:autoSpaceDE w:val="0"/>
                    <w:autoSpaceDN w:val="0"/>
                    <w:adjustRightInd w:val="0"/>
                    <w:snapToGrid w:val="0"/>
                    <w:jc w:val="center"/>
                    <w:rPr>
                      <w:kern w:val="0"/>
                      <w:sz w:val="21"/>
                      <w:szCs w:val="21"/>
                    </w:rPr>
                  </w:pPr>
                  <w:r>
                    <w:rPr>
                      <w:rFonts w:hint="eastAsia"/>
                      <w:kern w:val="0"/>
                      <w:sz w:val="21"/>
                      <w:szCs w:val="21"/>
                    </w:rPr>
                    <w:t>发展定位与目标</w:t>
                  </w:r>
                </w:p>
              </w:tc>
              <w:tc>
                <w:tcPr>
                  <w:tcW w:w="4135" w:type="dxa"/>
                  <w:tcBorders>
                    <w:tl2br w:val="nil"/>
                    <w:tr2bl w:val="nil"/>
                  </w:tcBorders>
                  <w:tcMar>
                    <w:top w:w="50" w:type="dxa"/>
                    <w:left w:w="50" w:type="dxa"/>
                    <w:bottom w:w="50" w:type="dxa"/>
                    <w:right w:w="50" w:type="dxa"/>
                  </w:tcMar>
                  <w:vAlign w:val="center"/>
                </w:tcPr>
                <w:p w14:paraId="43998153">
                  <w:pPr>
                    <w:widowControl/>
                    <w:autoSpaceDE w:val="0"/>
                    <w:autoSpaceDN w:val="0"/>
                    <w:adjustRightInd w:val="0"/>
                    <w:snapToGrid w:val="0"/>
                    <w:rPr>
                      <w:kern w:val="0"/>
                      <w:sz w:val="21"/>
                      <w:szCs w:val="21"/>
                    </w:rPr>
                  </w:pPr>
                  <w:r>
                    <w:rPr>
                      <w:rFonts w:hint="eastAsia"/>
                      <w:kern w:val="0"/>
                      <w:sz w:val="21"/>
                      <w:szCs w:val="21"/>
                    </w:rPr>
                    <w:t>1.川西北生态示范区发展定位为构筑生态屏障，发展生态经济。建成国家生态建设示范区，建设国际生态文化旅游目的地、国家全域旅游示范区、国家级清洁能源基地和现代高原特色农牧业基地。2.发展目标为到2025年，生态屏障更加牢固、经济发展更高质量、基础设施更加完善。</w:t>
                  </w:r>
                </w:p>
              </w:tc>
              <w:tc>
                <w:tcPr>
                  <w:tcW w:w="1815" w:type="dxa"/>
                  <w:tcBorders>
                    <w:tl2br w:val="nil"/>
                    <w:tr2bl w:val="nil"/>
                  </w:tcBorders>
                  <w:tcMar>
                    <w:top w:w="50" w:type="dxa"/>
                    <w:left w:w="50" w:type="dxa"/>
                    <w:bottom w:w="50" w:type="dxa"/>
                    <w:right w:w="50" w:type="dxa"/>
                  </w:tcMar>
                  <w:vAlign w:val="center"/>
                </w:tcPr>
                <w:p w14:paraId="730326D7">
                  <w:pPr>
                    <w:widowControl/>
                    <w:autoSpaceDE w:val="0"/>
                    <w:autoSpaceDN w:val="0"/>
                    <w:adjustRightInd w:val="0"/>
                    <w:snapToGrid w:val="0"/>
                    <w:rPr>
                      <w:kern w:val="0"/>
                      <w:sz w:val="21"/>
                      <w:szCs w:val="21"/>
                    </w:rPr>
                  </w:pPr>
                  <w:r>
                    <w:rPr>
                      <w:rFonts w:hint="eastAsia"/>
                      <w:kern w:val="0"/>
                      <w:sz w:val="21"/>
                      <w:szCs w:val="21"/>
                    </w:rPr>
                    <w:t>本项目为防洪除涝项目，项目的建设可使生态屏障更加牢固，符合区域发展定位。</w:t>
                  </w:r>
                </w:p>
              </w:tc>
              <w:tc>
                <w:tcPr>
                  <w:tcW w:w="622" w:type="dxa"/>
                  <w:tcBorders>
                    <w:tl2br w:val="nil"/>
                    <w:tr2bl w:val="nil"/>
                  </w:tcBorders>
                  <w:tcMar>
                    <w:top w:w="50" w:type="dxa"/>
                    <w:left w:w="50" w:type="dxa"/>
                    <w:bottom w:w="50" w:type="dxa"/>
                    <w:right w:w="50" w:type="dxa"/>
                  </w:tcMar>
                  <w:vAlign w:val="center"/>
                </w:tcPr>
                <w:p w14:paraId="5AF5F034">
                  <w:pPr>
                    <w:widowControl/>
                    <w:autoSpaceDE w:val="0"/>
                    <w:autoSpaceDN w:val="0"/>
                    <w:adjustRightInd w:val="0"/>
                    <w:snapToGrid w:val="0"/>
                    <w:jc w:val="center"/>
                    <w:rPr>
                      <w:kern w:val="0"/>
                      <w:sz w:val="21"/>
                      <w:szCs w:val="21"/>
                    </w:rPr>
                  </w:pPr>
                  <w:r>
                    <w:rPr>
                      <w:rFonts w:hint="eastAsia"/>
                      <w:kern w:val="0"/>
                      <w:sz w:val="21"/>
                      <w:szCs w:val="21"/>
                    </w:rPr>
                    <w:t>符合</w:t>
                  </w:r>
                </w:p>
              </w:tc>
            </w:tr>
            <w:tr w14:paraId="0B80CE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747" w:type="dxa"/>
                  <w:vMerge w:val="continue"/>
                  <w:tcBorders>
                    <w:tl2br w:val="nil"/>
                    <w:tr2bl w:val="nil"/>
                  </w:tcBorders>
                  <w:tcMar>
                    <w:top w:w="50" w:type="dxa"/>
                    <w:left w:w="50" w:type="dxa"/>
                    <w:bottom w:w="50" w:type="dxa"/>
                    <w:right w:w="50" w:type="dxa"/>
                  </w:tcMar>
                  <w:vAlign w:val="center"/>
                </w:tcPr>
                <w:p w14:paraId="1074CE29">
                  <w:pPr>
                    <w:widowControl/>
                    <w:autoSpaceDE w:val="0"/>
                    <w:autoSpaceDN w:val="0"/>
                    <w:adjustRightInd w:val="0"/>
                    <w:snapToGrid w:val="0"/>
                    <w:jc w:val="center"/>
                    <w:rPr>
                      <w:kern w:val="0"/>
                      <w:sz w:val="21"/>
                      <w:szCs w:val="21"/>
                    </w:rPr>
                  </w:pPr>
                </w:p>
              </w:tc>
              <w:tc>
                <w:tcPr>
                  <w:tcW w:w="532" w:type="dxa"/>
                  <w:tcBorders>
                    <w:tl2br w:val="nil"/>
                    <w:tr2bl w:val="nil"/>
                  </w:tcBorders>
                  <w:tcMar>
                    <w:top w:w="50" w:type="dxa"/>
                    <w:left w:w="50" w:type="dxa"/>
                    <w:bottom w:w="50" w:type="dxa"/>
                    <w:right w:w="50" w:type="dxa"/>
                  </w:tcMar>
                  <w:vAlign w:val="center"/>
                </w:tcPr>
                <w:p w14:paraId="6C15A753">
                  <w:pPr>
                    <w:widowControl/>
                    <w:autoSpaceDE w:val="0"/>
                    <w:autoSpaceDN w:val="0"/>
                    <w:adjustRightInd w:val="0"/>
                    <w:snapToGrid w:val="0"/>
                    <w:jc w:val="center"/>
                    <w:rPr>
                      <w:kern w:val="0"/>
                      <w:sz w:val="21"/>
                      <w:szCs w:val="21"/>
                    </w:rPr>
                  </w:pPr>
                  <w:r>
                    <w:rPr>
                      <w:rFonts w:hint="eastAsia"/>
                      <w:kern w:val="0"/>
                      <w:sz w:val="21"/>
                      <w:szCs w:val="21"/>
                    </w:rPr>
                    <w:t>区域突出生态环境问题</w:t>
                  </w:r>
                </w:p>
              </w:tc>
              <w:tc>
                <w:tcPr>
                  <w:tcW w:w="4135" w:type="dxa"/>
                  <w:tcBorders>
                    <w:tl2br w:val="nil"/>
                    <w:tr2bl w:val="nil"/>
                  </w:tcBorders>
                  <w:tcMar>
                    <w:top w:w="50" w:type="dxa"/>
                    <w:left w:w="50" w:type="dxa"/>
                    <w:bottom w:w="50" w:type="dxa"/>
                    <w:right w:w="50" w:type="dxa"/>
                  </w:tcMar>
                  <w:vAlign w:val="center"/>
                </w:tcPr>
                <w:p w14:paraId="15C11058">
                  <w:pPr>
                    <w:widowControl/>
                    <w:autoSpaceDE w:val="0"/>
                    <w:autoSpaceDN w:val="0"/>
                    <w:adjustRightInd w:val="0"/>
                    <w:snapToGrid w:val="0"/>
                    <w:rPr>
                      <w:kern w:val="0"/>
                      <w:sz w:val="21"/>
                      <w:szCs w:val="21"/>
                    </w:rPr>
                  </w:pPr>
                  <w:r>
                    <w:rPr>
                      <w:rFonts w:hint="eastAsia"/>
                      <w:kern w:val="0"/>
                      <w:sz w:val="21"/>
                      <w:szCs w:val="21"/>
                    </w:rPr>
                    <w:t>1.生态系统较脆弱，生态环境破坏风险高，生态修复和恢复难度大，保护基础设施建设滞后、维护成本高、资源环境约束突出、自然灾害易发多发频发，特色优势资源转化不足。2.区域资源开发、交通设施建设等活动会对生态环境造成一定影响。</w:t>
                  </w:r>
                </w:p>
              </w:tc>
              <w:tc>
                <w:tcPr>
                  <w:tcW w:w="1815" w:type="dxa"/>
                  <w:tcBorders>
                    <w:tl2br w:val="nil"/>
                    <w:tr2bl w:val="nil"/>
                  </w:tcBorders>
                  <w:tcMar>
                    <w:top w:w="50" w:type="dxa"/>
                    <w:left w:w="50" w:type="dxa"/>
                    <w:bottom w:w="50" w:type="dxa"/>
                    <w:right w:w="50" w:type="dxa"/>
                  </w:tcMar>
                  <w:vAlign w:val="center"/>
                </w:tcPr>
                <w:p w14:paraId="2A9CB6BE">
                  <w:pPr>
                    <w:widowControl/>
                    <w:autoSpaceDE w:val="0"/>
                    <w:autoSpaceDN w:val="0"/>
                    <w:adjustRightInd w:val="0"/>
                    <w:snapToGrid w:val="0"/>
                    <w:rPr>
                      <w:kern w:val="0"/>
                      <w:sz w:val="21"/>
                      <w:szCs w:val="21"/>
                    </w:rPr>
                  </w:pPr>
                  <w:r>
                    <w:rPr>
                      <w:rFonts w:hint="eastAsia"/>
                      <w:kern w:val="0"/>
                      <w:sz w:val="21"/>
                      <w:szCs w:val="21"/>
                    </w:rPr>
                    <w:t>本项目为防洪除涝项目，</w:t>
                  </w:r>
                  <w:r>
                    <w:rPr>
                      <w:rStyle w:val="78"/>
                      <w:rFonts w:hint="eastAsia" w:cs="Times New Roman"/>
                    </w:rPr>
                    <w:t>项目建设已严格按照保护生态环境的要求进行，建设过程中已采取有效的生态修复措施，现项目已建成，区域生态环境未遭到严重破坏。</w:t>
                  </w:r>
                </w:p>
              </w:tc>
              <w:tc>
                <w:tcPr>
                  <w:tcW w:w="622" w:type="dxa"/>
                  <w:tcBorders>
                    <w:tl2br w:val="nil"/>
                    <w:tr2bl w:val="nil"/>
                  </w:tcBorders>
                  <w:tcMar>
                    <w:top w:w="50" w:type="dxa"/>
                    <w:left w:w="50" w:type="dxa"/>
                    <w:bottom w:w="50" w:type="dxa"/>
                    <w:right w:w="50" w:type="dxa"/>
                  </w:tcMar>
                  <w:vAlign w:val="center"/>
                </w:tcPr>
                <w:p w14:paraId="591B6865">
                  <w:pPr>
                    <w:widowControl/>
                    <w:autoSpaceDE w:val="0"/>
                    <w:autoSpaceDN w:val="0"/>
                    <w:adjustRightInd w:val="0"/>
                    <w:snapToGrid w:val="0"/>
                    <w:jc w:val="center"/>
                    <w:rPr>
                      <w:kern w:val="0"/>
                      <w:sz w:val="21"/>
                      <w:szCs w:val="21"/>
                    </w:rPr>
                  </w:pPr>
                  <w:r>
                    <w:rPr>
                      <w:rFonts w:hint="eastAsia"/>
                      <w:kern w:val="0"/>
                      <w:sz w:val="21"/>
                      <w:szCs w:val="21"/>
                    </w:rPr>
                    <w:t>符合</w:t>
                  </w:r>
                </w:p>
              </w:tc>
            </w:tr>
            <w:tr w14:paraId="2F2622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747" w:type="dxa"/>
                  <w:vMerge w:val="continue"/>
                  <w:tcBorders>
                    <w:tl2br w:val="nil"/>
                    <w:tr2bl w:val="nil"/>
                  </w:tcBorders>
                  <w:tcMar>
                    <w:top w:w="50" w:type="dxa"/>
                    <w:left w:w="50" w:type="dxa"/>
                    <w:bottom w:w="50" w:type="dxa"/>
                    <w:right w:w="50" w:type="dxa"/>
                  </w:tcMar>
                  <w:vAlign w:val="center"/>
                </w:tcPr>
                <w:p w14:paraId="678195BF">
                  <w:pPr>
                    <w:widowControl/>
                    <w:autoSpaceDE w:val="0"/>
                    <w:autoSpaceDN w:val="0"/>
                    <w:adjustRightInd w:val="0"/>
                    <w:snapToGrid w:val="0"/>
                    <w:jc w:val="center"/>
                    <w:rPr>
                      <w:kern w:val="0"/>
                      <w:sz w:val="21"/>
                      <w:szCs w:val="21"/>
                    </w:rPr>
                  </w:pPr>
                </w:p>
              </w:tc>
              <w:tc>
                <w:tcPr>
                  <w:tcW w:w="532" w:type="dxa"/>
                  <w:tcBorders>
                    <w:tl2br w:val="nil"/>
                    <w:tr2bl w:val="nil"/>
                  </w:tcBorders>
                  <w:tcMar>
                    <w:top w:w="50" w:type="dxa"/>
                    <w:left w:w="50" w:type="dxa"/>
                    <w:bottom w:w="50" w:type="dxa"/>
                    <w:right w:w="50" w:type="dxa"/>
                  </w:tcMar>
                  <w:vAlign w:val="center"/>
                </w:tcPr>
                <w:p w14:paraId="715AB100">
                  <w:pPr>
                    <w:widowControl/>
                    <w:autoSpaceDE w:val="0"/>
                    <w:autoSpaceDN w:val="0"/>
                    <w:adjustRightInd w:val="0"/>
                    <w:snapToGrid w:val="0"/>
                    <w:jc w:val="center"/>
                    <w:rPr>
                      <w:kern w:val="0"/>
                      <w:sz w:val="21"/>
                      <w:szCs w:val="21"/>
                    </w:rPr>
                  </w:pPr>
                  <w:r>
                    <w:rPr>
                      <w:rFonts w:hint="eastAsia"/>
                      <w:kern w:val="0"/>
                      <w:sz w:val="21"/>
                      <w:szCs w:val="21"/>
                    </w:rPr>
                    <w:t>总体管控要求</w:t>
                  </w:r>
                </w:p>
              </w:tc>
              <w:tc>
                <w:tcPr>
                  <w:tcW w:w="4135" w:type="dxa"/>
                  <w:tcBorders>
                    <w:tl2br w:val="nil"/>
                    <w:tr2bl w:val="nil"/>
                  </w:tcBorders>
                  <w:tcMar>
                    <w:top w:w="50" w:type="dxa"/>
                    <w:left w:w="50" w:type="dxa"/>
                    <w:bottom w:w="50" w:type="dxa"/>
                    <w:right w:w="50" w:type="dxa"/>
                  </w:tcMar>
                  <w:vAlign w:val="center"/>
                </w:tcPr>
                <w:p w14:paraId="3F454D6D">
                  <w:pPr>
                    <w:widowControl/>
                    <w:autoSpaceDE w:val="0"/>
                    <w:autoSpaceDN w:val="0"/>
                    <w:adjustRightInd w:val="0"/>
                    <w:snapToGrid w:val="0"/>
                    <w:rPr>
                      <w:kern w:val="0"/>
                      <w:sz w:val="21"/>
                      <w:szCs w:val="21"/>
                    </w:rPr>
                  </w:pPr>
                  <w:r>
                    <w:rPr>
                      <w:rFonts w:hint="eastAsia"/>
                      <w:kern w:val="0"/>
                      <w:sz w:val="21"/>
                      <w:szCs w:val="21"/>
                    </w:rPr>
                    <w:t>限制工业开发等明显破坏生态环境的活动，严控“小水电”开发，合理控制水电、旅游、采矿、交通等建设活动，引导发展生态经济。保障区域重要生态功能和水源涵养功能。加强生态保护与修复，强化山水林田湖草系统保护与治理。</w:t>
                  </w:r>
                </w:p>
              </w:tc>
              <w:tc>
                <w:tcPr>
                  <w:tcW w:w="1815" w:type="dxa"/>
                  <w:tcBorders>
                    <w:tl2br w:val="nil"/>
                    <w:tr2bl w:val="nil"/>
                  </w:tcBorders>
                  <w:tcMar>
                    <w:top w:w="50" w:type="dxa"/>
                    <w:left w:w="50" w:type="dxa"/>
                    <w:bottom w:w="50" w:type="dxa"/>
                    <w:right w:w="50" w:type="dxa"/>
                  </w:tcMar>
                  <w:vAlign w:val="center"/>
                </w:tcPr>
                <w:p w14:paraId="60B83553">
                  <w:pPr>
                    <w:widowControl/>
                    <w:autoSpaceDE w:val="0"/>
                    <w:autoSpaceDN w:val="0"/>
                    <w:adjustRightInd w:val="0"/>
                    <w:snapToGrid w:val="0"/>
                    <w:rPr>
                      <w:kern w:val="0"/>
                      <w:sz w:val="21"/>
                      <w:szCs w:val="21"/>
                    </w:rPr>
                  </w:pPr>
                  <w:r>
                    <w:rPr>
                      <w:rFonts w:hint="eastAsia"/>
                      <w:kern w:val="0"/>
                      <w:sz w:val="21"/>
                      <w:szCs w:val="21"/>
                    </w:rPr>
                    <w:t>本项目为防洪除涝项目，不属于水电、旅游、采矿、交通等建设项目，项目已采取生态保护和修复措施。</w:t>
                  </w:r>
                </w:p>
              </w:tc>
              <w:tc>
                <w:tcPr>
                  <w:tcW w:w="622" w:type="dxa"/>
                  <w:tcBorders>
                    <w:tl2br w:val="nil"/>
                    <w:tr2bl w:val="nil"/>
                  </w:tcBorders>
                  <w:tcMar>
                    <w:top w:w="50" w:type="dxa"/>
                    <w:left w:w="50" w:type="dxa"/>
                    <w:bottom w:w="50" w:type="dxa"/>
                    <w:right w:w="50" w:type="dxa"/>
                  </w:tcMar>
                  <w:vAlign w:val="center"/>
                </w:tcPr>
                <w:p w14:paraId="15E28C1E">
                  <w:pPr>
                    <w:widowControl/>
                    <w:autoSpaceDE w:val="0"/>
                    <w:autoSpaceDN w:val="0"/>
                    <w:adjustRightInd w:val="0"/>
                    <w:snapToGrid w:val="0"/>
                    <w:jc w:val="center"/>
                    <w:rPr>
                      <w:kern w:val="0"/>
                      <w:sz w:val="21"/>
                      <w:szCs w:val="21"/>
                    </w:rPr>
                  </w:pPr>
                  <w:r>
                    <w:rPr>
                      <w:rFonts w:hint="eastAsia"/>
                      <w:kern w:val="0"/>
                      <w:sz w:val="21"/>
                      <w:szCs w:val="21"/>
                    </w:rPr>
                    <w:t>符合</w:t>
                  </w:r>
                </w:p>
              </w:tc>
            </w:tr>
          </w:tbl>
          <w:p w14:paraId="64F368A9">
            <w:pPr>
              <w:spacing w:line="360" w:lineRule="auto"/>
            </w:pPr>
          </w:p>
        </w:tc>
      </w:tr>
    </w:tbl>
    <w:p w14:paraId="3660989A">
      <w:pPr>
        <w:spacing w:line="360" w:lineRule="auto"/>
        <w:rPr>
          <w:b/>
          <w:sz w:val="28"/>
          <w:szCs w:val="28"/>
        </w:rPr>
        <w:sectPr>
          <w:footerReference r:id="rId9" w:type="default"/>
          <w:pgSz w:w="11906" w:h="16838"/>
          <w:pgMar w:top="1440" w:right="1080" w:bottom="1440" w:left="1080" w:header="851" w:footer="992" w:gutter="0"/>
          <w:pgNumType w:start="1"/>
          <w:cols w:space="720" w:num="1"/>
          <w:docGrid w:type="lines" w:linePitch="312" w:charSpace="0"/>
        </w:sectPr>
      </w:pPr>
    </w:p>
    <w:p w14:paraId="32CB15C0">
      <w:pPr>
        <w:pStyle w:val="106"/>
      </w:pPr>
      <w:r>
        <w:rPr>
          <w:rFonts w:hint="eastAsia"/>
        </w:rPr>
        <w:t>（2）生态环境准入清单</w:t>
      </w:r>
    </w:p>
    <w:p w14:paraId="340E3D5E">
      <w:pPr>
        <w:pStyle w:val="106"/>
      </w:pPr>
      <w:r>
        <w:rPr>
          <w:rFonts w:hint="eastAsia"/>
        </w:rPr>
        <w:t>①市（州）普适性管控要求</w:t>
      </w:r>
    </w:p>
    <w:p w14:paraId="21551817">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6</w:t>
      </w:r>
      <w:r>
        <w:rPr>
          <w:rFonts w:cs="Times New Roman"/>
        </w:rPr>
        <w:fldChar w:fldCharType="end"/>
      </w:r>
      <w:r>
        <w:rPr>
          <w:rFonts w:hint="eastAsia" w:cs="Times New Roman"/>
        </w:rPr>
        <w:t xml:space="preserve">  项目与市域生态环境分区管控符合性分析</w:t>
      </w:r>
    </w:p>
    <w:tbl>
      <w:tblPr>
        <w:tblStyle w:val="28"/>
        <w:tblW w:w="5034"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 w:type="dxa"/>
          <w:bottom w:w="0" w:type="dxa"/>
          <w:right w:w="10" w:type="dxa"/>
        </w:tblCellMar>
      </w:tblPr>
      <w:tblGrid>
        <w:gridCol w:w="539"/>
        <w:gridCol w:w="807"/>
        <w:gridCol w:w="987"/>
        <w:gridCol w:w="717"/>
        <w:gridCol w:w="6771"/>
        <w:gridCol w:w="3585"/>
        <w:gridCol w:w="647"/>
      </w:tblGrid>
      <w:tr w14:paraId="603F2D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0" w:type="auto"/>
            <w:tcBorders>
              <w:tl2br w:val="nil"/>
              <w:tr2bl w:val="nil"/>
            </w:tcBorders>
            <w:tcMar>
              <w:top w:w="50" w:type="dxa"/>
              <w:left w:w="50" w:type="dxa"/>
              <w:bottom w:w="50" w:type="dxa"/>
              <w:right w:w="50" w:type="dxa"/>
            </w:tcMar>
            <w:vAlign w:val="center"/>
          </w:tcPr>
          <w:p w14:paraId="5889F522">
            <w:pPr>
              <w:pStyle w:val="84"/>
              <w:rPr>
                <w:b/>
                <w:bCs/>
              </w:rPr>
            </w:pPr>
            <w:r>
              <w:rPr>
                <w:rFonts w:hint="eastAsia"/>
                <w:b/>
                <w:bCs/>
              </w:rPr>
              <w:t>市州</w:t>
            </w:r>
          </w:p>
        </w:tc>
        <w:tc>
          <w:tcPr>
            <w:tcW w:w="287" w:type="pct"/>
            <w:tcBorders>
              <w:tl2br w:val="nil"/>
              <w:tr2bl w:val="nil"/>
            </w:tcBorders>
            <w:tcMar>
              <w:top w:w="50" w:type="dxa"/>
              <w:left w:w="50" w:type="dxa"/>
              <w:bottom w:w="50" w:type="dxa"/>
              <w:right w:w="50" w:type="dxa"/>
            </w:tcMar>
            <w:vAlign w:val="center"/>
          </w:tcPr>
          <w:p w14:paraId="3F8DFDD5">
            <w:pPr>
              <w:pStyle w:val="84"/>
              <w:rPr>
                <w:b/>
                <w:bCs/>
              </w:rPr>
            </w:pPr>
            <w:r>
              <w:rPr>
                <w:rFonts w:hint="eastAsia"/>
                <w:b/>
                <w:bCs/>
              </w:rPr>
              <w:t>涉及县区</w:t>
            </w:r>
          </w:p>
        </w:tc>
        <w:tc>
          <w:tcPr>
            <w:tcW w:w="351" w:type="pct"/>
            <w:tcBorders>
              <w:tl2br w:val="nil"/>
              <w:tr2bl w:val="nil"/>
            </w:tcBorders>
            <w:tcMar>
              <w:top w:w="50" w:type="dxa"/>
              <w:left w:w="50" w:type="dxa"/>
              <w:bottom w:w="50" w:type="dxa"/>
              <w:right w:w="50" w:type="dxa"/>
            </w:tcMar>
            <w:vAlign w:val="center"/>
          </w:tcPr>
          <w:p w14:paraId="454F9E1C">
            <w:pPr>
              <w:pStyle w:val="84"/>
              <w:rPr>
                <w:b/>
                <w:bCs/>
              </w:rPr>
            </w:pPr>
            <w:r>
              <w:rPr>
                <w:rFonts w:hint="eastAsia"/>
                <w:b/>
                <w:bCs/>
              </w:rPr>
              <w:t>区域名称</w:t>
            </w:r>
          </w:p>
        </w:tc>
        <w:tc>
          <w:tcPr>
            <w:tcW w:w="255" w:type="pct"/>
            <w:tcBorders>
              <w:tl2br w:val="nil"/>
              <w:tr2bl w:val="nil"/>
            </w:tcBorders>
            <w:tcMar>
              <w:top w:w="50" w:type="dxa"/>
              <w:left w:w="50" w:type="dxa"/>
              <w:bottom w:w="50" w:type="dxa"/>
              <w:right w:w="50" w:type="dxa"/>
            </w:tcMar>
            <w:vAlign w:val="center"/>
          </w:tcPr>
          <w:p w14:paraId="1A7167D3">
            <w:pPr>
              <w:pStyle w:val="84"/>
              <w:rPr>
                <w:b/>
                <w:bCs/>
              </w:rPr>
            </w:pPr>
            <w:r>
              <w:rPr>
                <w:rFonts w:hint="eastAsia"/>
                <w:b/>
                <w:bCs/>
              </w:rPr>
              <w:t>管控类别</w:t>
            </w:r>
          </w:p>
        </w:tc>
        <w:tc>
          <w:tcPr>
            <w:tcW w:w="2408" w:type="pct"/>
            <w:tcBorders>
              <w:tl2br w:val="nil"/>
              <w:tr2bl w:val="nil"/>
            </w:tcBorders>
            <w:tcMar>
              <w:top w:w="50" w:type="dxa"/>
              <w:left w:w="50" w:type="dxa"/>
              <w:bottom w:w="50" w:type="dxa"/>
              <w:right w:w="50" w:type="dxa"/>
            </w:tcMar>
            <w:vAlign w:val="center"/>
          </w:tcPr>
          <w:p w14:paraId="0BA8C05B">
            <w:pPr>
              <w:pStyle w:val="84"/>
              <w:rPr>
                <w:b/>
                <w:bCs/>
              </w:rPr>
            </w:pPr>
            <w:r>
              <w:rPr>
                <w:rFonts w:hint="eastAsia"/>
                <w:b/>
                <w:bCs/>
              </w:rPr>
              <w:t>管控要求</w:t>
            </w:r>
          </w:p>
        </w:tc>
        <w:tc>
          <w:tcPr>
            <w:tcW w:w="1275" w:type="pct"/>
            <w:tcBorders>
              <w:tl2br w:val="nil"/>
              <w:tr2bl w:val="nil"/>
            </w:tcBorders>
            <w:tcMar>
              <w:top w:w="50" w:type="dxa"/>
              <w:left w:w="50" w:type="dxa"/>
              <w:bottom w:w="50" w:type="dxa"/>
              <w:right w:w="50" w:type="dxa"/>
            </w:tcMar>
            <w:vAlign w:val="center"/>
          </w:tcPr>
          <w:p w14:paraId="63E80719">
            <w:pPr>
              <w:pStyle w:val="84"/>
              <w:rPr>
                <w:b/>
                <w:bCs/>
              </w:rPr>
            </w:pPr>
            <w:r>
              <w:rPr>
                <w:rFonts w:hint="eastAsia"/>
                <w:b/>
                <w:bCs/>
              </w:rPr>
              <w:t>本项目</w:t>
            </w:r>
          </w:p>
        </w:tc>
        <w:tc>
          <w:tcPr>
            <w:tcW w:w="230" w:type="pct"/>
            <w:tcBorders>
              <w:tl2br w:val="nil"/>
              <w:tr2bl w:val="nil"/>
            </w:tcBorders>
            <w:tcMar>
              <w:top w:w="50" w:type="dxa"/>
              <w:left w:w="50" w:type="dxa"/>
              <w:bottom w:w="50" w:type="dxa"/>
              <w:right w:w="50" w:type="dxa"/>
            </w:tcMar>
            <w:vAlign w:val="center"/>
          </w:tcPr>
          <w:p w14:paraId="57653215">
            <w:pPr>
              <w:pStyle w:val="84"/>
              <w:rPr>
                <w:b/>
                <w:bCs/>
              </w:rPr>
            </w:pPr>
            <w:r>
              <w:rPr>
                <w:rFonts w:hint="eastAsia"/>
                <w:b/>
                <w:bCs/>
              </w:rPr>
              <w:t>符合性</w:t>
            </w:r>
          </w:p>
        </w:tc>
      </w:tr>
      <w:tr w14:paraId="1B8728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192" w:type="pct"/>
            <w:vMerge w:val="restart"/>
            <w:tcBorders>
              <w:tl2br w:val="nil"/>
              <w:tr2bl w:val="nil"/>
            </w:tcBorders>
            <w:tcMar>
              <w:top w:w="50" w:type="dxa"/>
              <w:left w:w="50" w:type="dxa"/>
              <w:bottom w:w="50" w:type="dxa"/>
              <w:right w:w="50" w:type="dxa"/>
            </w:tcMar>
            <w:vAlign w:val="center"/>
          </w:tcPr>
          <w:p w14:paraId="72D32A81">
            <w:pPr>
              <w:pStyle w:val="59"/>
              <w:rPr>
                <w:rFonts w:cs="Times New Roman"/>
              </w:rPr>
            </w:pPr>
            <w:r>
              <w:rPr>
                <w:rFonts w:hint="eastAsia" w:cs="Times New Roman"/>
              </w:rPr>
              <w:t>甘孜藏族自治州（优先保护单元+城镇重点管控单元+工业重点管控单元+要素重点管控单元+一般管控单元）</w:t>
            </w:r>
          </w:p>
        </w:tc>
        <w:tc>
          <w:tcPr>
            <w:tcW w:w="287" w:type="pct"/>
            <w:vMerge w:val="restart"/>
            <w:tcBorders>
              <w:tl2br w:val="nil"/>
              <w:tr2bl w:val="nil"/>
            </w:tcBorders>
            <w:tcMar>
              <w:top w:w="50" w:type="dxa"/>
              <w:left w:w="50" w:type="dxa"/>
              <w:bottom w:w="50" w:type="dxa"/>
              <w:right w:w="50" w:type="dxa"/>
            </w:tcMar>
            <w:vAlign w:val="center"/>
          </w:tcPr>
          <w:p w14:paraId="2A128589">
            <w:pPr>
              <w:pStyle w:val="59"/>
              <w:rPr>
                <w:rFonts w:cs="Times New Roman"/>
              </w:rPr>
            </w:pPr>
            <w:r>
              <w:rPr>
                <w:rFonts w:hint="eastAsia" w:cs="Times New Roman"/>
              </w:rPr>
              <w:t>康定市+泸定县+九龙县+乡城县+稻城县+得荣县+丹巴县+道孚县+炉霍县+甘孜县+新龙县+德格县+白玉县+石渠县+色达县+雅江县+理塘县+巴塘县</w:t>
            </w:r>
          </w:p>
        </w:tc>
        <w:tc>
          <w:tcPr>
            <w:tcW w:w="351" w:type="pct"/>
            <w:vMerge w:val="restart"/>
            <w:tcBorders>
              <w:tl2br w:val="nil"/>
              <w:tr2bl w:val="nil"/>
            </w:tcBorders>
            <w:tcMar>
              <w:top w:w="50" w:type="dxa"/>
              <w:left w:w="50" w:type="dxa"/>
              <w:bottom w:w="50" w:type="dxa"/>
              <w:right w:w="50" w:type="dxa"/>
            </w:tcMar>
            <w:vAlign w:val="center"/>
          </w:tcPr>
          <w:p w14:paraId="23999730">
            <w:pPr>
              <w:pStyle w:val="59"/>
              <w:rPr>
                <w:rFonts w:cs="Times New Roman"/>
              </w:rPr>
            </w:pPr>
            <w:r>
              <w:rPr>
                <w:rFonts w:hint="eastAsia" w:cs="Times New Roman"/>
              </w:rPr>
              <w:t>康定市+泸定县+九龙县+乡城县+稻城县+得荣县+丹巴县+道孚县+炉霍县+甘孜县+新龙县+德格县+白玉县+石渠县+色达县+雅江县+理塘县+巴塘县</w:t>
            </w:r>
          </w:p>
        </w:tc>
        <w:tc>
          <w:tcPr>
            <w:tcW w:w="255" w:type="pct"/>
            <w:vMerge w:val="restart"/>
            <w:tcBorders>
              <w:tl2br w:val="nil"/>
              <w:tr2bl w:val="nil"/>
            </w:tcBorders>
            <w:tcMar>
              <w:top w:w="50" w:type="dxa"/>
              <w:left w:w="50" w:type="dxa"/>
              <w:bottom w:w="50" w:type="dxa"/>
              <w:right w:w="50" w:type="dxa"/>
            </w:tcMar>
            <w:vAlign w:val="center"/>
          </w:tcPr>
          <w:p w14:paraId="5649CBAD">
            <w:pPr>
              <w:pStyle w:val="84"/>
            </w:pPr>
            <w:r>
              <w:rPr>
                <w:rFonts w:hint="eastAsia"/>
              </w:rPr>
              <w:t>空间布局约束</w:t>
            </w:r>
          </w:p>
        </w:tc>
        <w:tc>
          <w:tcPr>
            <w:tcW w:w="2408" w:type="pct"/>
            <w:tcBorders>
              <w:tl2br w:val="nil"/>
              <w:tr2bl w:val="nil"/>
            </w:tcBorders>
            <w:tcMar>
              <w:top w:w="50" w:type="dxa"/>
              <w:left w:w="50" w:type="dxa"/>
              <w:bottom w:w="50" w:type="dxa"/>
              <w:right w:w="50" w:type="dxa"/>
            </w:tcMar>
            <w:vAlign w:val="center"/>
          </w:tcPr>
          <w:p w14:paraId="68179160">
            <w:pPr>
              <w:pStyle w:val="84"/>
              <w:jc w:val="both"/>
            </w:pPr>
            <w:r>
              <w:rPr>
                <w:rFonts w:hint="eastAsia"/>
              </w:rPr>
              <w:t>【限制开发建设活动的要求】</w:t>
            </w:r>
          </w:p>
          <w:p w14:paraId="6B30EE6F">
            <w:pPr>
              <w:pStyle w:val="84"/>
              <w:jc w:val="both"/>
            </w:pPr>
            <w:r>
              <w:rPr>
                <w:rFonts w:hint="eastAsia"/>
              </w:rPr>
              <w:t>（1）合理控制开发活动和生态旅游规模，保障长江及黄河上游生态安全和生态屏障、生物多样性和水源涵养生态功能；</w:t>
            </w:r>
          </w:p>
          <w:p w14:paraId="4F37FB01">
            <w:pPr>
              <w:pStyle w:val="84"/>
              <w:jc w:val="both"/>
            </w:pPr>
            <w:r>
              <w:rPr>
                <w:rFonts w:hint="eastAsia"/>
              </w:rPr>
              <w:t>（2）合理控制畜牧业发展规模，破坏天然草地的建设活动须执行倍量补偿。</w:t>
            </w:r>
          </w:p>
        </w:tc>
        <w:tc>
          <w:tcPr>
            <w:tcW w:w="1275" w:type="pct"/>
            <w:tcBorders>
              <w:tl2br w:val="nil"/>
              <w:tr2bl w:val="nil"/>
            </w:tcBorders>
            <w:tcMar>
              <w:top w:w="50" w:type="dxa"/>
              <w:left w:w="50" w:type="dxa"/>
              <w:bottom w:w="50" w:type="dxa"/>
              <w:right w:w="50" w:type="dxa"/>
            </w:tcMar>
            <w:vAlign w:val="center"/>
          </w:tcPr>
          <w:p w14:paraId="31A537BF">
            <w:pPr>
              <w:pStyle w:val="84"/>
              <w:jc w:val="both"/>
            </w:pPr>
            <w:r>
              <w:rPr>
                <w:rFonts w:hint="eastAsia"/>
              </w:rPr>
              <w:t>本项目为防洪除涝项目，不属于开发活动、旅游项目、禽畜养殖项目。</w:t>
            </w:r>
          </w:p>
        </w:tc>
        <w:tc>
          <w:tcPr>
            <w:tcW w:w="230" w:type="pct"/>
            <w:tcBorders>
              <w:tl2br w:val="nil"/>
              <w:tr2bl w:val="nil"/>
            </w:tcBorders>
            <w:tcMar>
              <w:top w:w="50" w:type="dxa"/>
              <w:left w:w="50" w:type="dxa"/>
              <w:bottom w:w="50" w:type="dxa"/>
              <w:right w:w="50" w:type="dxa"/>
            </w:tcMar>
            <w:vAlign w:val="center"/>
          </w:tcPr>
          <w:p w14:paraId="2A5860D2">
            <w:pPr>
              <w:pStyle w:val="84"/>
            </w:pPr>
            <w:r>
              <w:rPr>
                <w:rFonts w:hint="eastAsia"/>
              </w:rPr>
              <w:t>符合</w:t>
            </w:r>
          </w:p>
        </w:tc>
      </w:tr>
      <w:tr w14:paraId="5AC51E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192" w:type="pct"/>
            <w:vMerge w:val="continue"/>
            <w:tcBorders>
              <w:tl2br w:val="nil"/>
              <w:tr2bl w:val="nil"/>
            </w:tcBorders>
            <w:tcMar>
              <w:top w:w="50" w:type="dxa"/>
              <w:left w:w="50" w:type="dxa"/>
              <w:bottom w:w="50" w:type="dxa"/>
              <w:right w:w="50" w:type="dxa"/>
            </w:tcMar>
            <w:vAlign w:val="center"/>
          </w:tcPr>
          <w:p w14:paraId="2B1F7EBC">
            <w:pPr>
              <w:pStyle w:val="84"/>
            </w:pPr>
          </w:p>
        </w:tc>
        <w:tc>
          <w:tcPr>
            <w:tcW w:w="287" w:type="pct"/>
            <w:vMerge w:val="continue"/>
            <w:tcBorders>
              <w:tl2br w:val="nil"/>
              <w:tr2bl w:val="nil"/>
            </w:tcBorders>
            <w:tcMar>
              <w:top w:w="50" w:type="dxa"/>
              <w:left w:w="50" w:type="dxa"/>
              <w:bottom w:w="50" w:type="dxa"/>
              <w:right w:w="50" w:type="dxa"/>
            </w:tcMar>
            <w:vAlign w:val="center"/>
          </w:tcPr>
          <w:p w14:paraId="724DAC37">
            <w:pPr>
              <w:pStyle w:val="84"/>
            </w:pPr>
          </w:p>
        </w:tc>
        <w:tc>
          <w:tcPr>
            <w:tcW w:w="351" w:type="pct"/>
            <w:vMerge w:val="continue"/>
            <w:tcBorders>
              <w:tl2br w:val="nil"/>
              <w:tr2bl w:val="nil"/>
            </w:tcBorders>
            <w:tcMar>
              <w:top w:w="50" w:type="dxa"/>
              <w:left w:w="50" w:type="dxa"/>
              <w:bottom w:w="50" w:type="dxa"/>
              <w:right w:w="50" w:type="dxa"/>
            </w:tcMar>
            <w:vAlign w:val="center"/>
          </w:tcPr>
          <w:p w14:paraId="28D4A37B">
            <w:pPr>
              <w:pStyle w:val="84"/>
            </w:pPr>
          </w:p>
        </w:tc>
        <w:tc>
          <w:tcPr>
            <w:tcW w:w="255" w:type="pct"/>
            <w:vMerge w:val="continue"/>
            <w:tcBorders>
              <w:tl2br w:val="nil"/>
              <w:tr2bl w:val="nil"/>
            </w:tcBorders>
            <w:tcMar>
              <w:top w:w="50" w:type="dxa"/>
              <w:left w:w="50" w:type="dxa"/>
              <w:bottom w:w="50" w:type="dxa"/>
              <w:right w:w="50" w:type="dxa"/>
            </w:tcMar>
            <w:vAlign w:val="center"/>
          </w:tcPr>
          <w:p w14:paraId="009075F0">
            <w:pPr>
              <w:pStyle w:val="84"/>
            </w:pPr>
          </w:p>
        </w:tc>
        <w:tc>
          <w:tcPr>
            <w:tcW w:w="2408" w:type="pct"/>
            <w:tcBorders>
              <w:tl2br w:val="nil"/>
              <w:tr2bl w:val="nil"/>
            </w:tcBorders>
            <w:tcMar>
              <w:top w:w="50" w:type="dxa"/>
              <w:left w:w="50" w:type="dxa"/>
              <w:bottom w:w="50" w:type="dxa"/>
              <w:right w:w="50" w:type="dxa"/>
            </w:tcMar>
            <w:vAlign w:val="center"/>
          </w:tcPr>
          <w:p w14:paraId="410919E8">
            <w:pPr>
              <w:pStyle w:val="84"/>
              <w:jc w:val="both"/>
            </w:pPr>
            <w:r>
              <w:rPr>
                <w:rFonts w:hint="eastAsia"/>
              </w:rPr>
              <w:t>【其他空间布局约束要求】</w:t>
            </w:r>
          </w:p>
          <w:p w14:paraId="1533A916">
            <w:pPr>
              <w:pStyle w:val="84"/>
              <w:jc w:val="both"/>
            </w:pPr>
            <w:r>
              <w:rPr>
                <w:rFonts w:hint="eastAsia"/>
              </w:rPr>
              <w:t>（1）锂等矿产、清洁能源、生态旅游等重点行业应参考对应甘孜州“三线一单”生态环境分区管控中矿产、清洁能源、生态旅游行业资源环境绩效准入门槛；</w:t>
            </w:r>
          </w:p>
          <w:p w14:paraId="79EA5AB9">
            <w:pPr>
              <w:pStyle w:val="84"/>
              <w:jc w:val="both"/>
            </w:pPr>
            <w:r>
              <w:rPr>
                <w:rFonts w:hint="eastAsia"/>
              </w:rPr>
              <w:t>（2）加强矿山生态修复和污染防治、加大川藏铁路建设用地规范化处置和生态环境修复；</w:t>
            </w:r>
          </w:p>
          <w:p w14:paraId="2EA77214">
            <w:pPr>
              <w:pStyle w:val="84"/>
              <w:jc w:val="both"/>
            </w:pPr>
            <w:r>
              <w:rPr>
                <w:rFonts w:hint="eastAsia"/>
              </w:rPr>
              <w:t>（3）加快小水电清理整顿，加强流域生态修复；</w:t>
            </w:r>
          </w:p>
          <w:p w14:paraId="68D0414E">
            <w:pPr>
              <w:pStyle w:val="84"/>
              <w:jc w:val="both"/>
            </w:pPr>
            <w:r>
              <w:rPr>
                <w:rFonts w:hint="eastAsia"/>
              </w:rPr>
              <w:t>（4）以构建“两江一河”生态防护和防治体系为目标，加强地质环境恢复治理和地质灾害防治、草原退化生态系统恢复。</w:t>
            </w:r>
          </w:p>
        </w:tc>
        <w:tc>
          <w:tcPr>
            <w:tcW w:w="1275" w:type="pct"/>
            <w:tcBorders>
              <w:tl2br w:val="nil"/>
              <w:tr2bl w:val="nil"/>
            </w:tcBorders>
            <w:tcMar>
              <w:top w:w="50" w:type="dxa"/>
              <w:left w:w="50" w:type="dxa"/>
              <w:bottom w:w="50" w:type="dxa"/>
              <w:right w:w="50" w:type="dxa"/>
            </w:tcMar>
            <w:vAlign w:val="center"/>
          </w:tcPr>
          <w:p w14:paraId="18663796">
            <w:pPr>
              <w:pStyle w:val="84"/>
              <w:jc w:val="both"/>
            </w:pPr>
            <w:r>
              <w:rPr>
                <w:rFonts w:hint="eastAsia"/>
              </w:rPr>
              <w:t>本项目为防洪除涝项目，不属于采矿、旅游、铁路、水电项目，为河段综合治理。</w:t>
            </w:r>
          </w:p>
        </w:tc>
        <w:tc>
          <w:tcPr>
            <w:tcW w:w="230" w:type="pct"/>
            <w:tcBorders>
              <w:tl2br w:val="nil"/>
              <w:tr2bl w:val="nil"/>
            </w:tcBorders>
            <w:tcMar>
              <w:top w:w="50" w:type="dxa"/>
              <w:left w:w="50" w:type="dxa"/>
              <w:bottom w:w="50" w:type="dxa"/>
              <w:right w:w="50" w:type="dxa"/>
            </w:tcMar>
            <w:vAlign w:val="center"/>
          </w:tcPr>
          <w:p w14:paraId="246F3EB3">
            <w:pPr>
              <w:pStyle w:val="84"/>
            </w:pPr>
            <w:r>
              <w:rPr>
                <w:rFonts w:hint="eastAsia"/>
              </w:rPr>
              <w:t>符合</w:t>
            </w:r>
          </w:p>
        </w:tc>
      </w:tr>
      <w:tr w14:paraId="4C5E37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192" w:type="pct"/>
            <w:vMerge w:val="continue"/>
            <w:tcBorders>
              <w:tl2br w:val="nil"/>
              <w:tr2bl w:val="nil"/>
            </w:tcBorders>
            <w:tcMar>
              <w:top w:w="50" w:type="dxa"/>
              <w:left w:w="50" w:type="dxa"/>
              <w:bottom w:w="50" w:type="dxa"/>
              <w:right w:w="50" w:type="dxa"/>
            </w:tcMar>
            <w:vAlign w:val="center"/>
          </w:tcPr>
          <w:p w14:paraId="5726C3E2">
            <w:pPr>
              <w:pStyle w:val="84"/>
            </w:pPr>
          </w:p>
        </w:tc>
        <w:tc>
          <w:tcPr>
            <w:tcW w:w="287" w:type="pct"/>
            <w:vMerge w:val="continue"/>
            <w:tcBorders>
              <w:tl2br w:val="nil"/>
              <w:tr2bl w:val="nil"/>
            </w:tcBorders>
            <w:tcMar>
              <w:top w:w="50" w:type="dxa"/>
              <w:left w:w="50" w:type="dxa"/>
              <w:bottom w:w="50" w:type="dxa"/>
              <w:right w:w="50" w:type="dxa"/>
            </w:tcMar>
            <w:vAlign w:val="center"/>
          </w:tcPr>
          <w:p w14:paraId="0535A340">
            <w:pPr>
              <w:pStyle w:val="84"/>
            </w:pPr>
          </w:p>
        </w:tc>
        <w:tc>
          <w:tcPr>
            <w:tcW w:w="351" w:type="pct"/>
            <w:vMerge w:val="continue"/>
            <w:tcBorders>
              <w:tl2br w:val="nil"/>
              <w:tr2bl w:val="nil"/>
            </w:tcBorders>
            <w:tcMar>
              <w:top w:w="50" w:type="dxa"/>
              <w:left w:w="50" w:type="dxa"/>
              <w:bottom w:w="50" w:type="dxa"/>
              <w:right w:w="50" w:type="dxa"/>
            </w:tcMar>
            <w:vAlign w:val="center"/>
          </w:tcPr>
          <w:p w14:paraId="75C4822C">
            <w:pPr>
              <w:pStyle w:val="84"/>
            </w:pPr>
          </w:p>
        </w:tc>
        <w:tc>
          <w:tcPr>
            <w:tcW w:w="255" w:type="pct"/>
            <w:tcBorders>
              <w:tl2br w:val="nil"/>
              <w:tr2bl w:val="nil"/>
            </w:tcBorders>
            <w:tcMar>
              <w:top w:w="50" w:type="dxa"/>
              <w:left w:w="50" w:type="dxa"/>
              <w:bottom w:w="50" w:type="dxa"/>
              <w:right w:w="50" w:type="dxa"/>
            </w:tcMar>
            <w:vAlign w:val="center"/>
          </w:tcPr>
          <w:p w14:paraId="0EC2CD78">
            <w:pPr>
              <w:pStyle w:val="84"/>
            </w:pPr>
            <w:r>
              <w:rPr>
                <w:rFonts w:hint="eastAsia"/>
              </w:rPr>
              <w:t>污染物排放管控</w:t>
            </w:r>
          </w:p>
        </w:tc>
        <w:tc>
          <w:tcPr>
            <w:tcW w:w="2408" w:type="pct"/>
            <w:tcBorders>
              <w:tl2br w:val="nil"/>
              <w:tr2bl w:val="nil"/>
            </w:tcBorders>
            <w:tcMar>
              <w:top w:w="50" w:type="dxa"/>
              <w:left w:w="50" w:type="dxa"/>
              <w:bottom w:w="50" w:type="dxa"/>
              <w:right w:w="50" w:type="dxa"/>
            </w:tcMar>
            <w:vAlign w:val="center"/>
          </w:tcPr>
          <w:p w14:paraId="62513541">
            <w:pPr>
              <w:pStyle w:val="59"/>
              <w:rPr>
                <w:rFonts w:cs="Times New Roman"/>
              </w:rPr>
            </w:pPr>
            <w:r>
              <w:rPr>
                <w:rFonts w:cs="Times New Roman"/>
              </w:rPr>
              <w:t>/</w:t>
            </w:r>
          </w:p>
        </w:tc>
        <w:tc>
          <w:tcPr>
            <w:tcW w:w="1275" w:type="pct"/>
            <w:tcBorders>
              <w:tl2br w:val="nil"/>
              <w:tr2bl w:val="nil"/>
            </w:tcBorders>
            <w:tcMar>
              <w:top w:w="50" w:type="dxa"/>
              <w:left w:w="50" w:type="dxa"/>
              <w:bottom w:w="50" w:type="dxa"/>
              <w:right w:w="50" w:type="dxa"/>
            </w:tcMar>
            <w:vAlign w:val="center"/>
          </w:tcPr>
          <w:p w14:paraId="6074F573">
            <w:pPr>
              <w:pStyle w:val="59"/>
              <w:rPr>
                <w:rFonts w:cs="Times New Roman"/>
              </w:rPr>
            </w:pPr>
            <w:r>
              <w:rPr>
                <w:rFonts w:cs="Times New Roman"/>
              </w:rPr>
              <w:t>/</w:t>
            </w:r>
          </w:p>
        </w:tc>
        <w:tc>
          <w:tcPr>
            <w:tcW w:w="230" w:type="pct"/>
            <w:tcBorders>
              <w:tl2br w:val="nil"/>
              <w:tr2bl w:val="nil"/>
            </w:tcBorders>
            <w:tcMar>
              <w:top w:w="50" w:type="dxa"/>
              <w:left w:w="50" w:type="dxa"/>
              <w:bottom w:w="50" w:type="dxa"/>
              <w:right w:w="50" w:type="dxa"/>
            </w:tcMar>
            <w:vAlign w:val="center"/>
          </w:tcPr>
          <w:p w14:paraId="01F919C4">
            <w:pPr>
              <w:pStyle w:val="59"/>
              <w:rPr>
                <w:rFonts w:cs="Times New Roman"/>
              </w:rPr>
            </w:pPr>
            <w:r>
              <w:rPr>
                <w:rFonts w:cs="Times New Roman"/>
              </w:rPr>
              <w:t>/</w:t>
            </w:r>
          </w:p>
        </w:tc>
      </w:tr>
      <w:tr w14:paraId="0B7D74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192" w:type="pct"/>
            <w:vMerge w:val="continue"/>
            <w:tcBorders>
              <w:tl2br w:val="nil"/>
              <w:tr2bl w:val="nil"/>
            </w:tcBorders>
            <w:tcMar>
              <w:top w:w="50" w:type="dxa"/>
              <w:left w:w="50" w:type="dxa"/>
              <w:bottom w:w="50" w:type="dxa"/>
              <w:right w:w="50" w:type="dxa"/>
            </w:tcMar>
            <w:vAlign w:val="center"/>
          </w:tcPr>
          <w:p w14:paraId="55895456">
            <w:pPr>
              <w:pStyle w:val="84"/>
            </w:pPr>
          </w:p>
        </w:tc>
        <w:tc>
          <w:tcPr>
            <w:tcW w:w="287" w:type="pct"/>
            <w:vMerge w:val="continue"/>
            <w:tcBorders>
              <w:tl2br w:val="nil"/>
              <w:tr2bl w:val="nil"/>
            </w:tcBorders>
            <w:tcMar>
              <w:top w:w="50" w:type="dxa"/>
              <w:left w:w="50" w:type="dxa"/>
              <w:bottom w:w="50" w:type="dxa"/>
              <w:right w:w="50" w:type="dxa"/>
            </w:tcMar>
            <w:vAlign w:val="center"/>
          </w:tcPr>
          <w:p w14:paraId="10755C35">
            <w:pPr>
              <w:pStyle w:val="84"/>
            </w:pPr>
          </w:p>
        </w:tc>
        <w:tc>
          <w:tcPr>
            <w:tcW w:w="351" w:type="pct"/>
            <w:vMerge w:val="continue"/>
            <w:tcBorders>
              <w:tl2br w:val="nil"/>
              <w:tr2bl w:val="nil"/>
            </w:tcBorders>
            <w:tcMar>
              <w:top w:w="50" w:type="dxa"/>
              <w:left w:w="50" w:type="dxa"/>
              <w:bottom w:w="50" w:type="dxa"/>
              <w:right w:w="50" w:type="dxa"/>
            </w:tcMar>
            <w:vAlign w:val="center"/>
          </w:tcPr>
          <w:p w14:paraId="015F257D">
            <w:pPr>
              <w:pStyle w:val="84"/>
            </w:pPr>
          </w:p>
        </w:tc>
        <w:tc>
          <w:tcPr>
            <w:tcW w:w="255" w:type="pct"/>
            <w:tcBorders>
              <w:tl2br w:val="nil"/>
              <w:tr2bl w:val="nil"/>
            </w:tcBorders>
            <w:tcMar>
              <w:top w:w="50" w:type="dxa"/>
              <w:left w:w="50" w:type="dxa"/>
              <w:bottom w:w="50" w:type="dxa"/>
              <w:right w:w="50" w:type="dxa"/>
            </w:tcMar>
            <w:vAlign w:val="center"/>
          </w:tcPr>
          <w:p w14:paraId="3A2DE3C8">
            <w:pPr>
              <w:pStyle w:val="84"/>
            </w:pPr>
            <w:r>
              <w:rPr>
                <w:rFonts w:hint="eastAsia"/>
              </w:rPr>
              <w:t>环境风险防控</w:t>
            </w:r>
          </w:p>
        </w:tc>
        <w:tc>
          <w:tcPr>
            <w:tcW w:w="2408" w:type="pct"/>
            <w:tcBorders>
              <w:tl2br w:val="nil"/>
              <w:tr2bl w:val="nil"/>
            </w:tcBorders>
            <w:tcMar>
              <w:top w:w="50" w:type="dxa"/>
              <w:left w:w="50" w:type="dxa"/>
              <w:bottom w:w="50" w:type="dxa"/>
              <w:right w:w="50" w:type="dxa"/>
            </w:tcMar>
            <w:vAlign w:val="center"/>
          </w:tcPr>
          <w:p w14:paraId="0D88526B">
            <w:pPr>
              <w:pStyle w:val="59"/>
              <w:rPr>
                <w:rFonts w:cs="Times New Roman"/>
              </w:rPr>
            </w:pPr>
            <w:r>
              <w:rPr>
                <w:rFonts w:cs="Times New Roman"/>
              </w:rPr>
              <w:t>/</w:t>
            </w:r>
          </w:p>
        </w:tc>
        <w:tc>
          <w:tcPr>
            <w:tcW w:w="1275" w:type="pct"/>
            <w:tcBorders>
              <w:tl2br w:val="nil"/>
              <w:tr2bl w:val="nil"/>
            </w:tcBorders>
            <w:tcMar>
              <w:top w:w="50" w:type="dxa"/>
              <w:left w:w="50" w:type="dxa"/>
              <w:bottom w:w="50" w:type="dxa"/>
              <w:right w:w="50" w:type="dxa"/>
            </w:tcMar>
            <w:vAlign w:val="center"/>
          </w:tcPr>
          <w:p w14:paraId="41CE7AE2">
            <w:pPr>
              <w:pStyle w:val="59"/>
              <w:rPr>
                <w:rFonts w:cs="Times New Roman"/>
              </w:rPr>
            </w:pPr>
            <w:r>
              <w:rPr>
                <w:rFonts w:cs="Times New Roman"/>
              </w:rPr>
              <w:t>/</w:t>
            </w:r>
          </w:p>
        </w:tc>
        <w:tc>
          <w:tcPr>
            <w:tcW w:w="230" w:type="pct"/>
            <w:tcBorders>
              <w:tl2br w:val="nil"/>
              <w:tr2bl w:val="nil"/>
            </w:tcBorders>
            <w:tcMar>
              <w:top w:w="50" w:type="dxa"/>
              <w:left w:w="50" w:type="dxa"/>
              <w:bottom w:w="50" w:type="dxa"/>
              <w:right w:w="50" w:type="dxa"/>
            </w:tcMar>
            <w:vAlign w:val="center"/>
          </w:tcPr>
          <w:p w14:paraId="294D09CB">
            <w:pPr>
              <w:pStyle w:val="59"/>
              <w:rPr>
                <w:rFonts w:cs="Times New Roman"/>
              </w:rPr>
            </w:pPr>
            <w:r>
              <w:rPr>
                <w:rFonts w:cs="Times New Roman"/>
              </w:rPr>
              <w:t>/</w:t>
            </w:r>
          </w:p>
        </w:tc>
      </w:tr>
      <w:tr w14:paraId="5A06AE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192" w:type="pct"/>
            <w:vMerge w:val="continue"/>
            <w:tcBorders>
              <w:tl2br w:val="nil"/>
              <w:tr2bl w:val="nil"/>
            </w:tcBorders>
            <w:tcMar>
              <w:top w:w="50" w:type="dxa"/>
              <w:left w:w="50" w:type="dxa"/>
              <w:bottom w:w="50" w:type="dxa"/>
              <w:right w:w="50" w:type="dxa"/>
            </w:tcMar>
            <w:vAlign w:val="center"/>
          </w:tcPr>
          <w:p w14:paraId="66EA7450">
            <w:pPr>
              <w:pStyle w:val="84"/>
            </w:pPr>
          </w:p>
        </w:tc>
        <w:tc>
          <w:tcPr>
            <w:tcW w:w="287" w:type="pct"/>
            <w:vMerge w:val="continue"/>
            <w:tcBorders>
              <w:tl2br w:val="nil"/>
              <w:tr2bl w:val="nil"/>
            </w:tcBorders>
            <w:tcMar>
              <w:top w:w="50" w:type="dxa"/>
              <w:left w:w="50" w:type="dxa"/>
              <w:bottom w:w="50" w:type="dxa"/>
              <w:right w:w="50" w:type="dxa"/>
            </w:tcMar>
            <w:vAlign w:val="center"/>
          </w:tcPr>
          <w:p w14:paraId="4B7D14E7">
            <w:pPr>
              <w:pStyle w:val="84"/>
            </w:pPr>
          </w:p>
        </w:tc>
        <w:tc>
          <w:tcPr>
            <w:tcW w:w="351" w:type="pct"/>
            <w:vMerge w:val="continue"/>
            <w:tcBorders>
              <w:tl2br w:val="nil"/>
              <w:tr2bl w:val="nil"/>
            </w:tcBorders>
            <w:tcMar>
              <w:top w:w="50" w:type="dxa"/>
              <w:left w:w="50" w:type="dxa"/>
              <w:bottom w:w="50" w:type="dxa"/>
              <w:right w:w="50" w:type="dxa"/>
            </w:tcMar>
            <w:vAlign w:val="center"/>
          </w:tcPr>
          <w:p w14:paraId="1897B4B7">
            <w:pPr>
              <w:pStyle w:val="84"/>
            </w:pPr>
          </w:p>
        </w:tc>
        <w:tc>
          <w:tcPr>
            <w:tcW w:w="255" w:type="pct"/>
            <w:tcBorders>
              <w:tl2br w:val="nil"/>
              <w:tr2bl w:val="nil"/>
            </w:tcBorders>
            <w:tcMar>
              <w:top w:w="50" w:type="dxa"/>
              <w:left w:w="50" w:type="dxa"/>
              <w:bottom w:w="50" w:type="dxa"/>
              <w:right w:w="50" w:type="dxa"/>
            </w:tcMar>
            <w:vAlign w:val="center"/>
          </w:tcPr>
          <w:p w14:paraId="0EFC9F4F">
            <w:pPr>
              <w:pStyle w:val="84"/>
            </w:pPr>
            <w:r>
              <w:rPr>
                <w:rFonts w:hint="eastAsia"/>
              </w:rPr>
              <w:t>资源开发利用效率要求</w:t>
            </w:r>
          </w:p>
        </w:tc>
        <w:tc>
          <w:tcPr>
            <w:tcW w:w="2408" w:type="pct"/>
            <w:tcBorders>
              <w:tl2br w:val="nil"/>
              <w:tr2bl w:val="nil"/>
            </w:tcBorders>
            <w:tcMar>
              <w:top w:w="50" w:type="dxa"/>
              <w:left w:w="50" w:type="dxa"/>
              <w:bottom w:w="50" w:type="dxa"/>
              <w:right w:w="50" w:type="dxa"/>
            </w:tcMar>
            <w:vAlign w:val="center"/>
          </w:tcPr>
          <w:p w14:paraId="0C78507A">
            <w:pPr>
              <w:pStyle w:val="59"/>
              <w:rPr>
                <w:rFonts w:cs="Times New Roman"/>
              </w:rPr>
            </w:pPr>
            <w:r>
              <w:rPr>
                <w:rFonts w:cs="Times New Roman"/>
              </w:rPr>
              <w:t>/</w:t>
            </w:r>
          </w:p>
        </w:tc>
        <w:tc>
          <w:tcPr>
            <w:tcW w:w="1275" w:type="pct"/>
            <w:tcBorders>
              <w:tl2br w:val="nil"/>
              <w:tr2bl w:val="nil"/>
            </w:tcBorders>
            <w:tcMar>
              <w:top w:w="50" w:type="dxa"/>
              <w:left w:w="50" w:type="dxa"/>
              <w:bottom w:w="50" w:type="dxa"/>
              <w:right w:w="50" w:type="dxa"/>
            </w:tcMar>
            <w:vAlign w:val="center"/>
          </w:tcPr>
          <w:p w14:paraId="7EB40353">
            <w:pPr>
              <w:pStyle w:val="59"/>
              <w:rPr>
                <w:rFonts w:cs="Times New Roman"/>
              </w:rPr>
            </w:pPr>
            <w:r>
              <w:rPr>
                <w:rFonts w:cs="Times New Roman"/>
              </w:rPr>
              <w:t>/</w:t>
            </w:r>
          </w:p>
        </w:tc>
        <w:tc>
          <w:tcPr>
            <w:tcW w:w="230" w:type="pct"/>
            <w:tcBorders>
              <w:tl2br w:val="nil"/>
              <w:tr2bl w:val="nil"/>
            </w:tcBorders>
            <w:tcMar>
              <w:top w:w="50" w:type="dxa"/>
              <w:left w:w="50" w:type="dxa"/>
              <w:bottom w:w="50" w:type="dxa"/>
              <w:right w:w="50" w:type="dxa"/>
            </w:tcMar>
            <w:vAlign w:val="center"/>
          </w:tcPr>
          <w:p w14:paraId="5AF09165">
            <w:pPr>
              <w:pStyle w:val="59"/>
              <w:rPr>
                <w:rFonts w:cs="Times New Roman"/>
              </w:rPr>
            </w:pPr>
            <w:r>
              <w:rPr>
                <w:rFonts w:cs="Times New Roman"/>
              </w:rPr>
              <w:t>/</w:t>
            </w:r>
          </w:p>
        </w:tc>
      </w:tr>
      <w:tr w14:paraId="2F4770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192" w:type="pct"/>
            <w:vMerge w:val="restart"/>
            <w:tcBorders>
              <w:tl2br w:val="nil"/>
              <w:tr2bl w:val="nil"/>
            </w:tcBorders>
            <w:tcMar>
              <w:top w:w="50" w:type="dxa"/>
              <w:left w:w="50" w:type="dxa"/>
              <w:bottom w:w="50" w:type="dxa"/>
              <w:right w:w="50" w:type="dxa"/>
            </w:tcMar>
            <w:vAlign w:val="center"/>
          </w:tcPr>
          <w:p w14:paraId="4D604F8B">
            <w:pPr>
              <w:pStyle w:val="59"/>
              <w:rPr>
                <w:rFonts w:cs="Times New Roman"/>
              </w:rPr>
            </w:pPr>
            <w:r>
              <w:rPr>
                <w:rFonts w:hint="eastAsia" w:cs="Times New Roman"/>
              </w:rPr>
              <w:t>甘孜藏族自治州（一般管控单元）</w:t>
            </w:r>
          </w:p>
        </w:tc>
        <w:tc>
          <w:tcPr>
            <w:tcW w:w="287" w:type="pct"/>
            <w:vMerge w:val="restart"/>
            <w:tcBorders>
              <w:tl2br w:val="nil"/>
              <w:tr2bl w:val="nil"/>
            </w:tcBorders>
            <w:tcMar>
              <w:top w:w="50" w:type="dxa"/>
              <w:left w:w="50" w:type="dxa"/>
              <w:bottom w:w="50" w:type="dxa"/>
              <w:right w:w="50" w:type="dxa"/>
            </w:tcMar>
            <w:vAlign w:val="center"/>
          </w:tcPr>
          <w:p w14:paraId="02D85D71">
            <w:pPr>
              <w:pStyle w:val="59"/>
              <w:rPr>
                <w:rFonts w:cs="Times New Roman"/>
              </w:rPr>
            </w:pPr>
            <w:r>
              <w:rPr>
                <w:rFonts w:hint="eastAsia" w:cs="Times New Roman"/>
              </w:rPr>
              <w:t>泸定县+白玉县+丹巴县+道孚县+炉霍县+石渠县+得荣县+稻城县+乡城县+巴塘县+理塘县+九龙县+雅江县+康定市+甘孜县+新龙县+德格县+色达县</w:t>
            </w:r>
          </w:p>
        </w:tc>
        <w:tc>
          <w:tcPr>
            <w:tcW w:w="351" w:type="pct"/>
            <w:vMerge w:val="restart"/>
            <w:tcBorders>
              <w:tl2br w:val="nil"/>
              <w:tr2bl w:val="nil"/>
            </w:tcBorders>
            <w:tcMar>
              <w:top w:w="50" w:type="dxa"/>
              <w:left w:w="50" w:type="dxa"/>
              <w:bottom w:w="50" w:type="dxa"/>
              <w:right w:w="50" w:type="dxa"/>
            </w:tcMar>
            <w:vAlign w:val="center"/>
          </w:tcPr>
          <w:p w14:paraId="418578A4">
            <w:pPr>
              <w:pStyle w:val="59"/>
              <w:rPr>
                <w:rFonts w:cs="Times New Roman"/>
              </w:rPr>
            </w:pPr>
            <w:r>
              <w:rPr>
                <w:rFonts w:hint="eastAsia" w:cs="Times New Roman"/>
              </w:rPr>
              <w:t>泸定县+白玉县+丹巴县+道孚县+炉霍县+石渠县+得荣县+稻城县+乡城县+巴塘县+理塘县+九龙县+雅江县+康定市+甘孜县+新龙县+德格县+色达县</w:t>
            </w:r>
          </w:p>
        </w:tc>
        <w:tc>
          <w:tcPr>
            <w:tcW w:w="255" w:type="pct"/>
            <w:vMerge w:val="restart"/>
            <w:tcBorders>
              <w:tl2br w:val="nil"/>
              <w:tr2bl w:val="nil"/>
            </w:tcBorders>
            <w:tcMar>
              <w:top w:w="50" w:type="dxa"/>
              <w:left w:w="50" w:type="dxa"/>
              <w:bottom w:w="50" w:type="dxa"/>
              <w:right w:w="50" w:type="dxa"/>
            </w:tcMar>
            <w:vAlign w:val="center"/>
          </w:tcPr>
          <w:p w14:paraId="3871F516">
            <w:pPr>
              <w:pStyle w:val="84"/>
            </w:pPr>
            <w:r>
              <w:rPr>
                <w:rFonts w:hint="eastAsia"/>
              </w:rPr>
              <w:t>空间布局约束</w:t>
            </w:r>
          </w:p>
        </w:tc>
        <w:tc>
          <w:tcPr>
            <w:tcW w:w="2408" w:type="pct"/>
            <w:tcBorders>
              <w:tl2br w:val="nil"/>
              <w:tr2bl w:val="nil"/>
            </w:tcBorders>
            <w:tcMar>
              <w:top w:w="50" w:type="dxa"/>
              <w:left w:w="50" w:type="dxa"/>
              <w:bottom w:w="50" w:type="dxa"/>
              <w:right w:w="50" w:type="dxa"/>
            </w:tcMar>
            <w:vAlign w:val="center"/>
          </w:tcPr>
          <w:p w14:paraId="06D41EBE">
            <w:pPr>
              <w:pStyle w:val="84"/>
              <w:jc w:val="both"/>
            </w:pPr>
            <w:r>
              <w:rPr>
                <w:rFonts w:hint="eastAsia"/>
              </w:rPr>
              <w:t>【禁止开发建设活动的要求】</w:t>
            </w:r>
          </w:p>
          <w:p w14:paraId="12AC1905">
            <w:pPr>
              <w:pStyle w:val="84"/>
              <w:jc w:val="both"/>
            </w:pPr>
            <w:r>
              <w:rPr>
                <w:rFonts w:hint="eastAsia"/>
              </w:rPr>
              <w:t>（1）禁止在长江干支流雅砻江、金沙江、大渡河岸线一公里范围内新建、扩建化工园区和化工项目。</w:t>
            </w:r>
          </w:p>
          <w:p w14:paraId="6F489EEB">
            <w:pPr>
              <w:pStyle w:val="84"/>
              <w:jc w:val="both"/>
            </w:pPr>
            <w:r>
              <w:rPr>
                <w:rFonts w:hint="eastAsia"/>
              </w:rPr>
              <w:t>（2）禁止在法律法规规定的禁采区内开采矿产；禁止土法采、选、冶严重污染环境的矿产资源。</w:t>
            </w:r>
          </w:p>
          <w:p w14:paraId="50058FDC">
            <w:pPr>
              <w:pStyle w:val="84"/>
              <w:jc w:val="both"/>
            </w:pPr>
            <w:r>
              <w:rPr>
                <w:rFonts w:hint="eastAsia"/>
              </w:rPr>
              <w:t>（3）禁止在长江流域河湖管理范围内倾倒、填埋、堆放、弃置、处理固体废物。</w:t>
            </w:r>
          </w:p>
          <w:p w14:paraId="006CD9BF">
            <w:pPr>
              <w:pStyle w:val="84"/>
              <w:jc w:val="both"/>
            </w:pPr>
            <w:r>
              <w:rPr>
                <w:rFonts w:hint="eastAsia"/>
              </w:rPr>
              <w:t>（4）重点行业禁止开发建设活动的要求——矿产开发：①禁止在法律法规明确规定的禁采区内开采矿产；禁止土法采、选、冶严重污染环境的矿产资源。②禁止在长江干流岸线三公里范围内和雅砻江、金沙江、大渡河岸线一公里范围内新建尾矿库。禁止在长江干流岸线三公里范围内和重要支流岸线一公里范围内新建、改建、扩建尾矿库、冶炼渣库、磷石膏库，以提升安全、生态环境保护水平为目的的改建除外。</w:t>
            </w:r>
          </w:p>
          <w:p w14:paraId="6AEA1A4C">
            <w:pPr>
              <w:pStyle w:val="84"/>
              <w:jc w:val="both"/>
            </w:pPr>
            <w:r>
              <w:rPr>
                <w:rFonts w:hint="eastAsia"/>
              </w:rPr>
              <w:t>——清洁能源①风电项目风机基础、施工和检修道路、升压站、集电线路等，禁止占用天然乔木林地、一级国家级公益林地和二级国家级公益林中的有林地。②光伏电站的电池组件阵列禁止使用有林地、疏林地、未成林造林地、采伐迹地、火烧迹地，以及覆盖度高于50%的灌木林地。——农牧业①除国家重点工程建设项目外，任何单位、组织或个人不得擅自改变基本草原用途。②禁止向草原排放有毒、有害的废水、废气、废渣等。</w:t>
            </w:r>
          </w:p>
          <w:p w14:paraId="31FFD25E">
            <w:pPr>
              <w:pStyle w:val="84"/>
              <w:jc w:val="both"/>
            </w:pPr>
            <w:r>
              <w:rPr>
                <w:rFonts w:hint="eastAsia"/>
              </w:rPr>
              <w:t>（5）禁止在永久基本农田集中区域和其他需要特别保护的区域选址建设尾矿库、冶炼渣库、磷石膏库。</w:t>
            </w:r>
          </w:p>
          <w:p w14:paraId="3E362FCC">
            <w:pPr>
              <w:pStyle w:val="84"/>
              <w:jc w:val="both"/>
            </w:pPr>
            <w:r>
              <w:rPr>
                <w:rFonts w:hint="eastAsia"/>
              </w:rPr>
              <w:t>（6）新建、扩建光伏发电项目，一律不得占用永久基本农田、基本草原。光伏电站、风力发电等项目不得在河道、湖泊、水库内建设。</w:t>
            </w:r>
          </w:p>
          <w:p w14:paraId="3FD4822C">
            <w:pPr>
              <w:pStyle w:val="84"/>
              <w:jc w:val="both"/>
            </w:pPr>
            <w:r>
              <w:rPr>
                <w:rFonts w:hint="eastAsia"/>
              </w:rPr>
              <w:t>（7）结合甘孜州主体功能区定位，严格按照《中华人民共和国青藏高原生态保护法》《中华人民共和国长江保护法》中禁止条款执行。</w:t>
            </w:r>
          </w:p>
          <w:p w14:paraId="56929C63">
            <w:pPr>
              <w:pStyle w:val="84"/>
              <w:jc w:val="both"/>
            </w:pPr>
            <w:r>
              <w:rPr>
                <w:rFonts w:hint="eastAsia"/>
              </w:rPr>
              <w:t>（8）城镇开发边界外不得进行城镇集中建设，不得规划建设各类开发区和产业园区，不得规划城镇居住用地。</w:t>
            </w:r>
          </w:p>
        </w:tc>
        <w:tc>
          <w:tcPr>
            <w:tcW w:w="1275" w:type="pct"/>
            <w:tcBorders>
              <w:tl2br w:val="nil"/>
              <w:tr2bl w:val="nil"/>
            </w:tcBorders>
            <w:tcMar>
              <w:top w:w="50" w:type="dxa"/>
              <w:left w:w="50" w:type="dxa"/>
              <w:bottom w:w="50" w:type="dxa"/>
              <w:right w:w="50" w:type="dxa"/>
            </w:tcMar>
            <w:vAlign w:val="center"/>
          </w:tcPr>
          <w:p w14:paraId="518669F7">
            <w:pPr>
              <w:pStyle w:val="84"/>
              <w:jc w:val="both"/>
            </w:pPr>
            <w:r>
              <w:rPr>
                <w:rFonts w:hint="eastAsia"/>
              </w:rPr>
              <w:t>1、本项目为防洪除涝项目，不属于化工园区和化工项目；</w:t>
            </w:r>
          </w:p>
          <w:p w14:paraId="2C9C0711">
            <w:pPr>
              <w:pStyle w:val="84"/>
              <w:jc w:val="both"/>
            </w:pPr>
            <w:r>
              <w:rPr>
                <w:rFonts w:hint="eastAsia"/>
              </w:rPr>
              <w:t>2、本项目不属于采矿项目；</w:t>
            </w:r>
          </w:p>
          <w:p w14:paraId="78C7E4F3">
            <w:pPr>
              <w:pStyle w:val="84"/>
              <w:jc w:val="both"/>
            </w:pPr>
            <w:r>
              <w:rPr>
                <w:rFonts w:hint="eastAsia"/>
              </w:rPr>
              <w:t>3、项目固废主要为建筑垃圾、生活垃圾，项目无弃方产生，建筑垃圾收集后清运至建筑垃圾处置场，生活垃圾收集后由环卫单位清运处置；</w:t>
            </w:r>
          </w:p>
          <w:p w14:paraId="27A72CF3">
            <w:pPr>
              <w:pStyle w:val="84"/>
              <w:jc w:val="both"/>
            </w:pPr>
            <w:r>
              <w:rPr>
                <w:rFonts w:hint="eastAsia"/>
              </w:rPr>
              <w:t>4、本项目不属于矿产开发、清洁能源、农牧业；</w:t>
            </w:r>
          </w:p>
          <w:p w14:paraId="537424B1">
            <w:pPr>
              <w:pStyle w:val="84"/>
              <w:jc w:val="both"/>
            </w:pPr>
            <w:r>
              <w:rPr>
                <w:rFonts w:hint="eastAsia"/>
              </w:rPr>
              <w:t>5、本项目不涉及占用永久基本农田和其他需要特别保护的区域；</w:t>
            </w:r>
          </w:p>
          <w:p w14:paraId="29B07FE8">
            <w:pPr>
              <w:pStyle w:val="84"/>
              <w:jc w:val="both"/>
            </w:pPr>
            <w:r>
              <w:rPr>
                <w:rFonts w:hint="eastAsia"/>
              </w:rPr>
              <w:t>6、本项目不涉及；</w:t>
            </w:r>
          </w:p>
          <w:p w14:paraId="7327A671">
            <w:pPr>
              <w:pStyle w:val="84"/>
              <w:jc w:val="both"/>
            </w:pPr>
            <w:r>
              <w:rPr>
                <w:rFonts w:hint="eastAsia"/>
              </w:rPr>
              <w:t>7、本项目为防洪除涝项目，不属于《中华人民共和国青藏高原生态保护法》《中华人民共和国长江保护法》中禁止条款；</w:t>
            </w:r>
          </w:p>
          <w:p w14:paraId="532941F9">
            <w:pPr>
              <w:pStyle w:val="84"/>
              <w:jc w:val="both"/>
            </w:pPr>
            <w:r>
              <w:rPr>
                <w:rFonts w:hint="eastAsia"/>
              </w:rPr>
              <w:t>8、本项目不属于开发区和产业园区项目。</w:t>
            </w:r>
          </w:p>
        </w:tc>
        <w:tc>
          <w:tcPr>
            <w:tcW w:w="230" w:type="pct"/>
            <w:tcBorders>
              <w:tl2br w:val="nil"/>
              <w:tr2bl w:val="nil"/>
            </w:tcBorders>
            <w:tcMar>
              <w:top w:w="50" w:type="dxa"/>
              <w:left w:w="50" w:type="dxa"/>
              <w:bottom w:w="50" w:type="dxa"/>
              <w:right w:w="50" w:type="dxa"/>
            </w:tcMar>
            <w:vAlign w:val="center"/>
          </w:tcPr>
          <w:p w14:paraId="70D4D049">
            <w:pPr>
              <w:pStyle w:val="84"/>
            </w:pPr>
            <w:r>
              <w:rPr>
                <w:rFonts w:hint="eastAsia"/>
              </w:rPr>
              <w:t>符合</w:t>
            </w:r>
          </w:p>
        </w:tc>
      </w:tr>
      <w:tr w14:paraId="30AB74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0" w:type="auto"/>
            <w:vMerge w:val="continue"/>
            <w:tcBorders>
              <w:tl2br w:val="nil"/>
              <w:tr2bl w:val="nil"/>
            </w:tcBorders>
            <w:tcMar>
              <w:top w:w="50" w:type="dxa"/>
              <w:left w:w="50" w:type="dxa"/>
              <w:bottom w:w="50" w:type="dxa"/>
              <w:right w:w="50" w:type="dxa"/>
            </w:tcMar>
            <w:vAlign w:val="center"/>
          </w:tcPr>
          <w:p w14:paraId="62BDC693">
            <w:pPr>
              <w:pStyle w:val="84"/>
            </w:pPr>
          </w:p>
        </w:tc>
        <w:tc>
          <w:tcPr>
            <w:tcW w:w="287" w:type="pct"/>
            <w:vMerge w:val="continue"/>
            <w:tcBorders>
              <w:tl2br w:val="nil"/>
              <w:tr2bl w:val="nil"/>
            </w:tcBorders>
            <w:tcMar>
              <w:top w:w="50" w:type="dxa"/>
              <w:left w:w="50" w:type="dxa"/>
              <w:bottom w:w="50" w:type="dxa"/>
              <w:right w:w="50" w:type="dxa"/>
            </w:tcMar>
            <w:vAlign w:val="center"/>
          </w:tcPr>
          <w:p w14:paraId="2577D829">
            <w:pPr>
              <w:pStyle w:val="84"/>
            </w:pPr>
          </w:p>
        </w:tc>
        <w:tc>
          <w:tcPr>
            <w:tcW w:w="351" w:type="pct"/>
            <w:vMerge w:val="continue"/>
            <w:tcBorders>
              <w:tl2br w:val="nil"/>
              <w:tr2bl w:val="nil"/>
            </w:tcBorders>
            <w:tcMar>
              <w:top w:w="50" w:type="dxa"/>
              <w:left w:w="50" w:type="dxa"/>
              <w:bottom w:w="50" w:type="dxa"/>
              <w:right w:w="50" w:type="dxa"/>
            </w:tcMar>
            <w:vAlign w:val="center"/>
          </w:tcPr>
          <w:p w14:paraId="01AC5FCF">
            <w:pPr>
              <w:pStyle w:val="84"/>
            </w:pPr>
          </w:p>
        </w:tc>
        <w:tc>
          <w:tcPr>
            <w:tcW w:w="255" w:type="pct"/>
            <w:vMerge w:val="continue"/>
            <w:tcBorders>
              <w:tl2br w:val="nil"/>
              <w:tr2bl w:val="nil"/>
            </w:tcBorders>
            <w:tcMar>
              <w:top w:w="50" w:type="dxa"/>
              <w:left w:w="50" w:type="dxa"/>
              <w:bottom w:w="50" w:type="dxa"/>
              <w:right w:w="50" w:type="dxa"/>
            </w:tcMar>
            <w:vAlign w:val="center"/>
          </w:tcPr>
          <w:p w14:paraId="4CE4438B">
            <w:pPr>
              <w:pStyle w:val="84"/>
            </w:pPr>
          </w:p>
        </w:tc>
        <w:tc>
          <w:tcPr>
            <w:tcW w:w="2408" w:type="pct"/>
            <w:tcBorders>
              <w:tl2br w:val="nil"/>
              <w:tr2bl w:val="nil"/>
            </w:tcBorders>
            <w:tcMar>
              <w:top w:w="50" w:type="dxa"/>
              <w:left w:w="50" w:type="dxa"/>
              <w:bottom w:w="50" w:type="dxa"/>
              <w:right w:w="50" w:type="dxa"/>
            </w:tcMar>
            <w:vAlign w:val="center"/>
          </w:tcPr>
          <w:p w14:paraId="6BFFFFF1">
            <w:pPr>
              <w:pStyle w:val="84"/>
              <w:jc w:val="both"/>
            </w:pPr>
            <w:r>
              <w:rPr>
                <w:rFonts w:hint="eastAsia"/>
              </w:rPr>
              <w:t>【限制开发建设活动的要求】</w:t>
            </w:r>
          </w:p>
          <w:p w14:paraId="570AA63A">
            <w:pPr>
              <w:pStyle w:val="84"/>
              <w:jc w:val="both"/>
            </w:pPr>
            <w:r>
              <w:rPr>
                <w:rFonts w:hint="eastAsia"/>
              </w:rPr>
              <w:t>1.严控新增建设用地规模和非农建设占用耕地；坚持最严格的耕地保护制度，对全部耕地按限制开发的要求进行管理，对全部基本农田按禁止开发的要求进行管理。</w:t>
            </w:r>
          </w:p>
          <w:p w14:paraId="4E97EBA4">
            <w:pPr>
              <w:pStyle w:val="84"/>
              <w:jc w:val="both"/>
            </w:pPr>
            <w:r>
              <w:rPr>
                <w:rFonts w:hint="eastAsia"/>
              </w:rPr>
              <w:t>2.严格限制农用地转为建设用地，控制建设用地总量，对耕地实行特殊保护。</w:t>
            </w:r>
          </w:p>
          <w:p w14:paraId="3537D3FC">
            <w:pPr>
              <w:pStyle w:val="84"/>
              <w:jc w:val="both"/>
            </w:pPr>
            <w:r>
              <w:rPr>
                <w:rFonts w:hint="eastAsia"/>
              </w:rPr>
              <w:t>3.一般管控单元中涉及的自然保护区、风景名胜区、森林公园、地质公园等法定保护地，严格按照国家及地方法律法规、管理办法等相关要求管控。配套旅游、基础设施等建设项目，在符合规划和相关保护要求的前提下，应实施生态避让、减缓影响及生态恢复措施。</w:t>
            </w:r>
          </w:p>
          <w:p w14:paraId="39CC497B">
            <w:pPr>
              <w:pStyle w:val="84"/>
              <w:jc w:val="both"/>
            </w:pPr>
            <w:r>
              <w:rPr>
                <w:rFonts w:hint="eastAsia"/>
              </w:rPr>
              <w:t>4.重点行业限制开发建设活动的要求——矿产开发：①矿区必须满足国家、四川省和甘孜州矿产资源规划中开采区相应准入条件，开采规模和服务年限须符合各级矿产资源规划规定。②矿区企业严控新增建设用地规模和非农建设占用耕地。③大中型矿山须达到绿色矿山建设标准，引导小型矿山按照绿色矿山标准规范发展。④开展尾矿库土壤监测和定期评估；严把新（改、扩）建尾矿库立项、用地、环保、安全准入关；每年进行一次尾矿库安全风险评估；尽量降低尾矿库内水位，确保主要运行参数及排洪系统始终满足设计要求；严格落实“一库一策”安全风险管控要求。——旅游：①各类景区严格执行相应的风景名胜区规划开展建设和环保管理，主要旅游接待服务设施污水达标排放率达100%；生活垃圾无害化处理率达100%；风景区水体不得新建排污口；餐饮服务气体排放须采取油烟净化处理，满足《饮食业油烟排放标准》（GB18483-2001）相关要求，以贡嘎山国家级风景名胜区为例，在旅游峰值每年7-8月份，次峰值5-6、9-10月份时景区污水排放不得高于2025年4200床位标准。②甘孜新区位于泸定县燕子沟镇，是康泸新一体化三大核心之一，以文化旅游为主要发展方向。区域污水排放不得高于2025年城乡常住人口2万人、旅游总人数（含海螺沟）500万人次年标准；2025年城镇生活垃圾无害化处理率80%，城镇污水集中处理率50%。——重大交通：①川藏铁路弃土（渣）场须符合水保、环保要求，不得影响建筑物安全。②涉及河道，应符合治导规划及防洪行洪的规定，不得在河道、湖泊管理范围内设置弃土（渣）场；不宜布设在流量较大的沟道，否则应进行防洪论证。③各类临时用地严格控制在用地范围内，禁止随意占压和破坏地貌、植被，完工后及时进行迹地清理、整治和植被恢复。④修建动物防护栅栏。⑤进行全封闭声屏障施工。——农牧业：①在不改变草原所有权性质、用途的基础上，草原承包经营权可以按照自愿、有偿原则依法流转。②草原植被盖度50%以下严重退化、海拔4500米以上生态脆弱的天然草原实行禁牧，最短时限2年。③草原植被盖度50%-70%中度退化、植被盖度70%-80%轻度退化的草场实行休牧，最短时限1年。④每亩年产草量干物质超过60公斤和植被盖度达到80%的草原实行划区轮牧。⑤在草原上从事矿藏开采、工程建设、经营性活动等占用草原的，须交纳草原植被恢复费。⑥征用或占用草原2年以上的，应对草原承包经营者给予补偿，人工草地按征占用前3年平均产值的4-10倍，天然草原按征占用前3年平均产值的8-15倍，围栏割草地按征占用前3年平均产值的10-15倍补偿。⑦临时占用草原补偿标准：修建工程便道、挖砂石、取泥土的，按所占用草原前3年平均产值的5-10倍补偿；开展经营性活动的，按所占用草原前3年平均产值的3-5倍补偿。</w:t>
            </w:r>
          </w:p>
          <w:p w14:paraId="6D2BD2D7">
            <w:pPr>
              <w:pStyle w:val="84"/>
              <w:jc w:val="both"/>
            </w:pPr>
            <w:r>
              <w:rPr>
                <w:rFonts w:hint="eastAsia"/>
              </w:rPr>
              <w:t>5.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4544762B">
            <w:pPr>
              <w:pStyle w:val="84"/>
              <w:jc w:val="both"/>
            </w:pPr>
            <w:r>
              <w:rPr>
                <w:rFonts w:hint="eastAsia"/>
              </w:rPr>
              <w:t>6.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6E763765">
            <w:pPr>
              <w:pStyle w:val="84"/>
              <w:jc w:val="both"/>
            </w:pPr>
            <w:r>
              <w:rPr>
                <w:rFonts w:hint="eastAsia"/>
              </w:rPr>
              <w:t>7.水环境农业污染重点管控区：（1）稳步推进建制镇污水处理设施建设，适当预留发展空间，宜集中则集中，宜分散则分散。农村生活污水处理设施排水执行《农村生活污水处理设施水污染物排放标准》（DB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w:t>
            </w:r>
          </w:p>
          <w:p w14:paraId="48380D7C">
            <w:pPr>
              <w:pStyle w:val="84"/>
              <w:jc w:val="both"/>
            </w:pPr>
            <w:r>
              <w:rPr>
                <w:rFonts w:hint="eastAsia"/>
              </w:rPr>
              <w:t>8.（1）光伏项目建设严格按照自然资源部办公厅 国家林业和草原局办公室 国家能源局综合司关于《支持光伏发电产业发展规范用地管理有关工作的通知》（自然资办发〔2023〕12号）执行。（2）在湖泊周边、水库库汊建设光伏、风电项目的，要科学论证，严格管控，不得布设在具有防洪、供水功能和水生态、水环境保护需求的区域。</w:t>
            </w:r>
          </w:p>
        </w:tc>
        <w:tc>
          <w:tcPr>
            <w:tcW w:w="1275" w:type="pct"/>
            <w:tcBorders>
              <w:tl2br w:val="nil"/>
              <w:tr2bl w:val="nil"/>
            </w:tcBorders>
            <w:tcMar>
              <w:top w:w="50" w:type="dxa"/>
              <w:left w:w="50" w:type="dxa"/>
              <w:bottom w:w="50" w:type="dxa"/>
              <w:right w:w="50" w:type="dxa"/>
            </w:tcMar>
            <w:vAlign w:val="center"/>
          </w:tcPr>
          <w:p w14:paraId="296A2830">
            <w:pPr>
              <w:pStyle w:val="84"/>
              <w:jc w:val="both"/>
            </w:pPr>
            <w:r>
              <w:rPr>
                <w:rFonts w:hint="eastAsia"/>
              </w:rPr>
              <w:t>1、本项目为防洪除涝项目，不涉及占用耕地，不涉及占用永久基本农田；</w:t>
            </w:r>
          </w:p>
          <w:p w14:paraId="6894809E">
            <w:pPr>
              <w:pStyle w:val="84"/>
              <w:jc w:val="both"/>
            </w:pPr>
            <w:r>
              <w:rPr>
                <w:rFonts w:hint="eastAsia"/>
              </w:rPr>
              <w:t>2、项目用地不涉及耕地；</w:t>
            </w:r>
          </w:p>
          <w:p w14:paraId="24171CAB">
            <w:pPr>
              <w:pStyle w:val="84"/>
              <w:jc w:val="both"/>
            </w:pPr>
            <w:r>
              <w:rPr>
                <w:rFonts w:hint="eastAsia"/>
              </w:rPr>
              <w:t>3、本项目涉及穿越四川海螺沟国家森林公园一般游憩区、四川海螺沟国家地质公园一般控制区，本项目为山洪沟防洪除涝治理，项目施工过程中将严格在规定占地红线以内施工，不破坏植被，废水和污水收集后处置不外排，固体废物收集后处置，不倾倒、丢弃等；</w:t>
            </w:r>
          </w:p>
          <w:p w14:paraId="25B39BD9">
            <w:pPr>
              <w:pStyle w:val="84"/>
              <w:jc w:val="both"/>
            </w:pPr>
            <w:r>
              <w:rPr>
                <w:rFonts w:hint="eastAsia"/>
              </w:rPr>
              <w:t>4、本项目不属于矿产开发、旅游、交通、农牧业项目；</w:t>
            </w:r>
          </w:p>
          <w:p w14:paraId="766E917F">
            <w:pPr>
              <w:pStyle w:val="84"/>
              <w:jc w:val="both"/>
            </w:pPr>
            <w:r>
              <w:rPr>
                <w:rFonts w:hint="eastAsia"/>
              </w:rPr>
              <w:t>5、本项目为防洪除涝项目，不属于高耗能、高排放项目，不属于污染类项目；</w:t>
            </w:r>
          </w:p>
          <w:p w14:paraId="0AD0A1C9">
            <w:pPr>
              <w:pStyle w:val="84"/>
              <w:jc w:val="both"/>
            </w:pPr>
            <w:r>
              <w:rPr>
                <w:rFonts w:hint="eastAsia"/>
              </w:rPr>
              <w:t>6、本项目不属于污染类建设项目，项目废气污染物主要为施工过程中扬尘、机械燃油废气等，经过治理后对环境影响很小；</w:t>
            </w:r>
          </w:p>
          <w:p w14:paraId="00DB5E2F">
            <w:pPr>
              <w:pStyle w:val="84"/>
              <w:jc w:val="both"/>
            </w:pPr>
            <w:r>
              <w:rPr>
                <w:rFonts w:hint="eastAsia"/>
              </w:rPr>
              <w:t>7、项目废水污染物主要为施工过程中的生活污水、车辆冲洗废水、混凝土养护废水、基坑排水等，生活污水经租赁民房现有污水处理设施处理后用作农肥，车辆冲洗废水经沉淀隔油处理后回用于道路洒水降尘，混凝土养护废水经沉淀池处理后回用于工序，基坑排水经沉淀处理后用于排入水体；</w:t>
            </w:r>
          </w:p>
          <w:p w14:paraId="7AB8F375">
            <w:pPr>
              <w:pStyle w:val="84"/>
              <w:jc w:val="both"/>
            </w:pPr>
            <w:r>
              <w:rPr>
                <w:rFonts w:hint="eastAsia"/>
              </w:rPr>
              <w:t>8、本项目不涉及。</w:t>
            </w:r>
          </w:p>
        </w:tc>
        <w:tc>
          <w:tcPr>
            <w:tcW w:w="230" w:type="pct"/>
            <w:tcBorders>
              <w:tl2br w:val="nil"/>
              <w:tr2bl w:val="nil"/>
            </w:tcBorders>
            <w:tcMar>
              <w:top w:w="50" w:type="dxa"/>
              <w:left w:w="50" w:type="dxa"/>
              <w:bottom w:w="50" w:type="dxa"/>
              <w:right w:w="50" w:type="dxa"/>
            </w:tcMar>
            <w:vAlign w:val="center"/>
          </w:tcPr>
          <w:p w14:paraId="2460CD29">
            <w:pPr>
              <w:pStyle w:val="84"/>
            </w:pPr>
            <w:r>
              <w:rPr>
                <w:rFonts w:hint="eastAsia"/>
              </w:rPr>
              <w:t>符合</w:t>
            </w:r>
          </w:p>
        </w:tc>
      </w:tr>
      <w:tr w14:paraId="3D531B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0" w:type="auto"/>
            <w:vMerge w:val="continue"/>
            <w:tcBorders>
              <w:tl2br w:val="nil"/>
              <w:tr2bl w:val="nil"/>
            </w:tcBorders>
            <w:tcMar>
              <w:top w:w="50" w:type="dxa"/>
              <w:left w:w="50" w:type="dxa"/>
              <w:bottom w:w="50" w:type="dxa"/>
              <w:right w:w="50" w:type="dxa"/>
            </w:tcMar>
            <w:vAlign w:val="center"/>
          </w:tcPr>
          <w:p w14:paraId="3C9EBEA9">
            <w:pPr>
              <w:pStyle w:val="84"/>
            </w:pPr>
          </w:p>
        </w:tc>
        <w:tc>
          <w:tcPr>
            <w:tcW w:w="287" w:type="pct"/>
            <w:vMerge w:val="continue"/>
            <w:tcBorders>
              <w:tl2br w:val="nil"/>
              <w:tr2bl w:val="nil"/>
            </w:tcBorders>
            <w:tcMar>
              <w:top w:w="50" w:type="dxa"/>
              <w:left w:w="50" w:type="dxa"/>
              <w:bottom w:w="50" w:type="dxa"/>
              <w:right w:w="50" w:type="dxa"/>
            </w:tcMar>
            <w:vAlign w:val="center"/>
          </w:tcPr>
          <w:p w14:paraId="3105284C">
            <w:pPr>
              <w:pStyle w:val="84"/>
            </w:pPr>
          </w:p>
        </w:tc>
        <w:tc>
          <w:tcPr>
            <w:tcW w:w="351" w:type="pct"/>
            <w:vMerge w:val="continue"/>
            <w:tcBorders>
              <w:tl2br w:val="nil"/>
              <w:tr2bl w:val="nil"/>
            </w:tcBorders>
            <w:tcMar>
              <w:top w:w="50" w:type="dxa"/>
              <w:left w:w="50" w:type="dxa"/>
              <w:bottom w:w="50" w:type="dxa"/>
              <w:right w:w="50" w:type="dxa"/>
            </w:tcMar>
            <w:vAlign w:val="center"/>
          </w:tcPr>
          <w:p w14:paraId="2DE7A95A">
            <w:pPr>
              <w:pStyle w:val="84"/>
            </w:pPr>
          </w:p>
        </w:tc>
        <w:tc>
          <w:tcPr>
            <w:tcW w:w="255" w:type="pct"/>
            <w:vMerge w:val="continue"/>
            <w:tcBorders>
              <w:tl2br w:val="nil"/>
              <w:tr2bl w:val="nil"/>
            </w:tcBorders>
            <w:tcMar>
              <w:top w:w="50" w:type="dxa"/>
              <w:left w:w="50" w:type="dxa"/>
              <w:bottom w:w="50" w:type="dxa"/>
              <w:right w:w="50" w:type="dxa"/>
            </w:tcMar>
            <w:vAlign w:val="center"/>
          </w:tcPr>
          <w:p w14:paraId="2B58AEF3">
            <w:pPr>
              <w:pStyle w:val="84"/>
            </w:pPr>
          </w:p>
        </w:tc>
        <w:tc>
          <w:tcPr>
            <w:tcW w:w="2408" w:type="pct"/>
            <w:tcBorders>
              <w:tl2br w:val="nil"/>
              <w:tr2bl w:val="nil"/>
            </w:tcBorders>
            <w:tcMar>
              <w:top w:w="50" w:type="dxa"/>
              <w:left w:w="50" w:type="dxa"/>
              <w:bottom w:w="50" w:type="dxa"/>
              <w:right w:w="50" w:type="dxa"/>
            </w:tcMar>
            <w:vAlign w:val="center"/>
          </w:tcPr>
          <w:p w14:paraId="043C5E2C">
            <w:pPr>
              <w:pStyle w:val="84"/>
              <w:jc w:val="both"/>
            </w:pPr>
            <w:r>
              <w:rPr>
                <w:rFonts w:hint="eastAsia"/>
              </w:rPr>
              <w:t>【不符合空间布局要求活动的退出要求】</w:t>
            </w:r>
          </w:p>
          <w:p w14:paraId="1AF572D0">
            <w:pPr>
              <w:pStyle w:val="84"/>
              <w:jc w:val="both"/>
            </w:pPr>
            <w:r>
              <w:rPr>
                <w:rFonts w:hint="eastAsia"/>
              </w:rPr>
              <w:t>（1）一般生态空间中涉及自然保护区、风景名胜区、森林公园、地质公园等法定保护地，现有不符合相关保护区法律法规和规划的项目，应限期整改或关闭。</w:t>
            </w:r>
          </w:p>
          <w:p w14:paraId="55424B36">
            <w:pPr>
              <w:pStyle w:val="84"/>
              <w:jc w:val="both"/>
            </w:pPr>
            <w:r>
              <w:rPr>
                <w:rFonts w:hint="eastAsia"/>
              </w:rPr>
              <w:t>（2）全面取缔禁养区内规模化畜禽养殖场。</w:t>
            </w:r>
          </w:p>
          <w:p w14:paraId="6B4C328D">
            <w:pPr>
              <w:pStyle w:val="84"/>
              <w:jc w:val="both"/>
            </w:pPr>
            <w:r>
              <w:rPr>
                <w:rFonts w:hint="eastAsia"/>
              </w:rPr>
              <w:t>（3）按照相关规划和要求，清理整顿非法采砂、非法码头，全面清除不合规码头。</w:t>
            </w:r>
          </w:p>
        </w:tc>
        <w:tc>
          <w:tcPr>
            <w:tcW w:w="1275" w:type="pct"/>
            <w:tcBorders>
              <w:tl2br w:val="nil"/>
              <w:tr2bl w:val="nil"/>
            </w:tcBorders>
            <w:tcMar>
              <w:top w:w="50" w:type="dxa"/>
              <w:left w:w="50" w:type="dxa"/>
              <w:bottom w:w="50" w:type="dxa"/>
              <w:right w:w="50" w:type="dxa"/>
            </w:tcMar>
            <w:vAlign w:val="center"/>
          </w:tcPr>
          <w:p w14:paraId="653C468D">
            <w:pPr>
              <w:pStyle w:val="84"/>
              <w:jc w:val="both"/>
            </w:pPr>
            <w:r>
              <w:rPr>
                <w:rFonts w:hint="eastAsia"/>
              </w:rPr>
              <w:t>本项目为防洪除涝项目，为新建项目，涉及森林公园、地质公园等保护地，不属于不符合相关保护区法律法规和规划的项目；不属于畜禽养殖项目；本项目河道内砂砾石开挖系主体工程基础及河床整理需要，不属于采砂行为。</w:t>
            </w:r>
          </w:p>
        </w:tc>
        <w:tc>
          <w:tcPr>
            <w:tcW w:w="230" w:type="pct"/>
            <w:tcBorders>
              <w:tl2br w:val="nil"/>
              <w:tr2bl w:val="nil"/>
            </w:tcBorders>
            <w:tcMar>
              <w:top w:w="50" w:type="dxa"/>
              <w:left w:w="50" w:type="dxa"/>
              <w:bottom w:w="50" w:type="dxa"/>
              <w:right w:w="50" w:type="dxa"/>
            </w:tcMar>
            <w:vAlign w:val="center"/>
          </w:tcPr>
          <w:p w14:paraId="546B8ED3">
            <w:pPr>
              <w:pStyle w:val="84"/>
            </w:pPr>
            <w:r>
              <w:rPr>
                <w:rFonts w:hint="eastAsia"/>
              </w:rPr>
              <w:t>符合</w:t>
            </w:r>
          </w:p>
        </w:tc>
      </w:tr>
      <w:tr w14:paraId="1B6CF7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0" w:type="auto"/>
            <w:vMerge w:val="continue"/>
            <w:tcBorders>
              <w:tl2br w:val="nil"/>
              <w:tr2bl w:val="nil"/>
            </w:tcBorders>
            <w:tcMar>
              <w:top w:w="50" w:type="dxa"/>
              <w:left w:w="50" w:type="dxa"/>
              <w:bottom w:w="50" w:type="dxa"/>
              <w:right w:w="50" w:type="dxa"/>
            </w:tcMar>
            <w:vAlign w:val="center"/>
          </w:tcPr>
          <w:p w14:paraId="384B5355">
            <w:pPr>
              <w:pStyle w:val="84"/>
            </w:pPr>
          </w:p>
        </w:tc>
        <w:tc>
          <w:tcPr>
            <w:tcW w:w="287" w:type="pct"/>
            <w:vMerge w:val="continue"/>
            <w:tcBorders>
              <w:tl2br w:val="nil"/>
              <w:tr2bl w:val="nil"/>
            </w:tcBorders>
            <w:tcMar>
              <w:top w:w="50" w:type="dxa"/>
              <w:left w:w="50" w:type="dxa"/>
              <w:bottom w:w="50" w:type="dxa"/>
              <w:right w:w="50" w:type="dxa"/>
            </w:tcMar>
            <w:vAlign w:val="center"/>
          </w:tcPr>
          <w:p w14:paraId="3CC8AF1C">
            <w:pPr>
              <w:pStyle w:val="84"/>
            </w:pPr>
          </w:p>
        </w:tc>
        <w:tc>
          <w:tcPr>
            <w:tcW w:w="351" w:type="pct"/>
            <w:vMerge w:val="continue"/>
            <w:tcBorders>
              <w:tl2br w:val="nil"/>
              <w:tr2bl w:val="nil"/>
            </w:tcBorders>
            <w:tcMar>
              <w:top w:w="50" w:type="dxa"/>
              <w:left w:w="50" w:type="dxa"/>
              <w:bottom w:w="50" w:type="dxa"/>
              <w:right w:w="50" w:type="dxa"/>
            </w:tcMar>
            <w:vAlign w:val="center"/>
          </w:tcPr>
          <w:p w14:paraId="79F286BB">
            <w:pPr>
              <w:pStyle w:val="84"/>
            </w:pPr>
          </w:p>
        </w:tc>
        <w:tc>
          <w:tcPr>
            <w:tcW w:w="255" w:type="pct"/>
            <w:vMerge w:val="continue"/>
            <w:tcBorders>
              <w:tl2br w:val="nil"/>
              <w:tr2bl w:val="nil"/>
            </w:tcBorders>
            <w:tcMar>
              <w:top w:w="50" w:type="dxa"/>
              <w:left w:w="50" w:type="dxa"/>
              <w:bottom w:w="50" w:type="dxa"/>
              <w:right w:w="50" w:type="dxa"/>
            </w:tcMar>
            <w:vAlign w:val="center"/>
          </w:tcPr>
          <w:p w14:paraId="6827B1A9">
            <w:pPr>
              <w:pStyle w:val="84"/>
            </w:pPr>
          </w:p>
        </w:tc>
        <w:tc>
          <w:tcPr>
            <w:tcW w:w="2408" w:type="pct"/>
            <w:tcBorders>
              <w:tl2br w:val="nil"/>
              <w:tr2bl w:val="nil"/>
            </w:tcBorders>
            <w:tcMar>
              <w:top w:w="50" w:type="dxa"/>
              <w:left w:w="50" w:type="dxa"/>
              <w:bottom w:w="50" w:type="dxa"/>
              <w:right w:w="50" w:type="dxa"/>
            </w:tcMar>
            <w:vAlign w:val="center"/>
          </w:tcPr>
          <w:p w14:paraId="55D798CE">
            <w:pPr>
              <w:pStyle w:val="84"/>
              <w:jc w:val="both"/>
            </w:pPr>
            <w:r>
              <w:rPr>
                <w:rFonts w:hint="eastAsia"/>
              </w:rPr>
              <w:t>【其他空间布局约束要求】</w:t>
            </w:r>
          </w:p>
          <w:p w14:paraId="4B0DECB4">
            <w:pPr>
              <w:pStyle w:val="84"/>
              <w:jc w:val="both"/>
            </w:pPr>
            <w:r>
              <w:rPr>
                <w:rFonts w:hint="eastAsia"/>
              </w:rPr>
              <w:t>（1）园区外企业：位于一般管控单元内的园区外工业企业，须坚持“政府主导、企业主体、并联审查”原则，由对应各县（市）政府实施监督并确定需要整改的企业名单，上了名单的企业应提出整改承诺和方案，整改完成后由县（市）政府销号并纳入日常环境监管。对经整改治理后仍不能符合现行环保要求的，县（市）政府应责令关停或确定退出时限。</w:t>
            </w:r>
          </w:p>
          <w:p w14:paraId="703E955F">
            <w:pPr>
              <w:pStyle w:val="84"/>
              <w:jc w:val="both"/>
            </w:pPr>
            <w:r>
              <w:rPr>
                <w:rFonts w:hint="eastAsia"/>
              </w:rPr>
              <w:t>（2）加快小水电清理整顿，加强流域生态修复。</w:t>
            </w:r>
          </w:p>
          <w:p w14:paraId="2BF55181">
            <w:pPr>
              <w:pStyle w:val="84"/>
              <w:jc w:val="both"/>
            </w:pPr>
            <w:r>
              <w:rPr>
                <w:rFonts w:hint="eastAsia"/>
              </w:rPr>
              <w:t>（3）按照省、州现行矿产资源总体规划执行。</w:t>
            </w:r>
          </w:p>
        </w:tc>
        <w:tc>
          <w:tcPr>
            <w:tcW w:w="1275" w:type="pct"/>
            <w:tcBorders>
              <w:tl2br w:val="nil"/>
              <w:tr2bl w:val="nil"/>
            </w:tcBorders>
            <w:tcMar>
              <w:top w:w="50" w:type="dxa"/>
              <w:left w:w="50" w:type="dxa"/>
              <w:bottom w:w="50" w:type="dxa"/>
              <w:right w:w="50" w:type="dxa"/>
            </w:tcMar>
            <w:vAlign w:val="center"/>
          </w:tcPr>
          <w:p w14:paraId="7D447C3B">
            <w:pPr>
              <w:pStyle w:val="84"/>
              <w:jc w:val="both"/>
            </w:pPr>
            <w:r>
              <w:rPr>
                <w:rFonts w:hint="eastAsia"/>
              </w:rPr>
              <w:t>本项目不属于工业企业项目，不属于水电、采矿项目。</w:t>
            </w:r>
          </w:p>
        </w:tc>
        <w:tc>
          <w:tcPr>
            <w:tcW w:w="230" w:type="pct"/>
            <w:tcBorders>
              <w:tl2br w:val="nil"/>
              <w:tr2bl w:val="nil"/>
            </w:tcBorders>
            <w:tcMar>
              <w:top w:w="50" w:type="dxa"/>
              <w:left w:w="50" w:type="dxa"/>
              <w:bottom w:w="50" w:type="dxa"/>
              <w:right w:w="50" w:type="dxa"/>
            </w:tcMar>
            <w:vAlign w:val="center"/>
          </w:tcPr>
          <w:p w14:paraId="475ED061">
            <w:pPr>
              <w:pStyle w:val="84"/>
            </w:pPr>
            <w:r>
              <w:rPr>
                <w:rFonts w:hint="eastAsia"/>
              </w:rPr>
              <w:t>符合</w:t>
            </w:r>
          </w:p>
        </w:tc>
      </w:tr>
      <w:tr w14:paraId="539ED4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26" w:hRule="atLeast"/>
        </w:trPr>
        <w:tc>
          <w:tcPr>
            <w:tcW w:w="0" w:type="auto"/>
            <w:vMerge w:val="continue"/>
            <w:tcBorders>
              <w:tl2br w:val="nil"/>
              <w:tr2bl w:val="nil"/>
            </w:tcBorders>
            <w:tcMar>
              <w:top w:w="50" w:type="dxa"/>
              <w:left w:w="50" w:type="dxa"/>
              <w:bottom w:w="50" w:type="dxa"/>
              <w:right w:w="50" w:type="dxa"/>
            </w:tcMar>
            <w:vAlign w:val="center"/>
          </w:tcPr>
          <w:p w14:paraId="3E5710B2">
            <w:pPr>
              <w:pStyle w:val="84"/>
            </w:pPr>
          </w:p>
        </w:tc>
        <w:tc>
          <w:tcPr>
            <w:tcW w:w="287" w:type="pct"/>
            <w:vMerge w:val="continue"/>
            <w:tcBorders>
              <w:tl2br w:val="nil"/>
              <w:tr2bl w:val="nil"/>
            </w:tcBorders>
            <w:tcMar>
              <w:top w:w="50" w:type="dxa"/>
              <w:left w:w="50" w:type="dxa"/>
              <w:bottom w:w="50" w:type="dxa"/>
              <w:right w:w="50" w:type="dxa"/>
            </w:tcMar>
            <w:vAlign w:val="center"/>
          </w:tcPr>
          <w:p w14:paraId="2D285575">
            <w:pPr>
              <w:pStyle w:val="84"/>
            </w:pPr>
          </w:p>
        </w:tc>
        <w:tc>
          <w:tcPr>
            <w:tcW w:w="351" w:type="pct"/>
            <w:vMerge w:val="continue"/>
            <w:tcBorders>
              <w:tl2br w:val="nil"/>
              <w:tr2bl w:val="nil"/>
            </w:tcBorders>
            <w:tcMar>
              <w:top w:w="50" w:type="dxa"/>
              <w:left w:w="50" w:type="dxa"/>
              <w:bottom w:w="50" w:type="dxa"/>
              <w:right w:w="50" w:type="dxa"/>
            </w:tcMar>
            <w:vAlign w:val="center"/>
          </w:tcPr>
          <w:p w14:paraId="7F632658">
            <w:pPr>
              <w:pStyle w:val="84"/>
            </w:pPr>
          </w:p>
        </w:tc>
        <w:tc>
          <w:tcPr>
            <w:tcW w:w="255" w:type="pct"/>
            <w:vMerge w:val="restart"/>
            <w:tcBorders>
              <w:tl2br w:val="nil"/>
              <w:tr2bl w:val="nil"/>
            </w:tcBorders>
            <w:tcMar>
              <w:top w:w="50" w:type="dxa"/>
              <w:left w:w="50" w:type="dxa"/>
              <w:bottom w:w="50" w:type="dxa"/>
              <w:right w:w="50" w:type="dxa"/>
            </w:tcMar>
            <w:vAlign w:val="center"/>
          </w:tcPr>
          <w:p w14:paraId="19C2EAB1">
            <w:pPr>
              <w:pStyle w:val="84"/>
            </w:pPr>
            <w:r>
              <w:rPr>
                <w:rFonts w:hint="eastAsia"/>
              </w:rPr>
              <w:t>污染物排放管控</w:t>
            </w:r>
          </w:p>
        </w:tc>
        <w:tc>
          <w:tcPr>
            <w:tcW w:w="2408" w:type="pct"/>
            <w:tcBorders>
              <w:tl2br w:val="nil"/>
              <w:tr2bl w:val="nil"/>
            </w:tcBorders>
            <w:tcMar>
              <w:top w:w="50" w:type="dxa"/>
              <w:left w:w="50" w:type="dxa"/>
              <w:bottom w:w="50" w:type="dxa"/>
              <w:right w:w="50" w:type="dxa"/>
            </w:tcMar>
            <w:vAlign w:val="center"/>
          </w:tcPr>
          <w:p w14:paraId="65B2515B">
            <w:pPr>
              <w:pStyle w:val="84"/>
              <w:jc w:val="both"/>
            </w:pPr>
            <w:r>
              <w:rPr>
                <w:rFonts w:hint="eastAsia"/>
              </w:rPr>
              <w:t>【现有源提标升级改造】</w:t>
            </w:r>
          </w:p>
          <w:p w14:paraId="04E7EDB9">
            <w:pPr>
              <w:pStyle w:val="84"/>
              <w:jc w:val="both"/>
            </w:pPr>
            <w:r>
              <w:rPr>
                <w:rFonts w:hint="eastAsia"/>
              </w:rPr>
              <w:t>（1）在矿产资源开发活动集中区域，废水执行重金属污染物排放特别限值。</w:t>
            </w:r>
          </w:p>
          <w:p w14:paraId="509787A1">
            <w:pPr>
              <w:pStyle w:val="84"/>
              <w:jc w:val="both"/>
            </w:pPr>
            <w:r>
              <w:rPr>
                <w:rFonts w:hint="eastAsia"/>
              </w:rPr>
              <w:t>（2）因地制宜、注重实效、突出重点，梯次推进农村生活污水治理。农村生活污水处理执行《四川省农村生活污水处理设施水污染物排放标准》（DB 51 2626-2019）。</w:t>
            </w:r>
          </w:p>
          <w:p w14:paraId="603B18E2">
            <w:pPr>
              <w:pStyle w:val="84"/>
              <w:jc w:val="both"/>
            </w:pPr>
            <w:r>
              <w:rPr>
                <w:rFonts w:hint="eastAsia"/>
              </w:rPr>
              <w:t>（3）新建、改建、扩建规模化畜禽养殖场（养殖小区）要实施雨污分流、粪便污水资源化利用。</w:t>
            </w:r>
          </w:p>
          <w:p w14:paraId="5636776F">
            <w:pPr>
              <w:pStyle w:val="84"/>
              <w:jc w:val="both"/>
            </w:pPr>
            <w:r>
              <w:rPr>
                <w:rFonts w:hint="eastAsia"/>
              </w:rPr>
              <w:t>（4）砖瓦行业实施脱硫、除尘升级改造，污染物排放达到《砖瓦工业大气污染物排放标准》相关要求。</w:t>
            </w:r>
          </w:p>
          <w:p w14:paraId="0290B54B">
            <w:pPr>
              <w:pStyle w:val="84"/>
              <w:jc w:val="both"/>
            </w:pPr>
            <w:r>
              <w:rPr>
                <w:rFonts w:hint="eastAsia"/>
              </w:rPr>
              <w:t>（5）水泥行业按相关要求推进大气污染物超低排放和深度治理。</w:t>
            </w:r>
          </w:p>
        </w:tc>
        <w:tc>
          <w:tcPr>
            <w:tcW w:w="1275" w:type="pct"/>
            <w:tcBorders>
              <w:tl2br w:val="nil"/>
              <w:tr2bl w:val="nil"/>
            </w:tcBorders>
            <w:tcMar>
              <w:top w:w="50" w:type="dxa"/>
              <w:left w:w="50" w:type="dxa"/>
              <w:bottom w:w="50" w:type="dxa"/>
              <w:right w:w="50" w:type="dxa"/>
            </w:tcMar>
            <w:vAlign w:val="center"/>
          </w:tcPr>
          <w:p w14:paraId="0487BB2B">
            <w:pPr>
              <w:pStyle w:val="84"/>
              <w:jc w:val="both"/>
            </w:pPr>
            <w:r>
              <w:rPr>
                <w:rFonts w:hint="eastAsia"/>
              </w:rPr>
              <w:t>1、本项目不属于采矿项目，项目废水污染物主要为施工过程中的生活污水、车辆冲洗废水、混凝土养护废水、基坑排水等，生活污水经租赁民房现有污水处理设施处理后用作农肥，车辆冲洗废水经沉淀隔油处理后回用于道路洒水降尘，混凝土养护废水经沉淀池处理后回用于工序，基坑排水经沉淀处理后用于排入水体；废水不涉及重金属的排放；</w:t>
            </w:r>
          </w:p>
          <w:p w14:paraId="66240796">
            <w:pPr>
              <w:pStyle w:val="84"/>
              <w:jc w:val="both"/>
            </w:pPr>
            <w:r>
              <w:rPr>
                <w:rFonts w:hint="eastAsia"/>
              </w:rPr>
              <w:t>2、项目生活污水经租赁民房现有污水处理设施处理后用作农肥；</w:t>
            </w:r>
          </w:p>
          <w:p w14:paraId="0F43E159">
            <w:pPr>
              <w:pStyle w:val="84"/>
              <w:jc w:val="both"/>
            </w:pPr>
            <w:r>
              <w:rPr>
                <w:rFonts w:hint="eastAsia"/>
              </w:rPr>
              <w:t>3、本项目不涉及；</w:t>
            </w:r>
          </w:p>
          <w:p w14:paraId="3A28D20C">
            <w:pPr>
              <w:pStyle w:val="84"/>
              <w:jc w:val="both"/>
            </w:pPr>
            <w:r>
              <w:rPr>
                <w:rFonts w:hint="eastAsia"/>
              </w:rPr>
              <w:t>4、本项目不涉及；</w:t>
            </w:r>
          </w:p>
          <w:p w14:paraId="4B0EF179">
            <w:pPr>
              <w:pStyle w:val="84"/>
              <w:jc w:val="both"/>
            </w:pPr>
            <w:r>
              <w:rPr>
                <w:rFonts w:hint="eastAsia"/>
              </w:rPr>
              <w:t>5、本项目不涉及。</w:t>
            </w:r>
          </w:p>
        </w:tc>
        <w:tc>
          <w:tcPr>
            <w:tcW w:w="230" w:type="pct"/>
            <w:tcBorders>
              <w:tl2br w:val="nil"/>
              <w:tr2bl w:val="nil"/>
            </w:tcBorders>
            <w:tcMar>
              <w:top w:w="50" w:type="dxa"/>
              <w:left w:w="50" w:type="dxa"/>
              <w:bottom w:w="50" w:type="dxa"/>
              <w:right w:w="50" w:type="dxa"/>
            </w:tcMar>
            <w:vAlign w:val="center"/>
          </w:tcPr>
          <w:p w14:paraId="17528401">
            <w:pPr>
              <w:pStyle w:val="84"/>
            </w:pPr>
            <w:r>
              <w:rPr>
                <w:rFonts w:hint="eastAsia"/>
              </w:rPr>
              <w:t>符合</w:t>
            </w:r>
          </w:p>
        </w:tc>
      </w:tr>
      <w:tr w14:paraId="0893DE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26" w:hRule="atLeast"/>
        </w:trPr>
        <w:tc>
          <w:tcPr>
            <w:tcW w:w="0" w:type="auto"/>
            <w:vMerge w:val="continue"/>
            <w:tcBorders>
              <w:tl2br w:val="nil"/>
              <w:tr2bl w:val="nil"/>
            </w:tcBorders>
            <w:tcMar>
              <w:top w:w="50" w:type="dxa"/>
              <w:left w:w="50" w:type="dxa"/>
              <w:bottom w:w="50" w:type="dxa"/>
              <w:right w:w="50" w:type="dxa"/>
            </w:tcMar>
            <w:vAlign w:val="center"/>
          </w:tcPr>
          <w:p w14:paraId="0F3A180C">
            <w:pPr>
              <w:pStyle w:val="84"/>
            </w:pPr>
          </w:p>
        </w:tc>
        <w:tc>
          <w:tcPr>
            <w:tcW w:w="287" w:type="pct"/>
            <w:vMerge w:val="continue"/>
            <w:tcBorders>
              <w:tl2br w:val="nil"/>
              <w:tr2bl w:val="nil"/>
            </w:tcBorders>
            <w:tcMar>
              <w:top w:w="50" w:type="dxa"/>
              <w:left w:w="50" w:type="dxa"/>
              <w:bottom w:w="50" w:type="dxa"/>
              <w:right w:w="50" w:type="dxa"/>
            </w:tcMar>
            <w:vAlign w:val="center"/>
          </w:tcPr>
          <w:p w14:paraId="42B93A9C">
            <w:pPr>
              <w:pStyle w:val="84"/>
            </w:pPr>
          </w:p>
        </w:tc>
        <w:tc>
          <w:tcPr>
            <w:tcW w:w="351" w:type="pct"/>
            <w:vMerge w:val="continue"/>
            <w:tcBorders>
              <w:tl2br w:val="nil"/>
              <w:tr2bl w:val="nil"/>
            </w:tcBorders>
            <w:tcMar>
              <w:top w:w="50" w:type="dxa"/>
              <w:left w:w="50" w:type="dxa"/>
              <w:bottom w:w="50" w:type="dxa"/>
              <w:right w:w="50" w:type="dxa"/>
            </w:tcMar>
            <w:vAlign w:val="center"/>
          </w:tcPr>
          <w:p w14:paraId="570A39A1">
            <w:pPr>
              <w:pStyle w:val="84"/>
            </w:pPr>
          </w:p>
        </w:tc>
        <w:tc>
          <w:tcPr>
            <w:tcW w:w="255" w:type="pct"/>
            <w:vMerge w:val="continue"/>
            <w:tcBorders>
              <w:tl2br w:val="nil"/>
              <w:tr2bl w:val="nil"/>
            </w:tcBorders>
            <w:tcMar>
              <w:top w:w="50" w:type="dxa"/>
              <w:left w:w="50" w:type="dxa"/>
              <w:bottom w:w="50" w:type="dxa"/>
              <w:right w:w="50" w:type="dxa"/>
            </w:tcMar>
            <w:vAlign w:val="center"/>
          </w:tcPr>
          <w:p w14:paraId="3E51AFDA">
            <w:pPr>
              <w:pStyle w:val="84"/>
            </w:pPr>
          </w:p>
        </w:tc>
        <w:tc>
          <w:tcPr>
            <w:tcW w:w="2408" w:type="pct"/>
            <w:tcBorders>
              <w:tl2br w:val="nil"/>
              <w:tr2bl w:val="nil"/>
            </w:tcBorders>
            <w:tcMar>
              <w:top w:w="50" w:type="dxa"/>
              <w:left w:w="50" w:type="dxa"/>
              <w:bottom w:w="50" w:type="dxa"/>
              <w:right w:w="50" w:type="dxa"/>
            </w:tcMar>
            <w:vAlign w:val="center"/>
          </w:tcPr>
          <w:p w14:paraId="5ED41A48">
            <w:pPr>
              <w:pStyle w:val="84"/>
              <w:jc w:val="both"/>
            </w:pPr>
            <w:r>
              <w:rPr>
                <w:rFonts w:hint="eastAsia"/>
              </w:rPr>
              <w:t>【其他污染物排放管控要求】</w:t>
            </w:r>
          </w:p>
          <w:p w14:paraId="0A011F11">
            <w:pPr>
              <w:pStyle w:val="84"/>
              <w:jc w:val="both"/>
            </w:pPr>
            <w:r>
              <w:rPr>
                <w:rFonts w:hint="eastAsia"/>
              </w:rPr>
              <w:t>（1）矿业：①加强矿山采选废水的处理和综合利用工作，选矿废水全部综合利用，不外排，采矿废水应尽量回用。②在矿产资源开发活动集中区域，废水执行重金属污染物排放特别限值。③严控引入有色金属冶炼产业（不使用矿石的产业链下游精加工产品制造除外），相关企业须满足污染物排放管控和治理要求。</w:t>
            </w:r>
          </w:p>
          <w:p w14:paraId="681179A8">
            <w:pPr>
              <w:pStyle w:val="84"/>
              <w:jc w:val="both"/>
            </w:pPr>
            <w:r>
              <w:rPr>
                <w:rFonts w:hint="eastAsia"/>
              </w:rPr>
              <w:t>（2）建筑业：①砖瓦行业实施脱硫、除尘升级改造，污染物排放达到《砖瓦工业大气污染物排放标准》相关要求。②水泥行业按相关要求推进大气污染物超低排放和深度治理。</w:t>
            </w:r>
          </w:p>
          <w:p w14:paraId="017521DD">
            <w:pPr>
              <w:pStyle w:val="84"/>
              <w:jc w:val="both"/>
            </w:pPr>
            <w:r>
              <w:rPr>
                <w:rFonts w:hint="eastAsia"/>
              </w:rPr>
              <w:t>（3）农牧业：①合理化畜禽养殖布局，推进畜禽粪污无害化、资源化综合处置利用。规模化畜禽养殖场（小区）粪污处理设施装备配套率达到95%以上，粪污综合利用率达到75%以上，大型规模养殖场粪污处理设施装备配套率达到100%。②新、改扩建规模化畜禽养殖场（小区）要实施雨污分流、粪便污水资源化利用。③散养密集区要实行畜禽粪便污水分户收集、集中处理利用。</w:t>
            </w:r>
          </w:p>
          <w:p w14:paraId="05A0CA1F">
            <w:pPr>
              <w:pStyle w:val="84"/>
              <w:jc w:val="both"/>
            </w:pPr>
            <w:r>
              <w:rPr>
                <w:rFonts w:hint="eastAsia"/>
              </w:rPr>
              <w:t>（4）污水及垃圾：①基本实现乡镇污水处理设施全覆盖，配套建设污水收集管网，乡镇污水处理率达到50%。②因地制宜、注重实效、突出重点，梯次推进农村生活污水治理，农村生活污水处理执行《四川省农村生活污水处理设施水污染物排放标准》（DB 51 2626-2019）。③到2023年底，县城生活垃圾无害化处理率达95%以上；乡镇及行政村生活垃圾收转运处置体系基本实现全覆盖，其中行政村生活垃圾收转运体系覆盖率2021年底达90%，2022年底全覆盖；2022年底再生资源回收网点覆盖60%以上行政村。</w:t>
            </w:r>
          </w:p>
          <w:p w14:paraId="0476A889">
            <w:pPr>
              <w:pStyle w:val="84"/>
              <w:jc w:val="both"/>
            </w:pPr>
            <w:r>
              <w:rPr>
                <w:rFonts w:hint="eastAsia"/>
              </w:rPr>
              <w:t>（5）屠宰项目必须配套污水处理设施或进入城市污水管网。</w:t>
            </w:r>
          </w:p>
          <w:p w14:paraId="572C4141">
            <w:pPr>
              <w:pStyle w:val="84"/>
              <w:jc w:val="both"/>
            </w:pPr>
            <w:r>
              <w:rPr>
                <w:rFonts w:hint="eastAsia"/>
              </w:rPr>
              <w:t>（6）新建、改建、扩建尾矿库的，应当根据国家有关规定和尾矿库实际情况，配套建设防渗、渗滤液收集、废水处理、环境监测、环境应急等污染防治设施。</w:t>
            </w:r>
          </w:p>
          <w:p w14:paraId="57D03EFE">
            <w:pPr>
              <w:pStyle w:val="84"/>
              <w:jc w:val="both"/>
            </w:pPr>
            <w:r>
              <w:rPr>
                <w:rFonts w:hint="eastAsia"/>
              </w:rPr>
              <w:t>（7）尾矿库配套的渗滤液收集池、回水池、环境应急事故池等设施的防渗要求应当不低于该尾矿库的防渗要求，并设置防漫流设施。尾矿库上游、下游和可能出现污染扩散的尾矿库周边区域，应当设置地下水水质监测井。</w:t>
            </w:r>
          </w:p>
          <w:p w14:paraId="6B0D7F9F">
            <w:pPr>
              <w:pStyle w:val="84"/>
              <w:jc w:val="both"/>
            </w:pPr>
            <w:r>
              <w:rPr>
                <w:rFonts w:hint="eastAsia"/>
              </w:rPr>
              <w:t>（8）尾矿水应当优先返回选矿工艺使用；向环境排放的，应当符合国家和地方污染物排放标准，不得与尾矿库外的雨水混合排放，并按照有关规定设置污染物排放口，设立标志，依法安装流量计和视频监控；</w:t>
            </w:r>
          </w:p>
          <w:p w14:paraId="7FE5DF6F">
            <w:pPr>
              <w:pStyle w:val="84"/>
              <w:jc w:val="both"/>
            </w:pPr>
            <w:r>
              <w:rPr>
                <w:rFonts w:hint="eastAsia"/>
              </w:rPr>
              <w:t>（9）非金属矿、有色金属、黄金等行业采矿严格按照现行有效的绿色矿山建设要求执行。</w:t>
            </w:r>
          </w:p>
        </w:tc>
        <w:tc>
          <w:tcPr>
            <w:tcW w:w="1275" w:type="pct"/>
            <w:tcBorders>
              <w:tl2br w:val="nil"/>
              <w:tr2bl w:val="nil"/>
            </w:tcBorders>
            <w:tcMar>
              <w:top w:w="50" w:type="dxa"/>
              <w:left w:w="50" w:type="dxa"/>
              <w:bottom w:w="50" w:type="dxa"/>
              <w:right w:w="50" w:type="dxa"/>
            </w:tcMar>
            <w:vAlign w:val="center"/>
          </w:tcPr>
          <w:p w14:paraId="30B99C16">
            <w:pPr>
              <w:pStyle w:val="84"/>
              <w:jc w:val="both"/>
            </w:pPr>
            <w:r>
              <w:rPr>
                <w:rFonts w:hint="eastAsia"/>
              </w:rPr>
              <w:t>1、本项目不涉及；</w:t>
            </w:r>
          </w:p>
          <w:p w14:paraId="5BA5CE15">
            <w:pPr>
              <w:pStyle w:val="84"/>
              <w:jc w:val="both"/>
            </w:pPr>
            <w:r>
              <w:rPr>
                <w:rFonts w:hint="eastAsia"/>
              </w:rPr>
              <w:t>2、本项目不涉及；</w:t>
            </w:r>
          </w:p>
          <w:p w14:paraId="02DFF085">
            <w:pPr>
              <w:pStyle w:val="84"/>
              <w:jc w:val="both"/>
            </w:pPr>
            <w:r>
              <w:rPr>
                <w:rFonts w:hint="eastAsia"/>
              </w:rPr>
              <w:t>3、本项目不涉及。</w:t>
            </w:r>
          </w:p>
          <w:p w14:paraId="641ADF94">
            <w:pPr>
              <w:pStyle w:val="84"/>
              <w:jc w:val="both"/>
            </w:pPr>
            <w:r>
              <w:rPr>
                <w:rFonts w:hint="eastAsia"/>
              </w:rPr>
              <w:t>4、项目废水污染物主要为施工过程中的生活污水、车辆冲洗废水、混凝土养护废水、基坑排水等，生活污水经租赁民房现有污水处理设施处理后用作农肥，车辆冲洗废水经沉淀隔油处理后回用于道路洒水降尘，混凝土养护废水经沉淀池处理后回用于工序，基坑排水经沉淀处理后用于排入水体；废水不涉及重金属的排放；生活垃圾收集后交由环卫单位清运处置；</w:t>
            </w:r>
          </w:p>
          <w:p w14:paraId="7600129F">
            <w:pPr>
              <w:pStyle w:val="84"/>
              <w:jc w:val="both"/>
            </w:pPr>
            <w:r>
              <w:rPr>
                <w:rFonts w:hint="eastAsia"/>
              </w:rPr>
              <w:t>5、本项目不涉及；</w:t>
            </w:r>
          </w:p>
          <w:p w14:paraId="7BD75724">
            <w:pPr>
              <w:pStyle w:val="84"/>
              <w:jc w:val="both"/>
            </w:pPr>
            <w:r>
              <w:rPr>
                <w:rFonts w:hint="eastAsia"/>
              </w:rPr>
              <w:t>6、本项目不涉及；</w:t>
            </w:r>
          </w:p>
          <w:p w14:paraId="0F370A2D">
            <w:pPr>
              <w:pStyle w:val="84"/>
              <w:jc w:val="both"/>
            </w:pPr>
            <w:r>
              <w:rPr>
                <w:rFonts w:hint="eastAsia"/>
              </w:rPr>
              <w:t>7、本项目不涉及；</w:t>
            </w:r>
          </w:p>
          <w:p w14:paraId="4D8E0AD5">
            <w:pPr>
              <w:pStyle w:val="84"/>
              <w:jc w:val="both"/>
            </w:pPr>
            <w:r>
              <w:rPr>
                <w:rFonts w:hint="eastAsia"/>
              </w:rPr>
              <w:t>8、本项目不涉及；</w:t>
            </w:r>
          </w:p>
          <w:p w14:paraId="5D4266D8">
            <w:pPr>
              <w:pStyle w:val="84"/>
              <w:jc w:val="both"/>
            </w:pPr>
            <w:r>
              <w:rPr>
                <w:rFonts w:hint="eastAsia"/>
              </w:rPr>
              <w:t>9、本项目不涉及。</w:t>
            </w:r>
          </w:p>
        </w:tc>
        <w:tc>
          <w:tcPr>
            <w:tcW w:w="230" w:type="pct"/>
            <w:tcBorders>
              <w:tl2br w:val="nil"/>
              <w:tr2bl w:val="nil"/>
            </w:tcBorders>
            <w:tcMar>
              <w:top w:w="50" w:type="dxa"/>
              <w:left w:w="50" w:type="dxa"/>
              <w:bottom w:w="50" w:type="dxa"/>
              <w:right w:w="50" w:type="dxa"/>
            </w:tcMar>
            <w:vAlign w:val="center"/>
          </w:tcPr>
          <w:p w14:paraId="577041A9">
            <w:pPr>
              <w:pStyle w:val="84"/>
            </w:pPr>
            <w:r>
              <w:rPr>
                <w:rFonts w:hint="eastAsia"/>
              </w:rPr>
              <w:t>符合</w:t>
            </w:r>
          </w:p>
        </w:tc>
      </w:tr>
      <w:tr w14:paraId="5918E0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0" w:type="auto"/>
            <w:vMerge w:val="continue"/>
            <w:tcBorders>
              <w:tl2br w:val="nil"/>
              <w:tr2bl w:val="nil"/>
            </w:tcBorders>
            <w:tcMar>
              <w:top w:w="50" w:type="dxa"/>
              <w:left w:w="50" w:type="dxa"/>
              <w:bottom w:w="50" w:type="dxa"/>
              <w:right w:w="50" w:type="dxa"/>
            </w:tcMar>
            <w:vAlign w:val="center"/>
          </w:tcPr>
          <w:p w14:paraId="2BC76EAE">
            <w:pPr>
              <w:pStyle w:val="84"/>
            </w:pPr>
          </w:p>
        </w:tc>
        <w:tc>
          <w:tcPr>
            <w:tcW w:w="287" w:type="pct"/>
            <w:vMerge w:val="continue"/>
            <w:tcBorders>
              <w:tl2br w:val="nil"/>
              <w:tr2bl w:val="nil"/>
            </w:tcBorders>
            <w:tcMar>
              <w:top w:w="50" w:type="dxa"/>
              <w:left w:w="50" w:type="dxa"/>
              <w:bottom w:w="50" w:type="dxa"/>
              <w:right w:w="50" w:type="dxa"/>
            </w:tcMar>
            <w:vAlign w:val="center"/>
          </w:tcPr>
          <w:p w14:paraId="1CEDE693">
            <w:pPr>
              <w:pStyle w:val="84"/>
            </w:pPr>
          </w:p>
        </w:tc>
        <w:tc>
          <w:tcPr>
            <w:tcW w:w="351" w:type="pct"/>
            <w:vMerge w:val="continue"/>
            <w:tcBorders>
              <w:tl2br w:val="nil"/>
              <w:tr2bl w:val="nil"/>
            </w:tcBorders>
            <w:tcMar>
              <w:top w:w="50" w:type="dxa"/>
              <w:left w:w="50" w:type="dxa"/>
              <w:bottom w:w="50" w:type="dxa"/>
              <w:right w:w="50" w:type="dxa"/>
            </w:tcMar>
            <w:vAlign w:val="center"/>
          </w:tcPr>
          <w:p w14:paraId="6DB35550">
            <w:pPr>
              <w:pStyle w:val="84"/>
            </w:pPr>
          </w:p>
        </w:tc>
        <w:tc>
          <w:tcPr>
            <w:tcW w:w="255" w:type="pct"/>
            <w:tcBorders>
              <w:tl2br w:val="nil"/>
              <w:tr2bl w:val="nil"/>
            </w:tcBorders>
            <w:tcMar>
              <w:top w:w="50" w:type="dxa"/>
              <w:left w:w="50" w:type="dxa"/>
              <w:bottom w:w="50" w:type="dxa"/>
              <w:right w:w="50" w:type="dxa"/>
            </w:tcMar>
            <w:vAlign w:val="center"/>
          </w:tcPr>
          <w:p w14:paraId="13DCDBF2">
            <w:pPr>
              <w:pStyle w:val="84"/>
            </w:pPr>
            <w:r>
              <w:rPr>
                <w:rFonts w:hint="eastAsia"/>
              </w:rPr>
              <w:t>环境风险防控</w:t>
            </w:r>
          </w:p>
        </w:tc>
        <w:tc>
          <w:tcPr>
            <w:tcW w:w="2408" w:type="pct"/>
            <w:tcBorders>
              <w:tl2br w:val="nil"/>
              <w:tr2bl w:val="nil"/>
            </w:tcBorders>
            <w:tcMar>
              <w:top w:w="50" w:type="dxa"/>
              <w:left w:w="50" w:type="dxa"/>
              <w:bottom w:w="50" w:type="dxa"/>
              <w:right w:w="50" w:type="dxa"/>
            </w:tcMar>
            <w:vAlign w:val="center"/>
          </w:tcPr>
          <w:p w14:paraId="1AEE8C63">
            <w:pPr>
              <w:pStyle w:val="59"/>
              <w:jc w:val="both"/>
              <w:rPr>
                <w:rFonts w:cs="Times New Roman"/>
              </w:rPr>
            </w:pPr>
            <w:r>
              <w:rPr>
                <w:rFonts w:hint="eastAsia" w:cs="Times New Roman"/>
              </w:rPr>
              <w:t>【其他环境风险防控要求】</w:t>
            </w:r>
          </w:p>
          <w:p w14:paraId="4C8C71A7">
            <w:pPr>
              <w:pStyle w:val="59"/>
              <w:jc w:val="both"/>
              <w:rPr>
                <w:rFonts w:cs="Times New Roman"/>
              </w:rPr>
            </w:pPr>
            <w:r>
              <w:rPr>
                <w:rFonts w:hint="eastAsia" w:cs="Times New Roman"/>
              </w:rPr>
              <w:t>（1）工业企业退出用地，应按相关要求进行评估、修复，满足相应用地功能后，方可改变用途。</w:t>
            </w:r>
          </w:p>
          <w:p w14:paraId="42F0FCA5">
            <w:pPr>
              <w:pStyle w:val="59"/>
              <w:jc w:val="both"/>
              <w:rPr>
                <w:rFonts w:cs="Times New Roman"/>
              </w:rPr>
            </w:pPr>
            <w:r>
              <w:rPr>
                <w:rFonts w:hint="eastAsia" w:cs="Times New Roman"/>
              </w:rPr>
              <w:t>（2）加强“散乱污”企业环境风险防控。</w:t>
            </w:r>
          </w:p>
          <w:p w14:paraId="32190BC7">
            <w:pPr>
              <w:pStyle w:val="59"/>
              <w:jc w:val="both"/>
              <w:rPr>
                <w:rFonts w:cs="Times New Roman"/>
              </w:rPr>
            </w:pPr>
            <w:r>
              <w:rPr>
                <w:rFonts w:hint="eastAsia" w:cs="Times New Roman"/>
              </w:rPr>
              <w:t>（3）严禁将城镇生活垃圾、污泥、工业废物直接用作肥料，禁止处理不达标的污泥进入耕地；禁止在农用地排放、倾倒、使用污泥、清淤底泥、尾矿（渣）等可能对土壤造成污染的固体废物。</w:t>
            </w:r>
          </w:p>
          <w:p w14:paraId="05E58FDD">
            <w:pPr>
              <w:pStyle w:val="59"/>
              <w:jc w:val="both"/>
              <w:rPr>
                <w:rFonts w:cs="Times New Roman"/>
              </w:rPr>
            </w:pPr>
            <w:r>
              <w:rPr>
                <w:rFonts w:hint="eastAsia" w:cs="Times New Roman"/>
              </w:rPr>
              <w:t>（4）严格控制农药使用量，禁止使用高毒、高残留农药。</w:t>
            </w:r>
          </w:p>
          <w:p w14:paraId="52CCB819">
            <w:pPr>
              <w:pStyle w:val="59"/>
              <w:jc w:val="both"/>
              <w:rPr>
                <w:rFonts w:cs="Times New Roman"/>
              </w:rPr>
            </w:pPr>
            <w:r>
              <w:rPr>
                <w:rFonts w:hint="eastAsia" w:cs="Times New Roman"/>
              </w:rPr>
              <w:t>（5）定期对单元内尾矿库进行风险巡查，建立监测系统和环境风险应急预案，完善各尾矿库渗滤液收集、处理、回用系统，杜绝事故排放；尾矿库闭矿后因地制宜进行植被恢复和综合利用。</w:t>
            </w:r>
          </w:p>
          <w:p w14:paraId="12BF745F">
            <w:pPr>
              <w:pStyle w:val="59"/>
              <w:jc w:val="both"/>
              <w:rPr>
                <w:rFonts w:cs="Times New Roman"/>
              </w:rPr>
            </w:pPr>
            <w:r>
              <w:rPr>
                <w:rFonts w:hint="eastAsia" w:cs="Times New Roman"/>
              </w:rPr>
              <w:t>（6）禁止向农田灌溉渠道排放工业废水或者医疗污水；向农田灌溉渠道排放城镇污水以及未综合利用的畜禽养殖废水、农产品加工废水的，应当保证其下游最近的灌溉取水点的水质符合农田灌溉水质标准。</w:t>
            </w:r>
          </w:p>
          <w:p w14:paraId="55E01975">
            <w:pPr>
              <w:pStyle w:val="59"/>
              <w:jc w:val="both"/>
              <w:rPr>
                <w:rFonts w:cs="Times New Roman"/>
              </w:rPr>
            </w:pPr>
            <w:r>
              <w:rPr>
                <w:rFonts w:hint="eastAsia" w:cs="Times New Roman"/>
              </w:rPr>
              <w:t>（7）矿业环境风险防控要求：①在矿产资源开发活动集中区域，废水执行重金属污染物排放特别限值。②严格执行闭矿后环保措施，进行矿区废弃土地复垦和矿山地质环境破坏区域恢复治理。</w:t>
            </w:r>
          </w:p>
        </w:tc>
        <w:tc>
          <w:tcPr>
            <w:tcW w:w="1275" w:type="pct"/>
            <w:tcBorders>
              <w:tl2br w:val="nil"/>
              <w:tr2bl w:val="nil"/>
            </w:tcBorders>
            <w:tcMar>
              <w:top w:w="50" w:type="dxa"/>
              <w:left w:w="50" w:type="dxa"/>
              <w:bottom w:w="50" w:type="dxa"/>
              <w:right w:w="50" w:type="dxa"/>
            </w:tcMar>
            <w:vAlign w:val="center"/>
          </w:tcPr>
          <w:p w14:paraId="113D7925">
            <w:pPr>
              <w:pStyle w:val="84"/>
              <w:jc w:val="both"/>
            </w:pPr>
            <w:r>
              <w:rPr>
                <w:rFonts w:hint="eastAsia"/>
              </w:rPr>
              <w:t>1、本项目为防洪除涝项目，不属于工业企业；</w:t>
            </w:r>
          </w:p>
          <w:p w14:paraId="7E5D3989">
            <w:pPr>
              <w:pStyle w:val="84"/>
              <w:jc w:val="both"/>
            </w:pPr>
            <w:r>
              <w:rPr>
                <w:rFonts w:hint="eastAsia"/>
              </w:rPr>
              <w:t>2、项目污染物主要为施工期扬尘、燃油废气、生活污水、车辆清洗废水、基坑排水、生活垃圾、建筑垃圾等，均得到了有效的治理，对外环境影响很小，环境风险很小；</w:t>
            </w:r>
          </w:p>
          <w:p w14:paraId="59752658">
            <w:pPr>
              <w:pStyle w:val="84"/>
              <w:jc w:val="both"/>
            </w:pPr>
            <w:r>
              <w:rPr>
                <w:rFonts w:hint="eastAsia"/>
              </w:rPr>
              <w:t>3、项目施工期固废主要为生活垃圾、建筑垃圾，生活垃圾收集后交由环卫单位清运处置，建筑垃圾收集后清运至建筑垃圾堆场处置；</w:t>
            </w:r>
          </w:p>
          <w:p w14:paraId="7E4CD542">
            <w:pPr>
              <w:pStyle w:val="84"/>
              <w:jc w:val="both"/>
            </w:pPr>
            <w:r>
              <w:rPr>
                <w:rFonts w:hint="eastAsia"/>
              </w:rPr>
              <w:t>4、本项目不涉及；</w:t>
            </w:r>
          </w:p>
          <w:p w14:paraId="649E3644">
            <w:pPr>
              <w:pStyle w:val="84"/>
              <w:jc w:val="both"/>
            </w:pPr>
            <w:r>
              <w:rPr>
                <w:rFonts w:hint="eastAsia"/>
              </w:rPr>
              <w:t>5、本项目不涉及；</w:t>
            </w:r>
          </w:p>
          <w:p w14:paraId="2494C11F">
            <w:pPr>
              <w:pStyle w:val="84"/>
              <w:jc w:val="both"/>
            </w:pPr>
            <w:r>
              <w:rPr>
                <w:rFonts w:hint="eastAsia"/>
              </w:rPr>
              <w:t>6、项目废水污染物主要为施工过程中的生活污水、车辆冲洗废水、混凝土养护废水、基坑排水等，生活污水经租赁民房现有污水处理设施处理后用作农肥，车辆冲洗废水经沉淀隔油处理后回用于道路洒水降尘，混凝土养护废水经沉淀池处理后回用于工序，基坑排水经沉淀处理后用于排入水体；废水不涉及重金属的排放；</w:t>
            </w:r>
          </w:p>
          <w:p w14:paraId="79C183BF">
            <w:pPr>
              <w:pStyle w:val="84"/>
              <w:jc w:val="both"/>
            </w:pPr>
            <w:r>
              <w:rPr>
                <w:rFonts w:hint="eastAsia"/>
              </w:rPr>
              <w:t>7、本项目不涉及。</w:t>
            </w:r>
          </w:p>
        </w:tc>
        <w:tc>
          <w:tcPr>
            <w:tcW w:w="230" w:type="pct"/>
            <w:tcBorders>
              <w:tl2br w:val="nil"/>
              <w:tr2bl w:val="nil"/>
            </w:tcBorders>
            <w:tcMar>
              <w:top w:w="50" w:type="dxa"/>
              <w:left w:w="50" w:type="dxa"/>
              <w:bottom w:w="50" w:type="dxa"/>
              <w:right w:w="50" w:type="dxa"/>
            </w:tcMar>
            <w:vAlign w:val="center"/>
          </w:tcPr>
          <w:p w14:paraId="0FE82D27">
            <w:pPr>
              <w:pStyle w:val="84"/>
            </w:pPr>
            <w:r>
              <w:rPr>
                <w:rFonts w:hint="eastAsia"/>
              </w:rPr>
              <w:t>符合</w:t>
            </w:r>
          </w:p>
        </w:tc>
      </w:tr>
      <w:tr w14:paraId="195627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0" w:type="auto"/>
            <w:vMerge w:val="continue"/>
            <w:tcBorders>
              <w:tl2br w:val="nil"/>
              <w:tr2bl w:val="nil"/>
            </w:tcBorders>
            <w:tcMar>
              <w:top w:w="50" w:type="dxa"/>
              <w:left w:w="50" w:type="dxa"/>
              <w:bottom w:w="50" w:type="dxa"/>
              <w:right w:w="50" w:type="dxa"/>
            </w:tcMar>
            <w:vAlign w:val="center"/>
          </w:tcPr>
          <w:p w14:paraId="2A78A615">
            <w:pPr>
              <w:pStyle w:val="84"/>
            </w:pPr>
          </w:p>
        </w:tc>
        <w:tc>
          <w:tcPr>
            <w:tcW w:w="287" w:type="pct"/>
            <w:vMerge w:val="continue"/>
            <w:tcBorders>
              <w:tl2br w:val="nil"/>
              <w:tr2bl w:val="nil"/>
            </w:tcBorders>
            <w:tcMar>
              <w:top w:w="50" w:type="dxa"/>
              <w:left w:w="50" w:type="dxa"/>
              <w:bottom w:w="50" w:type="dxa"/>
              <w:right w:w="50" w:type="dxa"/>
            </w:tcMar>
            <w:vAlign w:val="center"/>
          </w:tcPr>
          <w:p w14:paraId="718834E4">
            <w:pPr>
              <w:pStyle w:val="84"/>
            </w:pPr>
          </w:p>
        </w:tc>
        <w:tc>
          <w:tcPr>
            <w:tcW w:w="351" w:type="pct"/>
            <w:vMerge w:val="continue"/>
            <w:tcBorders>
              <w:tl2br w:val="nil"/>
              <w:tr2bl w:val="nil"/>
            </w:tcBorders>
            <w:tcMar>
              <w:top w:w="50" w:type="dxa"/>
              <w:left w:w="50" w:type="dxa"/>
              <w:bottom w:w="50" w:type="dxa"/>
              <w:right w:w="50" w:type="dxa"/>
            </w:tcMar>
            <w:vAlign w:val="center"/>
          </w:tcPr>
          <w:p w14:paraId="1161F0B0">
            <w:pPr>
              <w:pStyle w:val="84"/>
            </w:pPr>
          </w:p>
        </w:tc>
        <w:tc>
          <w:tcPr>
            <w:tcW w:w="255" w:type="pct"/>
            <w:vMerge w:val="restart"/>
            <w:tcBorders>
              <w:tl2br w:val="nil"/>
              <w:tr2bl w:val="nil"/>
            </w:tcBorders>
            <w:tcMar>
              <w:top w:w="50" w:type="dxa"/>
              <w:left w:w="50" w:type="dxa"/>
              <w:bottom w:w="50" w:type="dxa"/>
              <w:right w:w="50" w:type="dxa"/>
            </w:tcMar>
            <w:vAlign w:val="center"/>
          </w:tcPr>
          <w:p w14:paraId="755B4C1A">
            <w:pPr>
              <w:pStyle w:val="84"/>
            </w:pPr>
            <w:r>
              <w:rPr>
                <w:rFonts w:hint="eastAsia"/>
              </w:rPr>
              <w:t>资源开发利用效率要求</w:t>
            </w:r>
          </w:p>
        </w:tc>
        <w:tc>
          <w:tcPr>
            <w:tcW w:w="2408" w:type="pct"/>
            <w:tcBorders>
              <w:tl2br w:val="nil"/>
              <w:tr2bl w:val="nil"/>
            </w:tcBorders>
            <w:tcMar>
              <w:top w:w="50" w:type="dxa"/>
              <w:left w:w="50" w:type="dxa"/>
              <w:bottom w:w="50" w:type="dxa"/>
              <w:right w:w="50" w:type="dxa"/>
            </w:tcMar>
            <w:vAlign w:val="center"/>
          </w:tcPr>
          <w:p w14:paraId="4A837C2D">
            <w:pPr>
              <w:pStyle w:val="84"/>
              <w:jc w:val="both"/>
            </w:pPr>
            <w:r>
              <w:rPr>
                <w:rFonts w:hint="eastAsia"/>
              </w:rPr>
              <w:t>【水资源利用总量要求】</w:t>
            </w:r>
          </w:p>
          <w:p w14:paraId="313FB892">
            <w:pPr>
              <w:pStyle w:val="84"/>
              <w:jc w:val="both"/>
            </w:pPr>
            <w:r>
              <w:rPr>
                <w:rFonts w:hint="eastAsia"/>
              </w:rPr>
              <w:t>严格实行用水总量和强度控制。加强农业节水增效，大力推进节水灌溉、优化调整作物种植结构、推广畜牧渔业节水方式、加快推进农村生活节水；实施城镇节水降损，全面推进城市节水、大幅降低供水管网漏损、强化公共用水管理、严控高耗水服务用水。</w:t>
            </w:r>
          </w:p>
        </w:tc>
        <w:tc>
          <w:tcPr>
            <w:tcW w:w="1275" w:type="pct"/>
            <w:tcBorders>
              <w:tl2br w:val="nil"/>
              <w:tr2bl w:val="nil"/>
            </w:tcBorders>
            <w:tcMar>
              <w:top w:w="50" w:type="dxa"/>
              <w:left w:w="50" w:type="dxa"/>
              <w:bottom w:w="50" w:type="dxa"/>
              <w:right w:w="50" w:type="dxa"/>
            </w:tcMar>
            <w:vAlign w:val="center"/>
          </w:tcPr>
          <w:p w14:paraId="749873EE">
            <w:pPr>
              <w:pStyle w:val="84"/>
              <w:jc w:val="both"/>
            </w:pPr>
            <w:r>
              <w:rPr>
                <w:rFonts w:hint="eastAsia"/>
              </w:rPr>
              <w:t>项目废水污染物主要为施工过程中的生活污水、车辆冲洗废水、混凝土养护废水、基坑排水等，生活污水经租赁民房现有污水处理设施处理后用作农肥，车辆冲洗废水经沉淀隔油处理后回用于道路洒水降尘，混凝土养护废水经沉淀池处理后回用于工序，基坑排水经沉淀处理后用于排入水体；废水不涉及重金属的排放。</w:t>
            </w:r>
          </w:p>
        </w:tc>
        <w:tc>
          <w:tcPr>
            <w:tcW w:w="230" w:type="pct"/>
            <w:tcBorders>
              <w:tl2br w:val="nil"/>
              <w:tr2bl w:val="nil"/>
            </w:tcBorders>
            <w:tcMar>
              <w:top w:w="50" w:type="dxa"/>
              <w:left w:w="50" w:type="dxa"/>
              <w:bottom w:w="50" w:type="dxa"/>
              <w:right w:w="50" w:type="dxa"/>
            </w:tcMar>
            <w:vAlign w:val="center"/>
          </w:tcPr>
          <w:p w14:paraId="17A468D3">
            <w:pPr>
              <w:pStyle w:val="84"/>
            </w:pPr>
            <w:r>
              <w:rPr>
                <w:rFonts w:hint="eastAsia"/>
              </w:rPr>
              <w:t>符合</w:t>
            </w:r>
          </w:p>
        </w:tc>
      </w:tr>
      <w:tr w14:paraId="084AED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57" w:hRule="atLeast"/>
        </w:trPr>
        <w:tc>
          <w:tcPr>
            <w:tcW w:w="0" w:type="auto"/>
            <w:vMerge w:val="continue"/>
            <w:tcBorders>
              <w:tl2br w:val="nil"/>
              <w:tr2bl w:val="nil"/>
            </w:tcBorders>
            <w:tcMar>
              <w:top w:w="50" w:type="dxa"/>
              <w:left w:w="50" w:type="dxa"/>
              <w:bottom w:w="50" w:type="dxa"/>
              <w:right w:w="50" w:type="dxa"/>
            </w:tcMar>
            <w:vAlign w:val="center"/>
          </w:tcPr>
          <w:p w14:paraId="19405E20">
            <w:pPr>
              <w:pStyle w:val="84"/>
            </w:pPr>
          </w:p>
        </w:tc>
        <w:tc>
          <w:tcPr>
            <w:tcW w:w="287" w:type="pct"/>
            <w:vMerge w:val="continue"/>
            <w:tcBorders>
              <w:tl2br w:val="nil"/>
              <w:tr2bl w:val="nil"/>
            </w:tcBorders>
            <w:tcMar>
              <w:top w:w="50" w:type="dxa"/>
              <w:left w:w="50" w:type="dxa"/>
              <w:bottom w:w="50" w:type="dxa"/>
              <w:right w:w="50" w:type="dxa"/>
            </w:tcMar>
            <w:vAlign w:val="center"/>
          </w:tcPr>
          <w:p w14:paraId="5567B5E2">
            <w:pPr>
              <w:pStyle w:val="84"/>
            </w:pPr>
          </w:p>
        </w:tc>
        <w:tc>
          <w:tcPr>
            <w:tcW w:w="351" w:type="pct"/>
            <w:vMerge w:val="continue"/>
            <w:tcBorders>
              <w:tl2br w:val="nil"/>
              <w:tr2bl w:val="nil"/>
            </w:tcBorders>
            <w:tcMar>
              <w:top w:w="50" w:type="dxa"/>
              <w:left w:w="50" w:type="dxa"/>
              <w:bottom w:w="50" w:type="dxa"/>
              <w:right w:w="50" w:type="dxa"/>
            </w:tcMar>
            <w:vAlign w:val="center"/>
          </w:tcPr>
          <w:p w14:paraId="06B98B27">
            <w:pPr>
              <w:pStyle w:val="84"/>
            </w:pPr>
          </w:p>
        </w:tc>
        <w:tc>
          <w:tcPr>
            <w:tcW w:w="255" w:type="pct"/>
            <w:vMerge w:val="continue"/>
            <w:tcBorders>
              <w:tl2br w:val="nil"/>
              <w:tr2bl w:val="nil"/>
            </w:tcBorders>
            <w:tcMar>
              <w:top w:w="50" w:type="dxa"/>
              <w:left w:w="50" w:type="dxa"/>
              <w:bottom w:w="50" w:type="dxa"/>
              <w:right w:w="50" w:type="dxa"/>
            </w:tcMar>
            <w:vAlign w:val="center"/>
          </w:tcPr>
          <w:p w14:paraId="171C07CD">
            <w:pPr>
              <w:pStyle w:val="84"/>
            </w:pPr>
          </w:p>
        </w:tc>
        <w:tc>
          <w:tcPr>
            <w:tcW w:w="2408" w:type="pct"/>
            <w:tcBorders>
              <w:tl2br w:val="nil"/>
              <w:tr2bl w:val="nil"/>
            </w:tcBorders>
            <w:tcMar>
              <w:top w:w="50" w:type="dxa"/>
              <w:left w:w="50" w:type="dxa"/>
              <w:bottom w:w="50" w:type="dxa"/>
              <w:right w:w="50" w:type="dxa"/>
            </w:tcMar>
            <w:vAlign w:val="center"/>
          </w:tcPr>
          <w:p w14:paraId="2963F288">
            <w:pPr>
              <w:pStyle w:val="84"/>
              <w:jc w:val="both"/>
            </w:pPr>
            <w:r>
              <w:rPr>
                <w:rFonts w:hint="eastAsia"/>
              </w:rPr>
              <w:t>【能源利用总量及效率要求】</w:t>
            </w:r>
          </w:p>
          <w:p w14:paraId="7A5C0194">
            <w:pPr>
              <w:pStyle w:val="84"/>
              <w:numPr>
                <w:ilvl w:val="0"/>
                <w:numId w:val="9"/>
              </w:numPr>
              <w:jc w:val="both"/>
            </w:pPr>
            <w:r>
              <w:rPr>
                <w:rFonts w:hint="eastAsia"/>
              </w:rPr>
              <w:t>推进清洁能源的推广使用，全面推进散煤清洁化整治；禁止新建每小时10蒸吨以下的燃煤锅炉及其他燃煤设施。</w:t>
            </w:r>
          </w:p>
          <w:p w14:paraId="36B5711E">
            <w:pPr>
              <w:pStyle w:val="84"/>
              <w:jc w:val="both"/>
            </w:pPr>
            <w:r>
              <w:rPr>
                <w:rFonts w:hint="eastAsia"/>
              </w:rPr>
              <w:t>（2）矿业能源利用效率要求：①矿区大气污染物和废水排放率、工业固体废弃物综合利用率、一般工业固废和危险废物处置率等指标严格执行《有色金属行业绿色矿山建设规范》（DZT 0320-2018）等各级产业政策和生态保护要求。②矿区矿产资源总回收率、共伴生矿产综合利用率等指标严格执行《有色金属行业绿色矿山建设规范》（DZT 0320-2018）等各级产业政策和生态保护要求。</w:t>
            </w:r>
          </w:p>
        </w:tc>
        <w:tc>
          <w:tcPr>
            <w:tcW w:w="1275" w:type="pct"/>
            <w:tcBorders>
              <w:tl2br w:val="nil"/>
              <w:tr2bl w:val="nil"/>
            </w:tcBorders>
            <w:tcMar>
              <w:top w:w="50" w:type="dxa"/>
              <w:left w:w="50" w:type="dxa"/>
              <w:bottom w:w="50" w:type="dxa"/>
              <w:right w:w="50" w:type="dxa"/>
            </w:tcMar>
            <w:vAlign w:val="center"/>
          </w:tcPr>
          <w:p w14:paraId="69C16A88">
            <w:pPr>
              <w:pStyle w:val="84"/>
              <w:jc w:val="both"/>
            </w:pPr>
            <w:r>
              <w:rPr>
                <w:rFonts w:hint="eastAsia"/>
              </w:rPr>
              <w:t>1、本项目不涉及锅炉；</w:t>
            </w:r>
          </w:p>
          <w:p w14:paraId="3C20CD0E">
            <w:pPr>
              <w:pStyle w:val="84"/>
              <w:jc w:val="both"/>
            </w:pPr>
            <w:r>
              <w:rPr>
                <w:rFonts w:hint="eastAsia"/>
              </w:rPr>
              <w:t>2、本项目不属于采矿业。</w:t>
            </w:r>
          </w:p>
        </w:tc>
        <w:tc>
          <w:tcPr>
            <w:tcW w:w="230" w:type="pct"/>
            <w:tcBorders>
              <w:tl2br w:val="nil"/>
              <w:tr2bl w:val="nil"/>
            </w:tcBorders>
            <w:tcMar>
              <w:top w:w="50" w:type="dxa"/>
              <w:left w:w="50" w:type="dxa"/>
              <w:bottom w:w="50" w:type="dxa"/>
              <w:right w:w="50" w:type="dxa"/>
            </w:tcMar>
            <w:vAlign w:val="center"/>
          </w:tcPr>
          <w:p w14:paraId="51677045">
            <w:pPr>
              <w:pStyle w:val="84"/>
            </w:pPr>
            <w:r>
              <w:rPr>
                <w:rFonts w:hint="eastAsia"/>
              </w:rPr>
              <w:t>符合</w:t>
            </w:r>
          </w:p>
        </w:tc>
      </w:tr>
    </w:tbl>
    <w:p w14:paraId="3D7D409D">
      <w:pPr>
        <w:autoSpaceDE w:val="0"/>
        <w:autoSpaceDN w:val="0"/>
        <w:adjustRightInd w:val="0"/>
        <w:snapToGrid w:val="0"/>
        <w:spacing w:before="156" w:beforeLines="50"/>
      </w:pPr>
      <w:r>
        <w:rPr>
          <w:rFonts w:hint="eastAsia"/>
        </w:rPr>
        <w:t>②县（市、区）普适性管控要求</w:t>
      </w:r>
    </w:p>
    <w:p w14:paraId="0924AAFE">
      <w:pPr>
        <w:pStyle w:val="7"/>
        <w:rPr>
          <w:rFonts w:cs="Times New Roman"/>
        </w:rPr>
      </w:pPr>
    </w:p>
    <w:p w14:paraId="5EC09196">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7</w:t>
      </w:r>
      <w:r>
        <w:rPr>
          <w:rFonts w:cs="Times New Roman"/>
        </w:rPr>
        <w:fldChar w:fldCharType="end"/>
      </w:r>
      <w:r>
        <w:rPr>
          <w:rFonts w:hint="eastAsia" w:cs="Times New Roman"/>
        </w:rPr>
        <w:t xml:space="preserve">  项目与县域普适性管控要求符合性分析</w:t>
      </w:r>
    </w:p>
    <w:tbl>
      <w:tblPr>
        <w:tblStyle w:val="28"/>
        <w:tblW w:w="5035" w:type="pct"/>
        <w:tblInd w:w="0" w:type="dxa"/>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Layout w:type="autofit"/>
        <w:tblCellMar>
          <w:top w:w="0" w:type="dxa"/>
          <w:left w:w="10" w:type="dxa"/>
          <w:bottom w:w="0" w:type="dxa"/>
          <w:right w:w="10" w:type="dxa"/>
        </w:tblCellMar>
      </w:tblPr>
      <w:tblGrid>
        <w:gridCol w:w="611"/>
        <w:gridCol w:w="765"/>
        <w:gridCol w:w="1628"/>
        <w:gridCol w:w="6804"/>
        <w:gridCol w:w="3486"/>
        <w:gridCol w:w="762"/>
      </w:tblGrid>
      <w:tr w14:paraId="0346C06A">
        <w:tblPrEx>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CellMar>
            <w:top w:w="0" w:type="dxa"/>
            <w:left w:w="10" w:type="dxa"/>
            <w:bottom w:w="0" w:type="dxa"/>
            <w:right w:w="10" w:type="dxa"/>
          </w:tblCellMar>
        </w:tblPrEx>
        <w:tc>
          <w:tcPr>
            <w:tcW w:w="0" w:type="auto"/>
            <w:tcBorders>
              <w:tl2br w:val="nil"/>
              <w:tr2bl w:val="nil"/>
            </w:tcBorders>
            <w:tcMar>
              <w:top w:w="50" w:type="dxa"/>
              <w:left w:w="50" w:type="dxa"/>
              <w:bottom w:w="50" w:type="dxa"/>
              <w:right w:w="50" w:type="dxa"/>
            </w:tcMar>
            <w:vAlign w:val="center"/>
          </w:tcPr>
          <w:p w14:paraId="1C9E13FE">
            <w:pPr>
              <w:pStyle w:val="103"/>
              <w:widowControl/>
              <w:autoSpaceDE w:val="0"/>
              <w:autoSpaceDN w:val="0"/>
              <w:spacing w:after="0"/>
              <w:rPr>
                <w:rFonts w:ascii="Times New Roman" w:hAnsi="Times New Roman" w:eastAsia="宋体" w:cs="Times New Roman"/>
                <w:b/>
                <w:bCs/>
                <w:color w:val="auto"/>
                <w:sz w:val="21"/>
              </w:rPr>
            </w:pPr>
            <w:r>
              <w:rPr>
                <w:rFonts w:hint="eastAsia" w:ascii="Times New Roman" w:hAnsi="Times New Roman" w:eastAsia="宋体" w:cs="Times New Roman"/>
                <w:b/>
                <w:bCs/>
                <w:color w:val="auto"/>
                <w:sz w:val="21"/>
              </w:rPr>
              <w:t>县区</w:t>
            </w:r>
          </w:p>
        </w:tc>
        <w:tc>
          <w:tcPr>
            <w:tcW w:w="0" w:type="auto"/>
            <w:tcBorders>
              <w:tl2br w:val="nil"/>
              <w:tr2bl w:val="nil"/>
            </w:tcBorders>
            <w:tcMar>
              <w:top w:w="50" w:type="dxa"/>
              <w:left w:w="50" w:type="dxa"/>
              <w:bottom w:w="50" w:type="dxa"/>
              <w:right w:w="50" w:type="dxa"/>
            </w:tcMar>
            <w:vAlign w:val="center"/>
          </w:tcPr>
          <w:p w14:paraId="7771AB58">
            <w:pPr>
              <w:pStyle w:val="103"/>
              <w:widowControl/>
              <w:autoSpaceDE w:val="0"/>
              <w:autoSpaceDN w:val="0"/>
              <w:spacing w:after="0"/>
              <w:rPr>
                <w:rFonts w:ascii="Times New Roman" w:hAnsi="Times New Roman" w:eastAsia="宋体" w:cs="Times New Roman"/>
                <w:b/>
                <w:bCs/>
                <w:color w:val="auto"/>
                <w:sz w:val="21"/>
              </w:rPr>
            </w:pPr>
            <w:r>
              <w:rPr>
                <w:rFonts w:hint="eastAsia" w:ascii="Times New Roman" w:hAnsi="Times New Roman" w:eastAsia="宋体" w:cs="Times New Roman"/>
                <w:b/>
                <w:bCs/>
                <w:color w:val="auto"/>
                <w:sz w:val="21"/>
              </w:rPr>
              <w:t>区域名称</w:t>
            </w:r>
          </w:p>
        </w:tc>
        <w:tc>
          <w:tcPr>
            <w:tcW w:w="0" w:type="auto"/>
            <w:tcBorders>
              <w:tl2br w:val="nil"/>
              <w:tr2bl w:val="nil"/>
            </w:tcBorders>
            <w:tcMar>
              <w:top w:w="50" w:type="dxa"/>
              <w:left w:w="50" w:type="dxa"/>
              <w:bottom w:w="50" w:type="dxa"/>
              <w:right w:w="50" w:type="dxa"/>
            </w:tcMar>
            <w:vAlign w:val="center"/>
          </w:tcPr>
          <w:p w14:paraId="5EC75863">
            <w:pPr>
              <w:pStyle w:val="103"/>
              <w:widowControl/>
              <w:autoSpaceDE w:val="0"/>
              <w:autoSpaceDN w:val="0"/>
              <w:spacing w:after="0"/>
              <w:rPr>
                <w:rFonts w:ascii="Times New Roman" w:hAnsi="Times New Roman" w:eastAsia="宋体" w:cs="Times New Roman"/>
                <w:b/>
                <w:bCs/>
                <w:color w:val="auto"/>
                <w:sz w:val="21"/>
              </w:rPr>
            </w:pPr>
            <w:r>
              <w:rPr>
                <w:rFonts w:hint="eastAsia" w:ascii="Times New Roman" w:hAnsi="Times New Roman" w:eastAsia="宋体" w:cs="Times New Roman"/>
                <w:b/>
                <w:bCs/>
                <w:color w:val="auto"/>
                <w:sz w:val="21"/>
              </w:rPr>
              <w:t>管控类别</w:t>
            </w:r>
          </w:p>
        </w:tc>
        <w:tc>
          <w:tcPr>
            <w:tcW w:w="2420" w:type="pct"/>
            <w:tcBorders>
              <w:tl2br w:val="nil"/>
              <w:tr2bl w:val="nil"/>
            </w:tcBorders>
            <w:tcMar>
              <w:top w:w="50" w:type="dxa"/>
              <w:left w:w="50" w:type="dxa"/>
              <w:bottom w:w="50" w:type="dxa"/>
              <w:right w:w="50" w:type="dxa"/>
            </w:tcMar>
            <w:vAlign w:val="center"/>
          </w:tcPr>
          <w:p w14:paraId="2096ACE7">
            <w:pPr>
              <w:pStyle w:val="103"/>
              <w:widowControl/>
              <w:autoSpaceDE w:val="0"/>
              <w:autoSpaceDN w:val="0"/>
              <w:spacing w:after="0"/>
              <w:rPr>
                <w:rFonts w:ascii="Times New Roman" w:hAnsi="Times New Roman" w:eastAsia="宋体" w:cs="Times New Roman"/>
                <w:b/>
                <w:bCs/>
                <w:color w:val="auto"/>
                <w:sz w:val="21"/>
              </w:rPr>
            </w:pPr>
            <w:r>
              <w:rPr>
                <w:rFonts w:hint="eastAsia" w:ascii="Times New Roman" w:hAnsi="Times New Roman" w:eastAsia="宋体" w:cs="Times New Roman"/>
                <w:b/>
                <w:bCs/>
                <w:color w:val="auto"/>
                <w:sz w:val="21"/>
              </w:rPr>
              <w:t>单元特性管控要求</w:t>
            </w:r>
          </w:p>
        </w:tc>
        <w:tc>
          <w:tcPr>
            <w:tcW w:w="1240" w:type="pct"/>
            <w:tcBorders>
              <w:tl2br w:val="nil"/>
              <w:tr2bl w:val="nil"/>
            </w:tcBorders>
            <w:tcMar>
              <w:top w:w="50" w:type="dxa"/>
              <w:left w:w="50" w:type="dxa"/>
              <w:bottom w:w="50" w:type="dxa"/>
              <w:right w:w="50" w:type="dxa"/>
            </w:tcMar>
            <w:vAlign w:val="center"/>
          </w:tcPr>
          <w:p w14:paraId="4F73D2B7">
            <w:pPr>
              <w:pStyle w:val="103"/>
              <w:widowControl/>
              <w:autoSpaceDE w:val="0"/>
              <w:autoSpaceDN w:val="0"/>
              <w:spacing w:after="0"/>
              <w:rPr>
                <w:rFonts w:ascii="Times New Roman" w:hAnsi="Times New Roman" w:eastAsia="宋体" w:cs="Times New Roman"/>
                <w:b/>
                <w:bCs/>
                <w:color w:val="auto"/>
                <w:sz w:val="21"/>
              </w:rPr>
            </w:pPr>
            <w:r>
              <w:rPr>
                <w:rFonts w:hint="eastAsia" w:ascii="Times New Roman" w:hAnsi="Times New Roman" w:eastAsia="宋体" w:cs="Times New Roman"/>
                <w:b/>
                <w:bCs/>
                <w:color w:val="auto"/>
                <w:sz w:val="21"/>
              </w:rPr>
              <w:t>本项目</w:t>
            </w:r>
          </w:p>
        </w:tc>
        <w:tc>
          <w:tcPr>
            <w:tcW w:w="271" w:type="pct"/>
            <w:tcBorders>
              <w:tl2br w:val="nil"/>
              <w:tr2bl w:val="nil"/>
            </w:tcBorders>
            <w:tcMar>
              <w:top w:w="50" w:type="dxa"/>
              <w:left w:w="50" w:type="dxa"/>
              <w:bottom w:w="50" w:type="dxa"/>
              <w:right w:w="50" w:type="dxa"/>
            </w:tcMar>
            <w:vAlign w:val="center"/>
          </w:tcPr>
          <w:p w14:paraId="2967842F">
            <w:pPr>
              <w:pStyle w:val="103"/>
              <w:widowControl/>
              <w:autoSpaceDE w:val="0"/>
              <w:autoSpaceDN w:val="0"/>
              <w:spacing w:after="0"/>
              <w:rPr>
                <w:rFonts w:ascii="Times New Roman" w:hAnsi="Times New Roman" w:eastAsia="宋体" w:cs="Times New Roman"/>
                <w:b/>
                <w:bCs/>
                <w:color w:val="auto"/>
                <w:sz w:val="21"/>
              </w:rPr>
            </w:pPr>
            <w:r>
              <w:rPr>
                <w:rFonts w:hint="eastAsia" w:ascii="Times New Roman" w:hAnsi="Times New Roman" w:eastAsia="宋体" w:cs="Times New Roman"/>
                <w:b/>
                <w:bCs/>
                <w:color w:val="auto"/>
                <w:sz w:val="21"/>
              </w:rPr>
              <w:t>符合性</w:t>
            </w:r>
          </w:p>
        </w:tc>
      </w:tr>
      <w:tr w14:paraId="37F153FA">
        <w:tblPrEx>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CellMar>
            <w:top w:w="0" w:type="dxa"/>
            <w:left w:w="10" w:type="dxa"/>
            <w:bottom w:w="0" w:type="dxa"/>
            <w:right w:w="10" w:type="dxa"/>
          </w:tblCellMar>
        </w:tblPrEx>
        <w:tc>
          <w:tcPr>
            <w:tcW w:w="0" w:type="auto"/>
            <w:vMerge w:val="restart"/>
            <w:tcBorders>
              <w:tl2br w:val="nil"/>
              <w:tr2bl w:val="nil"/>
            </w:tcBorders>
            <w:tcMar>
              <w:top w:w="50" w:type="dxa"/>
              <w:left w:w="50" w:type="dxa"/>
              <w:bottom w:w="50" w:type="dxa"/>
              <w:right w:w="50" w:type="dxa"/>
            </w:tcMar>
            <w:vAlign w:val="center"/>
          </w:tcPr>
          <w:p w14:paraId="4C5064F8">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泸定县</w:t>
            </w:r>
          </w:p>
        </w:tc>
        <w:tc>
          <w:tcPr>
            <w:tcW w:w="0" w:type="auto"/>
            <w:vMerge w:val="restart"/>
            <w:tcBorders>
              <w:tl2br w:val="nil"/>
              <w:tr2bl w:val="nil"/>
            </w:tcBorders>
            <w:tcMar>
              <w:top w:w="50" w:type="dxa"/>
              <w:left w:w="50" w:type="dxa"/>
              <w:bottom w:w="50" w:type="dxa"/>
              <w:right w:w="50" w:type="dxa"/>
            </w:tcMar>
            <w:vAlign w:val="center"/>
          </w:tcPr>
          <w:p w14:paraId="433E5C5B">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泸定县</w:t>
            </w:r>
          </w:p>
        </w:tc>
        <w:tc>
          <w:tcPr>
            <w:tcW w:w="579" w:type="pct"/>
            <w:vMerge w:val="restart"/>
            <w:tcBorders>
              <w:tl2br w:val="nil"/>
              <w:tr2bl w:val="nil"/>
            </w:tcBorders>
            <w:tcMar>
              <w:top w:w="50" w:type="dxa"/>
              <w:left w:w="50" w:type="dxa"/>
              <w:bottom w:w="50" w:type="dxa"/>
              <w:right w:w="50" w:type="dxa"/>
            </w:tcMar>
            <w:vAlign w:val="center"/>
          </w:tcPr>
          <w:p w14:paraId="4A69ECDE">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空间布局约束</w:t>
            </w:r>
          </w:p>
        </w:tc>
        <w:tc>
          <w:tcPr>
            <w:tcW w:w="2420" w:type="pct"/>
            <w:tcBorders>
              <w:tl2br w:val="nil"/>
              <w:tr2bl w:val="nil"/>
            </w:tcBorders>
            <w:tcMar>
              <w:top w:w="50" w:type="dxa"/>
              <w:left w:w="50" w:type="dxa"/>
              <w:bottom w:w="50" w:type="dxa"/>
              <w:right w:w="50" w:type="dxa"/>
            </w:tcMar>
            <w:vAlign w:val="center"/>
          </w:tcPr>
          <w:p w14:paraId="5CB0EA5F">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【禁止开发建设活动的要求】</w:t>
            </w:r>
          </w:p>
          <w:p w14:paraId="0A1C23AB">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优先保护区禁止违法开发建设活动，严禁在城市建成区以及近郊区域，新建、扩建石化、农药、电解铝、氯碱化工等高污染、高环境风险产业；禁止在长江干支流岸线一公里范围内新建、扩建化工园区和化工项目；禁止在长江流域河湖管理范围内倾倒、填埋、堆放、弃置、处理固体废物；禁止在法律法规规定的禁采区内开采矿产。</w:t>
            </w:r>
          </w:p>
        </w:tc>
        <w:tc>
          <w:tcPr>
            <w:tcW w:w="1240" w:type="pct"/>
            <w:tcBorders>
              <w:tl2br w:val="nil"/>
              <w:tr2bl w:val="nil"/>
            </w:tcBorders>
            <w:tcMar>
              <w:top w:w="50" w:type="dxa"/>
              <w:left w:w="50" w:type="dxa"/>
              <w:bottom w:w="50" w:type="dxa"/>
              <w:right w:w="50" w:type="dxa"/>
            </w:tcMar>
            <w:vAlign w:val="center"/>
          </w:tcPr>
          <w:p w14:paraId="749112D6">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本项目不属于开发建设活动，不属于新建、扩建石化、农药、电解铝、氯碱化工等高污染、高环境风险产业、化工项目；项目固废已妥善处置，不存在河湖管理范围内倾倒、填埋、堆放、弃置、处理固体废物的行为；项目不涉及采矿。</w:t>
            </w:r>
          </w:p>
        </w:tc>
        <w:tc>
          <w:tcPr>
            <w:tcW w:w="271" w:type="pct"/>
            <w:tcBorders>
              <w:tl2br w:val="nil"/>
              <w:tr2bl w:val="nil"/>
            </w:tcBorders>
            <w:tcMar>
              <w:top w:w="50" w:type="dxa"/>
              <w:left w:w="50" w:type="dxa"/>
              <w:bottom w:w="50" w:type="dxa"/>
              <w:right w:w="50" w:type="dxa"/>
            </w:tcMar>
            <w:vAlign w:val="center"/>
          </w:tcPr>
          <w:p w14:paraId="7C8C9306">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符合</w:t>
            </w:r>
          </w:p>
        </w:tc>
      </w:tr>
      <w:tr w14:paraId="2CC8A190">
        <w:tblPrEx>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CellMar>
            <w:top w:w="0" w:type="dxa"/>
            <w:left w:w="10" w:type="dxa"/>
            <w:bottom w:w="0" w:type="dxa"/>
            <w:right w:w="10" w:type="dxa"/>
          </w:tblCellMar>
        </w:tblPrEx>
        <w:trPr>
          <w:trHeight w:val="1426" w:hRule="atLeast"/>
        </w:trPr>
        <w:tc>
          <w:tcPr>
            <w:tcW w:w="0" w:type="auto"/>
            <w:vMerge w:val="continue"/>
            <w:tcBorders>
              <w:tl2br w:val="nil"/>
              <w:tr2bl w:val="nil"/>
            </w:tcBorders>
            <w:tcMar>
              <w:top w:w="50" w:type="dxa"/>
              <w:left w:w="50" w:type="dxa"/>
              <w:bottom w:w="50" w:type="dxa"/>
              <w:right w:w="50" w:type="dxa"/>
            </w:tcMar>
            <w:vAlign w:val="center"/>
          </w:tcPr>
          <w:p w14:paraId="402F6EF8">
            <w:pPr>
              <w:pStyle w:val="103"/>
              <w:widowControl/>
              <w:autoSpaceDE w:val="0"/>
              <w:autoSpaceDN w:val="0"/>
              <w:spacing w:after="0"/>
              <w:rPr>
                <w:rFonts w:ascii="Times New Roman" w:hAnsi="Times New Roman" w:eastAsia="宋体" w:cs="Times New Roman"/>
                <w:color w:val="auto"/>
                <w:sz w:val="21"/>
              </w:rPr>
            </w:pPr>
          </w:p>
        </w:tc>
        <w:tc>
          <w:tcPr>
            <w:tcW w:w="0" w:type="auto"/>
            <w:vMerge w:val="continue"/>
            <w:tcBorders>
              <w:tl2br w:val="nil"/>
              <w:tr2bl w:val="nil"/>
            </w:tcBorders>
            <w:tcMar>
              <w:top w:w="50" w:type="dxa"/>
              <w:left w:w="50" w:type="dxa"/>
              <w:bottom w:w="50" w:type="dxa"/>
              <w:right w:w="50" w:type="dxa"/>
            </w:tcMar>
            <w:vAlign w:val="center"/>
          </w:tcPr>
          <w:p w14:paraId="76C0EF11">
            <w:pPr>
              <w:pStyle w:val="103"/>
              <w:widowControl/>
              <w:autoSpaceDE w:val="0"/>
              <w:autoSpaceDN w:val="0"/>
              <w:spacing w:after="0"/>
              <w:rPr>
                <w:rFonts w:ascii="Times New Roman" w:hAnsi="Times New Roman" w:eastAsia="宋体" w:cs="Times New Roman"/>
                <w:color w:val="auto"/>
                <w:sz w:val="21"/>
              </w:rPr>
            </w:pPr>
          </w:p>
        </w:tc>
        <w:tc>
          <w:tcPr>
            <w:tcW w:w="579" w:type="pct"/>
            <w:vMerge w:val="continue"/>
            <w:tcBorders>
              <w:tl2br w:val="nil"/>
              <w:tr2bl w:val="nil"/>
            </w:tcBorders>
            <w:tcMar>
              <w:top w:w="50" w:type="dxa"/>
              <w:left w:w="50" w:type="dxa"/>
              <w:bottom w:w="50" w:type="dxa"/>
              <w:right w:w="50" w:type="dxa"/>
            </w:tcMar>
            <w:vAlign w:val="center"/>
          </w:tcPr>
          <w:p w14:paraId="62A04A3F">
            <w:pPr>
              <w:pStyle w:val="103"/>
              <w:widowControl/>
              <w:autoSpaceDE w:val="0"/>
              <w:autoSpaceDN w:val="0"/>
              <w:spacing w:after="0"/>
              <w:rPr>
                <w:rFonts w:ascii="Times New Roman" w:hAnsi="Times New Roman" w:eastAsia="宋体" w:cs="Times New Roman"/>
                <w:color w:val="auto"/>
                <w:sz w:val="21"/>
              </w:rPr>
            </w:pPr>
          </w:p>
        </w:tc>
        <w:tc>
          <w:tcPr>
            <w:tcW w:w="2420" w:type="pct"/>
            <w:tcBorders>
              <w:tl2br w:val="nil"/>
              <w:tr2bl w:val="nil"/>
            </w:tcBorders>
            <w:tcMar>
              <w:top w:w="50" w:type="dxa"/>
              <w:left w:w="50" w:type="dxa"/>
              <w:bottom w:w="50" w:type="dxa"/>
              <w:right w:w="50" w:type="dxa"/>
            </w:tcMar>
            <w:vAlign w:val="center"/>
          </w:tcPr>
          <w:p w14:paraId="3A4D4275">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【限制开发建设活动的要求】</w:t>
            </w:r>
          </w:p>
          <w:p w14:paraId="40FB47BD">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优化调整产业结构，严格高排放、高能耗项目环境准入要求，加快园区外企业退城入园；加强大气污染治理，推进水泥等行业废气超低排放和深度治理；合理控制畜禽养殖布局，推进畜禽粪污无害化、资源化综合利用；强化主体功能区定位，保障大渡河干流生态基流。</w:t>
            </w:r>
          </w:p>
        </w:tc>
        <w:tc>
          <w:tcPr>
            <w:tcW w:w="1240" w:type="pct"/>
            <w:tcBorders>
              <w:tl2br w:val="nil"/>
              <w:tr2bl w:val="nil"/>
            </w:tcBorders>
            <w:tcMar>
              <w:top w:w="50" w:type="dxa"/>
              <w:left w:w="50" w:type="dxa"/>
              <w:bottom w:w="50" w:type="dxa"/>
              <w:right w:w="50" w:type="dxa"/>
            </w:tcMar>
            <w:vAlign w:val="center"/>
          </w:tcPr>
          <w:p w14:paraId="02FBF136">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本项目不属于高排放、高耗能项目，不属于工业企业项目，项目防洪除涝工程进行后对区域重点生态功能区的主体功能定位。</w:t>
            </w:r>
          </w:p>
        </w:tc>
        <w:tc>
          <w:tcPr>
            <w:tcW w:w="271" w:type="pct"/>
            <w:tcBorders>
              <w:tl2br w:val="nil"/>
              <w:tr2bl w:val="nil"/>
            </w:tcBorders>
            <w:tcMar>
              <w:top w:w="50" w:type="dxa"/>
              <w:left w:w="50" w:type="dxa"/>
              <w:bottom w:w="50" w:type="dxa"/>
              <w:right w:w="50" w:type="dxa"/>
            </w:tcMar>
            <w:vAlign w:val="center"/>
          </w:tcPr>
          <w:p w14:paraId="1661460A">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符合</w:t>
            </w:r>
          </w:p>
        </w:tc>
      </w:tr>
      <w:tr w14:paraId="63813074">
        <w:tblPrEx>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CellMar>
            <w:top w:w="0" w:type="dxa"/>
            <w:left w:w="10" w:type="dxa"/>
            <w:bottom w:w="0" w:type="dxa"/>
            <w:right w:w="10" w:type="dxa"/>
          </w:tblCellMar>
        </w:tblPrEx>
        <w:tc>
          <w:tcPr>
            <w:tcW w:w="0" w:type="auto"/>
            <w:vMerge w:val="continue"/>
            <w:tcBorders>
              <w:tl2br w:val="nil"/>
              <w:tr2bl w:val="nil"/>
            </w:tcBorders>
            <w:tcMar>
              <w:top w:w="50" w:type="dxa"/>
              <w:left w:w="50" w:type="dxa"/>
              <w:bottom w:w="50" w:type="dxa"/>
              <w:right w:w="50" w:type="dxa"/>
            </w:tcMar>
            <w:vAlign w:val="center"/>
          </w:tcPr>
          <w:p w14:paraId="27EAD713">
            <w:pPr>
              <w:pStyle w:val="103"/>
              <w:widowControl/>
              <w:autoSpaceDE w:val="0"/>
              <w:autoSpaceDN w:val="0"/>
              <w:spacing w:after="0"/>
              <w:rPr>
                <w:rFonts w:ascii="Times New Roman" w:hAnsi="Times New Roman" w:eastAsia="宋体" w:cs="Times New Roman"/>
                <w:color w:val="auto"/>
                <w:sz w:val="21"/>
              </w:rPr>
            </w:pPr>
          </w:p>
        </w:tc>
        <w:tc>
          <w:tcPr>
            <w:tcW w:w="0" w:type="auto"/>
            <w:vMerge w:val="continue"/>
            <w:tcBorders>
              <w:tl2br w:val="nil"/>
              <w:tr2bl w:val="nil"/>
            </w:tcBorders>
            <w:tcMar>
              <w:top w:w="50" w:type="dxa"/>
              <w:left w:w="50" w:type="dxa"/>
              <w:bottom w:w="50" w:type="dxa"/>
              <w:right w:w="50" w:type="dxa"/>
            </w:tcMar>
            <w:vAlign w:val="center"/>
          </w:tcPr>
          <w:p w14:paraId="7749AB7F">
            <w:pPr>
              <w:pStyle w:val="103"/>
              <w:widowControl/>
              <w:autoSpaceDE w:val="0"/>
              <w:autoSpaceDN w:val="0"/>
              <w:spacing w:after="0"/>
              <w:rPr>
                <w:rFonts w:ascii="Times New Roman" w:hAnsi="Times New Roman" w:eastAsia="宋体" w:cs="Times New Roman"/>
                <w:color w:val="auto"/>
                <w:sz w:val="21"/>
              </w:rPr>
            </w:pPr>
          </w:p>
        </w:tc>
        <w:tc>
          <w:tcPr>
            <w:tcW w:w="579" w:type="pct"/>
            <w:vMerge w:val="continue"/>
            <w:tcBorders>
              <w:tl2br w:val="nil"/>
              <w:tr2bl w:val="nil"/>
            </w:tcBorders>
            <w:tcMar>
              <w:top w:w="50" w:type="dxa"/>
              <w:left w:w="50" w:type="dxa"/>
              <w:bottom w:w="50" w:type="dxa"/>
              <w:right w:w="50" w:type="dxa"/>
            </w:tcMar>
            <w:vAlign w:val="center"/>
          </w:tcPr>
          <w:p w14:paraId="60451ECC">
            <w:pPr>
              <w:pStyle w:val="103"/>
              <w:widowControl/>
              <w:autoSpaceDE w:val="0"/>
              <w:autoSpaceDN w:val="0"/>
              <w:spacing w:after="0"/>
              <w:rPr>
                <w:rFonts w:ascii="Times New Roman" w:hAnsi="Times New Roman" w:eastAsia="宋体" w:cs="Times New Roman"/>
                <w:color w:val="auto"/>
                <w:sz w:val="21"/>
              </w:rPr>
            </w:pPr>
          </w:p>
        </w:tc>
        <w:tc>
          <w:tcPr>
            <w:tcW w:w="2420" w:type="pct"/>
            <w:tcBorders>
              <w:tl2br w:val="nil"/>
              <w:tr2bl w:val="nil"/>
            </w:tcBorders>
            <w:tcMar>
              <w:top w:w="50" w:type="dxa"/>
              <w:left w:w="50" w:type="dxa"/>
              <w:bottom w:w="50" w:type="dxa"/>
              <w:right w:w="50" w:type="dxa"/>
            </w:tcMar>
            <w:vAlign w:val="center"/>
          </w:tcPr>
          <w:p w14:paraId="56BB5518">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【不符合空间布局要求活动的退出要求】</w:t>
            </w:r>
          </w:p>
          <w:p w14:paraId="6BBC6384">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不符合生态保护红线、自然保护地及各类优先保护区域相应法律法规、管理办法及相关行业企业布局选址要求的活动退出。</w:t>
            </w:r>
          </w:p>
        </w:tc>
        <w:tc>
          <w:tcPr>
            <w:tcW w:w="1240" w:type="pct"/>
            <w:tcBorders>
              <w:tl2br w:val="nil"/>
              <w:tr2bl w:val="nil"/>
            </w:tcBorders>
            <w:tcMar>
              <w:top w:w="50" w:type="dxa"/>
              <w:left w:w="50" w:type="dxa"/>
              <w:bottom w:w="50" w:type="dxa"/>
              <w:right w:w="50" w:type="dxa"/>
            </w:tcMar>
            <w:vAlign w:val="center"/>
          </w:tcPr>
          <w:p w14:paraId="3542AB13">
            <w:pPr>
              <w:pStyle w:val="103"/>
              <w:widowControl/>
              <w:autoSpaceDE w:val="0"/>
              <w:autoSpaceDN w:val="0"/>
              <w:spacing w:after="0"/>
              <w:jc w:val="both"/>
              <w:rPr>
                <w:rFonts w:ascii="Times New Roman" w:hAnsi="Times New Roman" w:eastAsia="宋体" w:cs="Times New Roman"/>
                <w:color w:val="auto"/>
                <w:sz w:val="21"/>
              </w:rPr>
            </w:pPr>
            <w:r>
              <w:rPr>
                <w:rFonts w:hint="eastAsia" w:ascii="Times New Roman" w:hAnsi="Times New Roman" w:eastAsia="宋体" w:cs="Times New Roman"/>
                <w:color w:val="auto"/>
                <w:sz w:val="21"/>
              </w:rPr>
              <w:t>本项目不涉及生态保护红线，项目为防洪除涝项目，符合区域相应法律法规、管理办法及相关企业布局选址要求。</w:t>
            </w:r>
          </w:p>
        </w:tc>
        <w:tc>
          <w:tcPr>
            <w:tcW w:w="271" w:type="pct"/>
            <w:tcBorders>
              <w:tl2br w:val="nil"/>
              <w:tr2bl w:val="nil"/>
            </w:tcBorders>
            <w:tcMar>
              <w:top w:w="50" w:type="dxa"/>
              <w:left w:w="50" w:type="dxa"/>
              <w:bottom w:w="50" w:type="dxa"/>
              <w:right w:w="50" w:type="dxa"/>
            </w:tcMar>
            <w:vAlign w:val="center"/>
          </w:tcPr>
          <w:p w14:paraId="59A9D5F0">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符合</w:t>
            </w:r>
          </w:p>
        </w:tc>
      </w:tr>
      <w:tr w14:paraId="5DE80DCE">
        <w:tblPrEx>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CellMar>
            <w:top w:w="0" w:type="dxa"/>
            <w:left w:w="10" w:type="dxa"/>
            <w:bottom w:w="0" w:type="dxa"/>
            <w:right w:w="10" w:type="dxa"/>
          </w:tblCellMar>
        </w:tblPrEx>
        <w:tc>
          <w:tcPr>
            <w:tcW w:w="0" w:type="auto"/>
            <w:vMerge w:val="continue"/>
            <w:tcBorders>
              <w:tl2br w:val="nil"/>
              <w:tr2bl w:val="nil"/>
            </w:tcBorders>
            <w:tcMar>
              <w:top w:w="50" w:type="dxa"/>
              <w:left w:w="50" w:type="dxa"/>
              <w:bottom w:w="50" w:type="dxa"/>
              <w:right w:w="50" w:type="dxa"/>
            </w:tcMar>
            <w:vAlign w:val="center"/>
          </w:tcPr>
          <w:p w14:paraId="6E2CAAEE">
            <w:pPr>
              <w:pStyle w:val="103"/>
              <w:widowControl/>
              <w:autoSpaceDE w:val="0"/>
              <w:autoSpaceDN w:val="0"/>
              <w:spacing w:after="0"/>
              <w:rPr>
                <w:rFonts w:ascii="Times New Roman" w:hAnsi="Times New Roman" w:eastAsia="宋体" w:cs="Times New Roman"/>
                <w:color w:val="auto"/>
                <w:sz w:val="21"/>
              </w:rPr>
            </w:pPr>
          </w:p>
        </w:tc>
        <w:tc>
          <w:tcPr>
            <w:tcW w:w="0" w:type="auto"/>
            <w:vMerge w:val="continue"/>
            <w:tcBorders>
              <w:tl2br w:val="nil"/>
              <w:tr2bl w:val="nil"/>
            </w:tcBorders>
            <w:tcMar>
              <w:top w:w="50" w:type="dxa"/>
              <w:left w:w="50" w:type="dxa"/>
              <w:bottom w:w="50" w:type="dxa"/>
              <w:right w:w="50" w:type="dxa"/>
            </w:tcMar>
            <w:vAlign w:val="center"/>
          </w:tcPr>
          <w:p w14:paraId="42A64FAB">
            <w:pPr>
              <w:pStyle w:val="103"/>
              <w:widowControl/>
              <w:autoSpaceDE w:val="0"/>
              <w:autoSpaceDN w:val="0"/>
              <w:spacing w:after="0"/>
              <w:rPr>
                <w:rFonts w:ascii="Times New Roman" w:hAnsi="Times New Roman" w:eastAsia="宋体" w:cs="Times New Roman"/>
                <w:color w:val="auto"/>
                <w:sz w:val="21"/>
              </w:rPr>
            </w:pPr>
          </w:p>
        </w:tc>
        <w:tc>
          <w:tcPr>
            <w:tcW w:w="0" w:type="auto"/>
            <w:tcBorders>
              <w:tl2br w:val="nil"/>
              <w:tr2bl w:val="nil"/>
            </w:tcBorders>
            <w:tcMar>
              <w:top w:w="50" w:type="dxa"/>
              <w:left w:w="50" w:type="dxa"/>
              <w:bottom w:w="50" w:type="dxa"/>
              <w:right w:w="50" w:type="dxa"/>
            </w:tcMar>
            <w:vAlign w:val="center"/>
          </w:tcPr>
          <w:p w14:paraId="014B197C">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污染物排放管控</w:t>
            </w:r>
          </w:p>
        </w:tc>
        <w:tc>
          <w:tcPr>
            <w:tcW w:w="2420" w:type="pct"/>
            <w:tcBorders>
              <w:tl2br w:val="nil"/>
              <w:tr2bl w:val="nil"/>
            </w:tcBorders>
            <w:tcMar>
              <w:top w:w="50" w:type="dxa"/>
              <w:left w:w="50" w:type="dxa"/>
              <w:bottom w:w="50" w:type="dxa"/>
              <w:right w:w="50" w:type="dxa"/>
            </w:tcMar>
            <w:vAlign w:val="center"/>
          </w:tcPr>
          <w:p w14:paraId="391D4CAA">
            <w:pPr>
              <w:pStyle w:val="59"/>
              <w:rPr>
                <w:rFonts w:cs="Times New Roman"/>
              </w:rPr>
            </w:pPr>
            <w:r>
              <w:rPr>
                <w:rFonts w:cs="Times New Roman"/>
              </w:rPr>
              <w:t>/</w:t>
            </w:r>
          </w:p>
        </w:tc>
        <w:tc>
          <w:tcPr>
            <w:tcW w:w="1240" w:type="pct"/>
            <w:tcBorders>
              <w:tl2br w:val="nil"/>
              <w:tr2bl w:val="nil"/>
            </w:tcBorders>
            <w:tcMar>
              <w:top w:w="50" w:type="dxa"/>
              <w:left w:w="50" w:type="dxa"/>
              <w:bottom w:w="50" w:type="dxa"/>
              <w:right w:w="50" w:type="dxa"/>
            </w:tcMar>
            <w:vAlign w:val="center"/>
          </w:tcPr>
          <w:p w14:paraId="3412EC74">
            <w:pPr>
              <w:pStyle w:val="59"/>
              <w:rPr>
                <w:rFonts w:cs="Times New Roman"/>
              </w:rPr>
            </w:pPr>
            <w:r>
              <w:rPr>
                <w:rFonts w:cs="Times New Roman"/>
              </w:rPr>
              <w:t>/</w:t>
            </w:r>
          </w:p>
        </w:tc>
        <w:tc>
          <w:tcPr>
            <w:tcW w:w="271" w:type="pct"/>
            <w:tcBorders>
              <w:tl2br w:val="nil"/>
              <w:tr2bl w:val="nil"/>
            </w:tcBorders>
            <w:tcMar>
              <w:top w:w="50" w:type="dxa"/>
              <w:left w:w="50" w:type="dxa"/>
              <w:bottom w:w="50" w:type="dxa"/>
              <w:right w:w="50" w:type="dxa"/>
            </w:tcMar>
            <w:vAlign w:val="center"/>
          </w:tcPr>
          <w:p w14:paraId="5505E326">
            <w:pPr>
              <w:pStyle w:val="59"/>
              <w:rPr>
                <w:rFonts w:cs="Times New Roman"/>
              </w:rPr>
            </w:pPr>
            <w:r>
              <w:rPr>
                <w:rFonts w:cs="Times New Roman"/>
              </w:rPr>
              <w:t>/</w:t>
            </w:r>
          </w:p>
        </w:tc>
      </w:tr>
      <w:tr w14:paraId="1668F57C">
        <w:tblPrEx>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CellMar>
            <w:top w:w="0" w:type="dxa"/>
            <w:left w:w="10" w:type="dxa"/>
            <w:bottom w:w="0" w:type="dxa"/>
            <w:right w:w="10" w:type="dxa"/>
          </w:tblCellMar>
        </w:tblPrEx>
        <w:tc>
          <w:tcPr>
            <w:tcW w:w="0" w:type="auto"/>
            <w:vMerge w:val="continue"/>
            <w:tcBorders>
              <w:tl2br w:val="nil"/>
              <w:tr2bl w:val="nil"/>
            </w:tcBorders>
            <w:tcMar>
              <w:top w:w="50" w:type="dxa"/>
              <w:left w:w="50" w:type="dxa"/>
              <w:bottom w:w="50" w:type="dxa"/>
              <w:right w:w="50" w:type="dxa"/>
            </w:tcMar>
            <w:vAlign w:val="center"/>
          </w:tcPr>
          <w:p w14:paraId="2A669258">
            <w:pPr>
              <w:pStyle w:val="103"/>
              <w:widowControl/>
              <w:autoSpaceDE w:val="0"/>
              <w:autoSpaceDN w:val="0"/>
              <w:spacing w:after="0"/>
              <w:rPr>
                <w:rFonts w:ascii="Times New Roman" w:hAnsi="Times New Roman" w:eastAsia="宋体" w:cs="Times New Roman"/>
                <w:color w:val="auto"/>
                <w:sz w:val="21"/>
              </w:rPr>
            </w:pPr>
          </w:p>
        </w:tc>
        <w:tc>
          <w:tcPr>
            <w:tcW w:w="0" w:type="auto"/>
            <w:vMerge w:val="continue"/>
            <w:tcBorders>
              <w:tl2br w:val="nil"/>
              <w:tr2bl w:val="nil"/>
            </w:tcBorders>
            <w:tcMar>
              <w:top w:w="50" w:type="dxa"/>
              <w:left w:w="50" w:type="dxa"/>
              <w:bottom w:w="50" w:type="dxa"/>
              <w:right w:w="50" w:type="dxa"/>
            </w:tcMar>
            <w:vAlign w:val="center"/>
          </w:tcPr>
          <w:p w14:paraId="3C091322">
            <w:pPr>
              <w:pStyle w:val="103"/>
              <w:widowControl/>
              <w:autoSpaceDE w:val="0"/>
              <w:autoSpaceDN w:val="0"/>
              <w:spacing w:after="0"/>
              <w:rPr>
                <w:rFonts w:ascii="Times New Roman" w:hAnsi="Times New Roman" w:eastAsia="宋体" w:cs="Times New Roman"/>
                <w:color w:val="auto"/>
                <w:sz w:val="21"/>
              </w:rPr>
            </w:pPr>
          </w:p>
        </w:tc>
        <w:tc>
          <w:tcPr>
            <w:tcW w:w="0" w:type="auto"/>
            <w:tcBorders>
              <w:tl2br w:val="nil"/>
              <w:tr2bl w:val="nil"/>
            </w:tcBorders>
            <w:tcMar>
              <w:top w:w="50" w:type="dxa"/>
              <w:left w:w="50" w:type="dxa"/>
              <w:bottom w:w="50" w:type="dxa"/>
              <w:right w:w="50" w:type="dxa"/>
            </w:tcMar>
            <w:vAlign w:val="center"/>
          </w:tcPr>
          <w:p w14:paraId="432FDF09">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环境风险防控</w:t>
            </w:r>
          </w:p>
        </w:tc>
        <w:tc>
          <w:tcPr>
            <w:tcW w:w="2420" w:type="pct"/>
            <w:tcBorders>
              <w:tl2br w:val="nil"/>
              <w:tr2bl w:val="nil"/>
            </w:tcBorders>
            <w:tcMar>
              <w:top w:w="50" w:type="dxa"/>
              <w:left w:w="50" w:type="dxa"/>
              <w:bottom w:w="50" w:type="dxa"/>
              <w:right w:w="50" w:type="dxa"/>
            </w:tcMar>
            <w:vAlign w:val="center"/>
          </w:tcPr>
          <w:p w14:paraId="1E8C3463">
            <w:pPr>
              <w:pStyle w:val="59"/>
              <w:rPr>
                <w:rFonts w:cs="Times New Roman"/>
              </w:rPr>
            </w:pPr>
            <w:r>
              <w:rPr>
                <w:rFonts w:cs="Times New Roman"/>
              </w:rPr>
              <w:t>/</w:t>
            </w:r>
          </w:p>
        </w:tc>
        <w:tc>
          <w:tcPr>
            <w:tcW w:w="1240" w:type="pct"/>
            <w:tcBorders>
              <w:tl2br w:val="nil"/>
              <w:tr2bl w:val="nil"/>
            </w:tcBorders>
            <w:tcMar>
              <w:top w:w="50" w:type="dxa"/>
              <w:left w:w="50" w:type="dxa"/>
              <w:bottom w:w="50" w:type="dxa"/>
              <w:right w:w="50" w:type="dxa"/>
            </w:tcMar>
            <w:vAlign w:val="center"/>
          </w:tcPr>
          <w:p w14:paraId="03C284D2">
            <w:pPr>
              <w:pStyle w:val="59"/>
              <w:rPr>
                <w:rFonts w:cs="Times New Roman"/>
              </w:rPr>
            </w:pPr>
            <w:r>
              <w:rPr>
                <w:rFonts w:cs="Times New Roman"/>
              </w:rPr>
              <w:t>/</w:t>
            </w:r>
          </w:p>
        </w:tc>
        <w:tc>
          <w:tcPr>
            <w:tcW w:w="271" w:type="pct"/>
            <w:tcBorders>
              <w:tl2br w:val="nil"/>
              <w:tr2bl w:val="nil"/>
            </w:tcBorders>
            <w:tcMar>
              <w:top w:w="50" w:type="dxa"/>
              <w:left w:w="50" w:type="dxa"/>
              <w:bottom w:w="50" w:type="dxa"/>
              <w:right w:w="50" w:type="dxa"/>
            </w:tcMar>
            <w:vAlign w:val="center"/>
          </w:tcPr>
          <w:p w14:paraId="586E315F">
            <w:pPr>
              <w:pStyle w:val="59"/>
              <w:rPr>
                <w:rFonts w:cs="Times New Roman"/>
              </w:rPr>
            </w:pPr>
            <w:r>
              <w:rPr>
                <w:rFonts w:cs="Times New Roman"/>
              </w:rPr>
              <w:t>/</w:t>
            </w:r>
          </w:p>
        </w:tc>
      </w:tr>
      <w:tr w14:paraId="0F66FB6D">
        <w:tblPrEx>
          <w:tblBorders>
            <w:top w:val="single" w:color="000000" w:sz="12" w:space="0"/>
            <w:left w:val="none" w:color="auto" w:sz="0" w:space="0"/>
            <w:bottom w:val="single" w:color="000000" w:sz="12" w:space="0"/>
            <w:right w:val="none" w:color="auto" w:sz="0" w:space="0"/>
            <w:insideH w:val="single" w:color="000000" w:sz="8" w:space="0"/>
            <w:insideV w:val="single" w:color="000000" w:sz="6" w:space="0"/>
          </w:tblBorders>
          <w:tblCellMar>
            <w:top w:w="0" w:type="dxa"/>
            <w:left w:w="10" w:type="dxa"/>
            <w:bottom w:w="0" w:type="dxa"/>
            <w:right w:w="10" w:type="dxa"/>
          </w:tblCellMar>
        </w:tblPrEx>
        <w:tc>
          <w:tcPr>
            <w:tcW w:w="0" w:type="auto"/>
            <w:vMerge w:val="continue"/>
            <w:tcBorders>
              <w:tl2br w:val="nil"/>
              <w:tr2bl w:val="nil"/>
            </w:tcBorders>
            <w:tcMar>
              <w:top w:w="50" w:type="dxa"/>
              <w:left w:w="50" w:type="dxa"/>
              <w:bottom w:w="50" w:type="dxa"/>
              <w:right w:w="50" w:type="dxa"/>
            </w:tcMar>
            <w:vAlign w:val="center"/>
          </w:tcPr>
          <w:p w14:paraId="539E6612">
            <w:pPr>
              <w:pStyle w:val="103"/>
              <w:widowControl/>
              <w:autoSpaceDE w:val="0"/>
              <w:autoSpaceDN w:val="0"/>
              <w:spacing w:after="0"/>
              <w:rPr>
                <w:rFonts w:ascii="Times New Roman" w:hAnsi="Times New Roman" w:eastAsia="宋体" w:cs="Times New Roman"/>
                <w:color w:val="auto"/>
                <w:sz w:val="21"/>
              </w:rPr>
            </w:pPr>
          </w:p>
        </w:tc>
        <w:tc>
          <w:tcPr>
            <w:tcW w:w="0" w:type="auto"/>
            <w:vMerge w:val="continue"/>
            <w:tcBorders>
              <w:tl2br w:val="nil"/>
              <w:tr2bl w:val="nil"/>
            </w:tcBorders>
            <w:tcMar>
              <w:top w:w="50" w:type="dxa"/>
              <w:left w:w="50" w:type="dxa"/>
              <w:bottom w:w="50" w:type="dxa"/>
              <w:right w:w="50" w:type="dxa"/>
            </w:tcMar>
            <w:vAlign w:val="center"/>
          </w:tcPr>
          <w:p w14:paraId="7EBE9A13">
            <w:pPr>
              <w:pStyle w:val="103"/>
              <w:widowControl/>
              <w:autoSpaceDE w:val="0"/>
              <w:autoSpaceDN w:val="0"/>
              <w:spacing w:after="0"/>
              <w:rPr>
                <w:rFonts w:ascii="Times New Roman" w:hAnsi="Times New Roman" w:eastAsia="宋体" w:cs="Times New Roman"/>
                <w:color w:val="auto"/>
                <w:sz w:val="21"/>
              </w:rPr>
            </w:pPr>
          </w:p>
        </w:tc>
        <w:tc>
          <w:tcPr>
            <w:tcW w:w="0" w:type="auto"/>
            <w:tcBorders>
              <w:tl2br w:val="nil"/>
              <w:tr2bl w:val="nil"/>
            </w:tcBorders>
            <w:tcMar>
              <w:top w:w="50" w:type="dxa"/>
              <w:left w:w="50" w:type="dxa"/>
              <w:bottom w:w="50" w:type="dxa"/>
              <w:right w:w="50" w:type="dxa"/>
            </w:tcMar>
            <w:vAlign w:val="center"/>
          </w:tcPr>
          <w:p w14:paraId="7129CD6D">
            <w:pPr>
              <w:pStyle w:val="103"/>
              <w:widowControl/>
              <w:autoSpaceDE w:val="0"/>
              <w:autoSpaceDN w:val="0"/>
              <w:spacing w:after="0"/>
              <w:rPr>
                <w:rFonts w:ascii="Times New Roman" w:hAnsi="Times New Roman" w:eastAsia="宋体" w:cs="Times New Roman"/>
                <w:color w:val="auto"/>
                <w:sz w:val="21"/>
              </w:rPr>
            </w:pPr>
            <w:r>
              <w:rPr>
                <w:rFonts w:hint="eastAsia" w:ascii="Times New Roman" w:hAnsi="Times New Roman" w:eastAsia="宋体" w:cs="Times New Roman"/>
                <w:color w:val="auto"/>
                <w:sz w:val="21"/>
              </w:rPr>
              <w:t>资源开发利用效率要求</w:t>
            </w:r>
          </w:p>
        </w:tc>
        <w:tc>
          <w:tcPr>
            <w:tcW w:w="2420" w:type="pct"/>
            <w:tcBorders>
              <w:tl2br w:val="nil"/>
              <w:tr2bl w:val="nil"/>
            </w:tcBorders>
            <w:tcMar>
              <w:top w:w="50" w:type="dxa"/>
              <w:left w:w="50" w:type="dxa"/>
              <w:bottom w:w="50" w:type="dxa"/>
              <w:right w:w="50" w:type="dxa"/>
            </w:tcMar>
            <w:vAlign w:val="center"/>
          </w:tcPr>
          <w:p w14:paraId="6BBAB89E">
            <w:pPr>
              <w:pStyle w:val="59"/>
              <w:rPr>
                <w:rFonts w:cs="Times New Roman"/>
              </w:rPr>
            </w:pPr>
            <w:r>
              <w:rPr>
                <w:rFonts w:cs="Times New Roman"/>
              </w:rPr>
              <w:t>/</w:t>
            </w:r>
          </w:p>
        </w:tc>
        <w:tc>
          <w:tcPr>
            <w:tcW w:w="1240" w:type="pct"/>
            <w:tcBorders>
              <w:tl2br w:val="nil"/>
              <w:tr2bl w:val="nil"/>
            </w:tcBorders>
            <w:tcMar>
              <w:top w:w="50" w:type="dxa"/>
              <w:left w:w="50" w:type="dxa"/>
              <w:bottom w:w="50" w:type="dxa"/>
              <w:right w:w="50" w:type="dxa"/>
            </w:tcMar>
            <w:vAlign w:val="center"/>
          </w:tcPr>
          <w:p w14:paraId="7549867F">
            <w:pPr>
              <w:pStyle w:val="59"/>
              <w:rPr>
                <w:rFonts w:cs="Times New Roman"/>
              </w:rPr>
            </w:pPr>
            <w:r>
              <w:rPr>
                <w:rFonts w:cs="Times New Roman"/>
              </w:rPr>
              <w:t>/</w:t>
            </w:r>
          </w:p>
        </w:tc>
        <w:tc>
          <w:tcPr>
            <w:tcW w:w="271" w:type="pct"/>
            <w:tcBorders>
              <w:tl2br w:val="nil"/>
              <w:tr2bl w:val="nil"/>
            </w:tcBorders>
            <w:tcMar>
              <w:top w:w="50" w:type="dxa"/>
              <w:left w:w="50" w:type="dxa"/>
              <w:bottom w:w="50" w:type="dxa"/>
              <w:right w:w="50" w:type="dxa"/>
            </w:tcMar>
            <w:vAlign w:val="center"/>
          </w:tcPr>
          <w:p w14:paraId="20B9B524">
            <w:pPr>
              <w:pStyle w:val="59"/>
              <w:rPr>
                <w:rFonts w:cs="Times New Roman"/>
              </w:rPr>
            </w:pPr>
            <w:r>
              <w:rPr>
                <w:rFonts w:cs="Times New Roman"/>
              </w:rPr>
              <w:t>/</w:t>
            </w:r>
          </w:p>
        </w:tc>
      </w:tr>
    </w:tbl>
    <w:p w14:paraId="7CC833CD">
      <w:pPr>
        <w:autoSpaceDE w:val="0"/>
        <w:autoSpaceDN w:val="0"/>
        <w:adjustRightInd w:val="0"/>
        <w:snapToGrid w:val="0"/>
        <w:spacing w:before="156" w:beforeLines="50"/>
      </w:pPr>
      <w:r>
        <w:rPr>
          <w:rFonts w:hint="eastAsia"/>
        </w:rPr>
        <w:t>③环境管控单元准入清单</w:t>
      </w:r>
    </w:p>
    <w:p w14:paraId="277829F3">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8</w:t>
      </w:r>
      <w:r>
        <w:rPr>
          <w:rFonts w:cs="Times New Roman"/>
        </w:rPr>
        <w:fldChar w:fldCharType="end"/>
      </w:r>
      <w:r>
        <w:rPr>
          <w:rFonts w:hint="eastAsia" w:cs="Times New Roman"/>
        </w:rPr>
        <w:t xml:space="preserve">  项目与环境管控单元准入清单符合性分析</w:t>
      </w:r>
    </w:p>
    <w:tbl>
      <w:tblPr>
        <w:tblStyle w:val="28"/>
        <w:tblW w:w="5106"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1200"/>
        <w:gridCol w:w="1046"/>
        <w:gridCol w:w="963"/>
        <w:gridCol w:w="661"/>
        <w:gridCol w:w="647"/>
        <w:gridCol w:w="5888"/>
        <w:gridCol w:w="3045"/>
        <w:gridCol w:w="804"/>
      </w:tblGrid>
      <w:tr w14:paraId="563268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tcBorders>
              <w:tl2br w:val="nil"/>
              <w:tr2bl w:val="nil"/>
            </w:tcBorders>
            <w:tcMar>
              <w:top w:w="50" w:type="dxa"/>
              <w:left w:w="50" w:type="dxa"/>
              <w:bottom w:w="50" w:type="dxa"/>
              <w:right w:w="50" w:type="dxa"/>
            </w:tcMar>
            <w:vAlign w:val="center"/>
          </w:tcPr>
          <w:p w14:paraId="47EE0719">
            <w:pPr>
              <w:pStyle w:val="84"/>
              <w:rPr>
                <w:b/>
                <w:bCs/>
              </w:rPr>
            </w:pPr>
            <w:r>
              <w:rPr>
                <w:rFonts w:hint="eastAsia"/>
                <w:b/>
                <w:bCs/>
              </w:rPr>
              <w:t>环境管控单元编码</w:t>
            </w:r>
          </w:p>
        </w:tc>
        <w:tc>
          <w:tcPr>
            <w:tcW w:w="1046" w:type="dxa"/>
            <w:tcBorders>
              <w:tl2br w:val="nil"/>
              <w:tr2bl w:val="nil"/>
            </w:tcBorders>
            <w:tcMar>
              <w:top w:w="50" w:type="dxa"/>
              <w:left w:w="50" w:type="dxa"/>
              <w:bottom w:w="50" w:type="dxa"/>
              <w:right w:w="50" w:type="dxa"/>
            </w:tcMar>
            <w:vAlign w:val="center"/>
          </w:tcPr>
          <w:p w14:paraId="1193304A">
            <w:pPr>
              <w:pStyle w:val="84"/>
              <w:rPr>
                <w:b/>
                <w:bCs/>
              </w:rPr>
            </w:pPr>
            <w:r>
              <w:rPr>
                <w:rFonts w:hint="eastAsia"/>
                <w:b/>
                <w:bCs/>
              </w:rPr>
              <w:t>环境管控单元名称</w:t>
            </w:r>
          </w:p>
        </w:tc>
        <w:tc>
          <w:tcPr>
            <w:tcW w:w="963" w:type="dxa"/>
            <w:tcBorders>
              <w:tl2br w:val="nil"/>
              <w:tr2bl w:val="nil"/>
            </w:tcBorders>
            <w:tcMar>
              <w:top w:w="50" w:type="dxa"/>
              <w:left w:w="50" w:type="dxa"/>
              <w:bottom w:w="50" w:type="dxa"/>
              <w:right w:w="50" w:type="dxa"/>
            </w:tcMar>
            <w:vAlign w:val="center"/>
          </w:tcPr>
          <w:p w14:paraId="56B03111">
            <w:pPr>
              <w:pStyle w:val="84"/>
              <w:rPr>
                <w:b/>
                <w:bCs/>
              </w:rPr>
            </w:pPr>
            <w:r>
              <w:rPr>
                <w:rFonts w:hint="eastAsia"/>
                <w:b/>
                <w:bCs/>
              </w:rPr>
              <w:t>管控单元类型</w:t>
            </w:r>
          </w:p>
        </w:tc>
        <w:tc>
          <w:tcPr>
            <w:tcW w:w="661" w:type="dxa"/>
            <w:tcBorders>
              <w:tl2br w:val="nil"/>
              <w:tr2bl w:val="nil"/>
            </w:tcBorders>
            <w:tcMar>
              <w:top w:w="50" w:type="dxa"/>
              <w:left w:w="50" w:type="dxa"/>
              <w:bottom w:w="50" w:type="dxa"/>
              <w:right w:w="50" w:type="dxa"/>
            </w:tcMar>
            <w:vAlign w:val="center"/>
          </w:tcPr>
          <w:p w14:paraId="40573D21">
            <w:pPr>
              <w:pStyle w:val="84"/>
              <w:rPr>
                <w:b/>
                <w:bCs/>
              </w:rPr>
            </w:pPr>
            <w:r>
              <w:rPr>
                <w:rFonts w:hint="eastAsia"/>
                <w:b/>
                <w:bCs/>
              </w:rPr>
              <w:t>所属县区</w:t>
            </w:r>
          </w:p>
        </w:tc>
        <w:tc>
          <w:tcPr>
            <w:tcW w:w="647" w:type="dxa"/>
            <w:tcBorders>
              <w:tl2br w:val="nil"/>
              <w:tr2bl w:val="nil"/>
            </w:tcBorders>
            <w:tcMar>
              <w:top w:w="50" w:type="dxa"/>
              <w:left w:w="50" w:type="dxa"/>
              <w:bottom w:w="50" w:type="dxa"/>
              <w:right w:w="50" w:type="dxa"/>
            </w:tcMar>
            <w:vAlign w:val="center"/>
          </w:tcPr>
          <w:p w14:paraId="6DD100AA">
            <w:pPr>
              <w:pStyle w:val="84"/>
              <w:rPr>
                <w:b/>
                <w:bCs/>
              </w:rPr>
            </w:pPr>
            <w:r>
              <w:rPr>
                <w:rFonts w:hint="eastAsia"/>
                <w:b/>
                <w:bCs/>
              </w:rPr>
              <w:t>管控类别</w:t>
            </w:r>
          </w:p>
        </w:tc>
        <w:tc>
          <w:tcPr>
            <w:tcW w:w="5888" w:type="dxa"/>
            <w:tcBorders>
              <w:tl2br w:val="nil"/>
              <w:tr2bl w:val="nil"/>
            </w:tcBorders>
            <w:tcMar>
              <w:top w:w="50" w:type="dxa"/>
              <w:left w:w="50" w:type="dxa"/>
              <w:bottom w:w="50" w:type="dxa"/>
              <w:right w:w="50" w:type="dxa"/>
            </w:tcMar>
            <w:vAlign w:val="center"/>
          </w:tcPr>
          <w:p w14:paraId="06136642">
            <w:pPr>
              <w:pStyle w:val="84"/>
              <w:rPr>
                <w:b/>
                <w:bCs/>
              </w:rPr>
            </w:pPr>
            <w:r>
              <w:rPr>
                <w:rFonts w:hint="eastAsia"/>
                <w:b/>
                <w:bCs/>
              </w:rPr>
              <w:t>单元特性管控要求</w:t>
            </w:r>
          </w:p>
        </w:tc>
        <w:tc>
          <w:tcPr>
            <w:tcW w:w="3045" w:type="dxa"/>
            <w:tcBorders>
              <w:tl2br w:val="nil"/>
              <w:tr2bl w:val="nil"/>
            </w:tcBorders>
            <w:tcMar>
              <w:top w:w="50" w:type="dxa"/>
              <w:left w:w="50" w:type="dxa"/>
              <w:bottom w:w="50" w:type="dxa"/>
              <w:right w:w="50" w:type="dxa"/>
            </w:tcMar>
            <w:vAlign w:val="center"/>
          </w:tcPr>
          <w:p w14:paraId="3146A60E">
            <w:pPr>
              <w:pStyle w:val="84"/>
              <w:rPr>
                <w:b/>
                <w:bCs/>
              </w:rPr>
            </w:pPr>
            <w:r>
              <w:rPr>
                <w:rFonts w:hint="eastAsia"/>
                <w:b/>
                <w:bCs/>
              </w:rPr>
              <w:t>本项目</w:t>
            </w:r>
          </w:p>
        </w:tc>
        <w:tc>
          <w:tcPr>
            <w:tcW w:w="804" w:type="dxa"/>
            <w:tcBorders>
              <w:tl2br w:val="nil"/>
              <w:tr2bl w:val="nil"/>
            </w:tcBorders>
            <w:tcMar>
              <w:top w:w="50" w:type="dxa"/>
              <w:left w:w="50" w:type="dxa"/>
              <w:bottom w:w="50" w:type="dxa"/>
              <w:right w:w="50" w:type="dxa"/>
            </w:tcMar>
            <w:vAlign w:val="center"/>
          </w:tcPr>
          <w:p w14:paraId="7E5D23C6">
            <w:pPr>
              <w:pStyle w:val="84"/>
              <w:rPr>
                <w:b/>
                <w:bCs/>
              </w:rPr>
            </w:pPr>
            <w:r>
              <w:rPr>
                <w:rFonts w:hint="eastAsia"/>
                <w:b/>
                <w:bCs/>
              </w:rPr>
              <w:t>符合性</w:t>
            </w:r>
          </w:p>
        </w:tc>
      </w:tr>
      <w:tr w14:paraId="057C7E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restart"/>
            <w:tcBorders>
              <w:tl2br w:val="nil"/>
              <w:tr2bl w:val="nil"/>
            </w:tcBorders>
            <w:tcMar>
              <w:top w:w="50" w:type="dxa"/>
              <w:left w:w="50" w:type="dxa"/>
              <w:bottom w:w="50" w:type="dxa"/>
              <w:right w:w="50" w:type="dxa"/>
            </w:tcMar>
            <w:vAlign w:val="center"/>
          </w:tcPr>
          <w:p w14:paraId="66CF9890">
            <w:pPr>
              <w:pStyle w:val="59"/>
              <w:rPr>
                <w:rFonts w:cs="Times New Roman"/>
              </w:rPr>
            </w:pPr>
            <w:r>
              <w:rPr>
                <w:rFonts w:cs="Times New Roman"/>
              </w:rPr>
              <w:t>ZH51332230001</w:t>
            </w:r>
          </w:p>
        </w:tc>
        <w:tc>
          <w:tcPr>
            <w:tcW w:w="1046" w:type="dxa"/>
            <w:vMerge w:val="restart"/>
            <w:tcBorders>
              <w:tl2br w:val="nil"/>
              <w:tr2bl w:val="nil"/>
            </w:tcBorders>
            <w:tcMar>
              <w:top w:w="50" w:type="dxa"/>
              <w:left w:w="50" w:type="dxa"/>
              <w:bottom w:w="50" w:type="dxa"/>
              <w:right w:w="50" w:type="dxa"/>
            </w:tcMar>
            <w:vAlign w:val="center"/>
          </w:tcPr>
          <w:p w14:paraId="451CA939">
            <w:pPr>
              <w:pStyle w:val="59"/>
              <w:rPr>
                <w:rFonts w:cs="Times New Roman"/>
              </w:rPr>
            </w:pPr>
            <w:r>
              <w:rPr>
                <w:rFonts w:hint="eastAsia" w:cs="Times New Roman"/>
              </w:rPr>
              <w:t>泸定县一般管控单元</w:t>
            </w:r>
          </w:p>
        </w:tc>
        <w:tc>
          <w:tcPr>
            <w:tcW w:w="963" w:type="dxa"/>
            <w:vMerge w:val="restart"/>
            <w:tcBorders>
              <w:tl2br w:val="nil"/>
              <w:tr2bl w:val="nil"/>
            </w:tcBorders>
            <w:tcMar>
              <w:top w:w="50" w:type="dxa"/>
              <w:left w:w="50" w:type="dxa"/>
              <w:bottom w:w="50" w:type="dxa"/>
              <w:right w:w="50" w:type="dxa"/>
            </w:tcMar>
            <w:vAlign w:val="center"/>
          </w:tcPr>
          <w:p w14:paraId="7794D289">
            <w:pPr>
              <w:pStyle w:val="59"/>
              <w:rPr>
                <w:rFonts w:cs="Times New Roman"/>
              </w:rPr>
            </w:pPr>
            <w:r>
              <w:rPr>
                <w:rFonts w:hint="eastAsia" w:cs="Times New Roman"/>
              </w:rPr>
              <w:t>一般管控单元</w:t>
            </w:r>
          </w:p>
        </w:tc>
        <w:tc>
          <w:tcPr>
            <w:tcW w:w="661" w:type="dxa"/>
            <w:vMerge w:val="restart"/>
            <w:tcBorders>
              <w:tl2br w:val="nil"/>
              <w:tr2bl w:val="nil"/>
            </w:tcBorders>
            <w:tcMar>
              <w:top w:w="50" w:type="dxa"/>
              <w:left w:w="50" w:type="dxa"/>
              <w:bottom w:w="50" w:type="dxa"/>
              <w:right w:w="50" w:type="dxa"/>
            </w:tcMar>
            <w:vAlign w:val="center"/>
          </w:tcPr>
          <w:p w14:paraId="235DC204">
            <w:pPr>
              <w:pStyle w:val="59"/>
              <w:rPr>
                <w:rFonts w:cs="Times New Roman"/>
              </w:rPr>
            </w:pPr>
            <w:r>
              <w:rPr>
                <w:rFonts w:hint="eastAsia" w:cs="Times New Roman"/>
              </w:rPr>
              <w:t>甘孜藏族自治州泸定县</w:t>
            </w:r>
          </w:p>
        </w:tc>
        <w:tc>
          <w:tcPr>
            <w:tcW w:w="647" w:type="dxa"/>
            <w:vMerge w:val="restart"/>
            <w:tcBorders>
              <w:tl2br w:val="nil"/>
              <w:tr2bl w:val="nil"/>
            </w:tcBorders>
            <w:tcMar>
              <w:top w:w="50" w:type="dxa"/>
              <w:left w:w="50" w:type="dxa"/>
              <w:bottom w:w="50" w:type="dxa"/>
              <w:right w:w="50" w:type="dxa"/>
            </w:tcMar>
            <w:vAlign w:val="center"/>
          </w:tcPr>
          <w:p w14:paraId="5EE8CAD3">
            <w:pPr>
              <w:pStyle w:val="84"/>
            </w:pPr>
            <w:r>
              <w:rPr>
                <w:rFonts w:hint="eastAsia"/>
              </w:rPr>
              <w:t>空间布局约束</w:t>
            </w:r>
          </w:p>
        </w:tc>
        <w:tc>
          <w:tcPr>
            <w:tcW w:w="5888" w:type="dxa"/>
            <w:tcBorders>
              <w:tl2br w:val="nil"/>
              <w:tr2bl w:val="nil"/>
            </w:tcBorders>
            <w:tcMar>
              <w:top w:w="50" w:type="dxa"/>
              <w:left w:w="50" w:type="dxa"/>
              <w:bottom w:w="50" w:type="dxa"/>
              <w:right w:w="50" w:type="dxa"/>
            </w:tcMar>
            <w:vAlign w:val="center"/>
          </w:tcPr>
          <w:p w14:paraId="23B9E369">
            <w:pPr>
              <w:pStyle w:val="84"/>
              <w:jc w:val="both"/>
            </w:pPr>
            <w:r>
              <w:rPr>
                <w:rFonts w:hint="eastAsia"/>
              </w:rPr>
              <w:t>【禁止开发建设活动的要求】</w:t>
            </w:r>
          </w:p>
          <w:p w14:paraId="2D55F60F">
            <w:pPr>
              <w:pStyle w:val="84"/>
              <w:jc w:val="both"/>
            </w:pPr>
            <w:r>
              <w:rPr>
                <w:rFonts w:hint="eastAsia"/>
              </w:rPr>
              <w:t>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55CD58CB">
            <w:pPr>
              <w:pStyle w:val="84"/>
              <w:jc w:val="both"/>
            </w:pPr>
            <w:r>
              <w:rPr>
                <w:rFonts w:hint="eastAsia"/>
                <w:bCs/>
              </w:rPr>
              <w:t>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41D43831">
            <w:pPr>
              <w:pStyle w:val="84"/>
            </w:pPr>
            <w:r>
              <w:rPr>
                <w:rFonts w:hint="eastAsia"/>
              </w:rPr>
              <w:t>符合</w:t>
            </w:r>
          </w:p>
        </w:tc>
      </w:tr>
      <w:tr w14:paraId="3427F8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continue"/>
            <w:tcBorders>
              <w:tl2br w:val="nil"/>
              <w:tr2bl w:val="nil"/>
            </w:tcBorders>
            <w:tcMar>
              <w:top w:w="50" w:type="dxa"/>
              <w:left w:w="50" w:type="dxa"/>
              <w:bottom w:w="50" w:type="dxa"/>
              <w:right w:w="50" w:type="dxa"/>
            </w:tcMar>
            <w:vAlign w:val="center"/>
          </w:tcPr>
          <w:p w14:paraId="140CDD86">
            <w:pPr>
              <w:pStyle w:val="59"/>
              <w:rPr>
                <w:rFonts w:cs="Times New Roman"/>
              </w:rPr>
            </w:pPr>
          </w:p>
        </w:tc>
        <w:tc>
          <w:tcPr>
            <w:tcW w:w="1046" w:type="dxa"/>
            <w:vMerge w:val="continue"/>
            <w:tcBorders>
              <w:tl2br w:val="nil"/>
              <w:tr2bl w:val="nil"/>
            </w:tcBorders>
            <w:tcMar>
              <w:top w:w="50" w:type="dxa"/>
              <w:left w:w="50" w:type="dxa"/>
              <w:bottom w:w="50" w:type="dxa"/>
              <w:right w:w="50" w:type="dxa"/>
            </w:tcMar>
            <w:vAlign w:val="center"/>
          </w:tcPr>
          <w:p w14:paraId="4C9B10EE">
            <w:pPr>
              <w:pStyle w:val="59"/>
              <w:rPr>
                <w:rFonts w:cs="Times New Roman"/>
              </w:rPr>
            </w:pPr>
          </w:p>
        </w:tc>
        <w:tc>
          <w:tcPr>
            <w:tcW w:w="963" w:type="dxa"/>
            <w:vMerge w:val="continue"/>
            <w:tcBorders>
              <w:tl2br w:val="nil"/>
              <w:tr2bl w:val="nil"/>
            </w:tcBorders>
            <w:tcMar>
              <w:top w:w="50" w:type="dxa"/>
              <w:left w:w="50" w:type="dxa"/>
              <w:bottom w:w="50" w:type="dxa"/>
              <w:right w:w="50" w:type="dxa"/>
            </w:tcMar>
            <w:vAlign w:val="center"/>
          </w:tcPr>
          <w:p w14:paraId="73E55D97">
            <w:pPr>
              <w:pStyle w:val="59"/>
              <w:rPr>
                <w:rFonts w:cs="Times New Roman"/>
              </w:rPr>
            </w:pPr>
          </w:p>
        </w:tc>
        <w:tc>
          <w:tcPr>
            <w:tcW w:w="661" w:type="dxa"/>
            <w:vMerge w:val="continue"/>
            <w:tcBorders>
              <w:tl2br w:val="nil"/>
              <w:tr2bl w:val="nil"/>
            </w:tcBorders>
            <w:tcMar>
              <w:top w:w="50" w:type="dxa"/>
              <w:left w:w="50" w:type="dxa"/>
              <w:bottom w:w="50" w:type="dxa"/>
              <w:right w:w="50" w:type="dxa"/>
            </w:tcMar>
            <w:vAlign w:val="center"/>
          </w:tcPr>
          <w:p w14:paraId="41444F9C">
            <w:pPr>
              <w:pStyle w:val="59"/>
              <w:rPr>
                <w:rFonts w:cs="Times New Roman"/>
              </w:rPr>
            </w:pPr>
          </w:p>
        </w:tc>
        <w:tc>
          <w:tcPr>
            <w:tcW w:w="647" w:type="dxa"/>
            <w:vMerge w:val="continue"/>
            <w:tcBorders>
              <w:tl2br w:val="nil"/>
              <w:tr2bl w:val="nil"/>
            </w:tcBorders>
            <w:tcMar>
              <w:top w:w="50" w:type="dxa"/>
              <w:left w:w="50" w:type="dxa"/>
              <w:bottom w:w="50" w:type="dxa"/>
              <w:right w:w="50" w:type="dxa"/>
            </w:tcMar>
            <w:vAlign w:val="center"/>
          </w:tcPr>
          <w:p w14:paraId="74AEE0EC">
            <w:pPr>
              <w:pStyle w:val="84"/>
            </w:pPr>
          </w:p>
        </w:tc>
        <w:tc>
          <w:tcPr>
            <w:tcW w:w="5888" w:type="dxa"/>
            <w:tcBorders>
              <w:tl2br w:val="nil"/>
              <w:tr2bl w:val="nil"/>
            </w:tcBorders>
            <w:tcMar>
              <w:top w:w="50" w:type="dxa"/>
              <w:left w:w="50" w:type="dxa"/>
              <w:bottom w:w="50" w:type="dxa"/>
              <w:right w:w="50" w:type="dxa"/>
            </w:tcMar>
            <w:vAlign w:val="center"/>
          </w:tcPr>
          <w:p w14:paraId="73F7A1FC">
            <w:pPr>
              <w:pStyle w:val="84"/>
              <w:jc w:val="both"/>
            </w:pPr>
            <w:r>
              <w:rPr>
                <w:rFonts w:hint="eastAsia"/>
              </w:rPr>
              <w:t>【限制开发建设活动的要求】</w:t>
            </w:r>
          </w:p>
          <w:p w14:paraId="7E0E423F">
            <w:pPr>
              <w:pStyle w:val="84"/>
              <w:jc w:val="both"/>
            </w:pPr>
            <w:r>
              <w:rPr>
                <w:rFonts w:hint="eastAsia"/>
              </w:rPr>
              <w:t>（1）企业严控新增建设用地规模和非农建设占用耕地。</w:t>
            </w:r>
          </w:p>
          <w:p w14:paraId="041054EA">
            <w:pPr>
              <w:pStyle w:val="84"/>
              <w:jc w:val="both"/>
            </w:pPr>
            <w:r>
              <w:rPr>
                <w:rFonts w:hint="eastAsia"/>
              </w:rPr>
              <w:t>（2）其他执行甘孜州一般管控单元总体准入要求。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01964963">
            <w:pPr>
              <w:pStyle w:val="84"/>
              <w:jc w:val="both"/>
              <w:rPr>
                <w:bCs/>
              </w:rPr>
            </w:pPr>
            <w:r>
              <w:rPr>
                <w:rFonts w:hint="eastAsia"/>
                <w:bCs/>
              </w:rPr>
              <w:t>项目用地不属于建设用地，不涉及占用耕地；具体分析见甘孜州一般管控单元总体准入要求符合性分析部分。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7D8A0D2A">
            <w:pPr>
              <w:pStyle w:val="84"/>
            </w:pPr>
            <w:r>
              <w:rPr>
                <w:rFonts w:hint="eastAsia"/>
              </w:rPr>
              <w:t>符合</w:t>
            </w:r>
          </w:p>
        </w:tc>
      </w:tr>
      <w:tr w14:paraId="072A8B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continue"/>
            <w:tcBorders>
              <w:tl2br w:val="nil"/>
              <w:tr2bl w:val="nil"/>
            </w:tcBorders>
            <w:tcMar>
              <w:top w:w="50" w:type="dxa"/>
              <w:left w:w="50" w:type="dxa"/>
              <w:bottom w:w="50" w:type="dxa"/>
              <w:right w:w="50" w:type="dxa"/>
            </w:tcMar>
            <w:vAlign w:val="center"/>
          </w:tcPr>
          <w:p w14:paraId="7C855411">
            <w:pPr>
              <w:pStyle w:val="59"/>
              <w:rPr>
                <w:rFonts w:cs="Times New Roman"/>
              </w:rPr>
            </w:pPr>
          </w:p>
        </w:tc>
        <w:tc>
          <w:tcPr>
            <w:tcW w:w="1046" w:type="dxa"/>
            <w:vMerge w:val="continue"/>
            <w:tcBorders>
              <w:tl2br w:val="nil"/>
              <w:tr2bl w:val="nil"/>
            </w:tcBorders>
            <w:tcMar>
              <w:top w:w="50" w:type="dxa"/>
              <w:left w:w="50" w:type="dxa"/>
              <w:bottom w:w="50" w:type="dxa"/>
              <w:right w:w="50" w:type="dxa"/>
            </w:tcMar>
            <w:vAlign w:val="center"/>
          </w:tcPr>
          <w:p w14:paraId="21F70451">
            <w:pPr>
              <w:pStyle w:val="59"/>
              <w:rPr>
                <w:rFonts w:cs="Times New Roman"/>
              </w:rPr>
            </w:pPr>
          </w:p>
        </w:tc>
        <w:tc>
          <w:tcPr>
            <w:tcW w:w="963" w:type="dxa"/>
            <w:vMerge w:val="continue"/>
            <w:tcBorders>
              <w:tl2br w:val="nil"/>
              <w:tr2bl w:val="nil"/>
            </w:tcBorders>
            <w:tcMar>
              <w:top w:w="50" w:type="dxa"/>
              <w:left w:w="50" w:type="dxa"/>
              <w:bottom w:w="50" w:type="dxa"/>
              <w:right w:w="50" w:type="dxa"/>
            </w:tcMar>
            <w:vAlign w:val="center"/>
          </w:tcPr>
          <w:p w14:paraId="1C6D5FE2">
            <w:pPr>
              <w:pStyle w:val="59"/>
              <w:rPr>
                <w:rFonts w:cs="Times New Roman"/>
              </w:rPr>
            </w:pPr>
          </w:p>
        </w:tc>
        <w:tc>
          <w:tcPr>
            <w:tcW w:w="661" w:type="dxa"/>
            <w:vMerge w:val="continue"/>
            <w:tcBorders>
              <w:tl2br w:val="nil"/>
              <w:tr2bl w:val="nil"/>
            </w:tcBorders>
            <w:tcMar>
              <w:top w:w="50" w:type="dxa"/>
              <w:left w:w="50" w:type="dxa"/>
              <w:bottom w:w="50" w:type="dxa"/>
              <w:right w:w="50" w:type="dxa"/>
            </w:tcMar>
            <w:vAlign w:val="center"/>
          </w:tcPr>
          <w:p w14:paraId="2B042D61">
            <w:pPr>
              <w:pStyle w:val="59"/>
              <w:rPr>
                <w:rFonts w:cs="Times New Roman"/>
              </w:rPr>
            </w:pPr>
          </w:p>
        </w:tc>
        <w:tc>
          <w:tcPr>
            <w:tcW w:w="647" w:type="dxa"/>
            <w:vMerge w:val="continue"/>
            <w:tcBorders>
              <w:tl2br w:val="nil"/>
              <w:tr2bl w:val="nil"/>
            </w:tcBorders>
            <w:tcMar>
              <w:top w:w="50" w:type="dxa"/>
              <w:left w:w="50" w:type="dxa"/>
              <w:bottom w:w="50" w:type="dxa"/>
              <w:right w:w="50" w:type="dxa"/>
            </w:tcMar>
            <w:vAlign w:val="center"/>
          </w:tcPr>
          <w:p w14:paraId="5A4DB8A1">
            <w:pPr>
              <w:pStyle w:val="84"/>
            </w:pPr>
          </w:p>
        </w:tc>
        <w:tc>
          <w:tcPr>
            <w:tcW w:w="5888" w:type="dxa"/>
            <w:tcBorders>
              <w:tl2br w:val="nil"/>
              <w:tr2bl w:val="nil"/>
            </w:tcBorders>
            <w:tcMar>
              <w:top w:w="50" w:type="dxa"/>
              <w:left w:w="50" w:type="dxa"/>
              <w:bottom w:w="50" w:type="dxa"/>
              <w:right w:w="50" w:type="dxa"/>
            </w:tcMar>
            <w:vAlign w:val="center"/>
          </w:tcPr>
          <w:p w14:paraId="72B0E2E2">
            <w:pPr>
              <w:pStyle w:val="84"/>
              <w:jc w:val="both"/>
            </w:pPr>
            <w:r>
              <w:rPr>
                <w:rFonts w:hint="eastAsia"/>
              </w:rPr>
              <w:t>【允许开发建设活动的要求】</w:t>
            </w:r>
          </w:p>
          <w:p w14:paraId="06FCF59C">
            <w:pPr>
              <w:pStyle w:val="84"/>
              <w:jc w:val="both"/>
            </w:pPr>
            <w:r>
              <w:rPr>
                <w:rFonts w:hint="eastAsia"/>
              </w:rPr>
              <w:t>1.对地震灾区灾后重建需要新设砂石土类矿产开采规划区块的，经市（州）自然资源主管部门充分论证，在合理布局、确保安全距离、满足环保要求的前提下，可直接纳入“十四五”矿产资源规划，允许灾区重建所需砂石土设置储量规模为小型、最低生产规模为20万吨/年的采矿权，服务期限与灾后重建专项规划期衔接一致，到期后及时开展矿山生态修复，并按程序注销采矿权。</w:t>
            </w:r>
          </w:p>
          <w:p w14:paraId="31671EBD">
            <w:pPr>
              <w:pStyle w:val="84"/>
              <w:jc w:val="both"/>
            </w:pPr>
            <w:r>
              <w:rPr>
                <w:rFonts w:hint="eastAsia"/>
              </w:rPr>
              <w:t>2、其他执行甘孜州一般管控单元总体准入要求。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5C1313EC">
            <w:pPr>
              <w:pStyle w:val="84"/>
              <w:jc w:val="both"/>
              <w:rPr>
                <w:bCs/>
              </w:rPr>
            </w:pPr>
            <w:r>
              <w:rPr>
                <w:rFonts w:hint="eastAsia"/>
                <w:bCs/>
              </w:rPr>
              <w:t>1、本项目不涉及；</w:t>
            </w:r>
          </w:p>
          <w:p w14:paraId="62F027B6">
            <w:pPr>
              <w:pStyle w:val="84"/>
              <w:jc w:val="both"/>
              <w:rPr>
                <w:bCs/>
              </w:rPr>
            </w:pPr>
            <w:r>
              <w:rPr>
                <w:rFonts w:hint="eastAsia"/>
                <w:bCs/>
              </w:rPr>
              <w:t>2、具体分析见甘孜州一般管控单元总体准入要求符合性分析部分。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32306F4C">
            <w:pPr>
              <w:pStyle w:val="84"/>
            </w:pPr>
            <w:r>
              <w:rPr>
                <w:rFonts w:hint="eastAsia"/>
              </w:rPr>
              <w:t>符合</w:t>
            </w:r>
          </w:p>
        </w:tc>
      </w:tr>
      <w:tr w14:paraId="1373EA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continue"/>
            <w:tcBorders>
              <w:tl2br w:val="nil"/>
              <w:tr2bl w:val="nil"/>
            </w:tcBorders>
            <w:tcMar>
              <w:top w:w="50" w:type="dxa"/>
              <w:left w:w="50" w:type="dxa"/>
              <w:bottom w:w="50" w:type="dxa"/>
              <w:right w:w="50" w:type="dxa"/>
            </w:tcMar>
            <w:vAlign w:val="center"/>
          </w:tcPr>
          <w:p w14:paraId="0647E536">
            <w:pPr>
              <w:pStyle w:val="59"/>
              <w:rPr>
                <w:rFonts w:cs="Times New Roman"/>
              </w:rPr>
            </w:pPr>
          </w:p>
        </w:tc>
        <w:tc>
          <w:tcPr>
            <w:tcW w:w="1046" w:type="dxa"/>
            <w:vMerge w:val="continue"/>
            <w:tcBorders>
              <w:tl2br w:val="nil"/>
              <w:tr2bl w:val="nil"/>
            </w:tcBorders>
            <w:tcMar>
              <w:top w:w="50" w:type="dxa"/>
              <w:left w:w="50" w:type="dxa"/>
              <w:bottom w:w="50" w:type="dxa"/>
              <w:right w:w="50" w:type="dxa"/>
            </w:tcMar>
            <w:vAlign w:val="center"/>
          </w:tcPr>
          <w:p w14:paraId="0F310CBB">
            <w:pPr>
              <w:pStyle w:val="59"/>
              <w:rPr>
                <w:rFonts w:cs="Times New Roman"/>
              </w:rPr>
            </w:pPr>
          </w:p>
        </w:tc>
        <w:tc>
          <w:tcPr>
            <w:tcW w:w="963" w:type="dxa"/>
            <w:vMerge w:val="continue"/>
            <w:tcBorders>
              <w:tl2br w:val="nil"/>
              <w:tr2bl w:val="nil"/>
            </w:tcBorders>
            <w:tcMar>
              <w:top w:w="50" w:type="dxa"/>
              <w:left w:w="50" w:type="dxa"/>
              <w:bottom w:w="50" w:type="dxa"/>
              <w:right w:w="50" w:type="dxa"/>
            </w:tcMar>
            <w:vAlign w:val="center"/>
          </w:tcPr>
          <w:p w14:paraId="67C219AE">
            <w:pPr>
              <w:pStyle w:val="59"/>
              <w:rPr>
                <w:rFonts w:cs="Times New Roman"/>
              </w:rPr>
            </w:pPr>
          </w:p>
        </w:tc>
        <w:tc>
          <w:tcPr>
            <w:tcW w:w="661" w:type="dxa"/>
            <w:vMerge w:val="continue"/>
            <w:tcBorders>
              <w:tl2br w:val="nil"/>
              <w:tr2bl w:val="nil"/>
            </w:tcBorders>
            <w:tcMar>
              <w:top w:w="50" w:type="dxa"/>
              <w:left w:w="50" w:type="dxa"/>
              <w:bottom w:w="50" w:type="dxa"/>
              <w:right w:w="50" w:type="dxa"/>
            </w:tcMar>
            <w:vAlign w:val="center"/>
          </w:tcPr>
          <w:p w14:paraId="1C600773">
            <w:pPr>
              <w:pStyle w:val="59"/>
              <w:rPr>
                <w:rFonts w:cs="Times New Roman"/>
              </w:rPr>
            </w:pPr>
          </w:p>
        </w:tc>
        <w:tc>
          <w:tcPr>
            <w:tcW w:w="647" w:type="dxa"/>
            <w:vMerge w:val="continue"/>
            <w:tcBorders>
              <w:tl2br w:val="nil"/>
              <w:tr2bl w:val="nil"/>
            </w:tcBorders>
            <w:tcMar>
              <w:top w:w="50" w:type="dxa"/>
              <w:left w:w="50" w:type="dxa"/>
              <w:bottom w:w="50" w:type="dxa"/>
              <w:right w:w="50" w:type="dxa"/>
            </w:tcMar>
            <w:vAlign w:val="center"/>
          </w:tcPr>
          <w:p w14:paraId="2B0A7516">
            <w:pPr>
              <w:pStyle w:val="84"/>
            </w:pPr>
          </w:p>
        </w:tc>
        <w:tc>
          <w:tcPr>
            <w:tcW w:w="5888" w:type="dxa"/>
            <w:tcBorders>
              <w:tl2br w:val="nil"/>
              <w:tr2bl w:val="nil"/>
            </w:tcBorders>
            <w:tcMar>
              <w:top w:w="50" w:type="dxa"/>
              <w:left w:w="50" w:type="dxa"/>
              <w:bottom w:w="50" w:type="dxa"/>
              <w:right w:w="50" w:type="dxa"/>
            </w:tcMar>
            <w:vAlign w:val="center"/>
          </w:tcPr>
          <w:p w14:paraId="4B3A8A35">
            <w:pPr>
              <w:pStyle w:val="84"/>
              <w:jc w:val="both"/>
            </w:pPr>
            <w:r>
              <w:rPr>
                <w:rFonts w:hint="eastAsia"/>
              </w:rPr>
              <w:t>【不符合空间布局要求活动的退出要求】</w:t>
            </w:r>
          </w:p>
          <w:p w14:paraId="1FD4FC75">
            <w:pPr>
              <w:pStyle w:val="84"/>
              <w:jc w:val="both"/>
            </w:pPr>
            <w:r>
              <w:rPr>
                <w:rFonts w:hint="eastAsia"/>
              </w:rPr>
              <w:t>（1）企业如不符合用地性质及排放标准的应限期进行整改，并积极引导迁入产业园区，暂不具备入园条件的在既有合法手续且污染物排放和环境风险满足总体管控要求的情况下可继续保留，维持现状，并加强监管。</w:t>
            </w:r>
          </w:p>
          <w:p w14:paraId="48E5C8E1">
            <w:pPr>
              <w:pStyle w:val="84"/>
              <w:jc w:val="both"/>
            </w:pPr>
            <w:r>
              <w:rPr>
                <w:rFonts w:hint="eastAsia"/>
              </w:rPr>
              <w:t>（2）严控新增区外水泥企业。</w:t>
            </w:r>
          </w:p>
          <w:p w14:paraId="3258384E">
            <w:pPr>
              <w:pStyle w:val="84"/>
              <w:jc w:val="both"/>
            </w:pPr>
            <w:r>
              <w:rPr>
                <w:rFonts w:hint="eastAsia"/>
              </w:rPr>
              <w:t>（3）其他执行甘孜州一般管控单元总体准入要求。</w:t>
            </w:r>
          </w:p>
          <w:p w14:paraId="7D74D6A2">
            <w:pPr>
              <w:pStyle w:val="84"/>
              <w:jc w:val="both"/>
            </w:pPr>
            <w:r>
              <w:rPr>
                <w:rFonts w:hint="eastAsia"/>
              </w:rPr>
              <w:t>【其他空间布局约束要求】</w:t>
            </w:r>
          </w:p>
          <w:p w14:paraId="065AFDF1">
            <w:pPr>
              <w:pStyle w:val="84"/>
              <w:jc w:val="both"/>
            </w:pPr>
            <w:r>
              <w:rPr>
                <w:rFonts w:hint="eastAsia"/>
              </w:rPr>
              <w:t>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6BCCA80B">
            <w:pPr>
              <w:pStyle w:val="84"/>
              <w:numPr>
                <w:ilvl w:val="0"/>
                <w:numId w:val="10"/>
              </w:numPr>
              <w:jc w:val="both"/>
              <w:rPr>
                <w:bCs/>
              </w:rPr>
            </w:pPr>
            <w:r>
              <w:rPr>
                <w:rFonts w:hint="eastAsia"/>
                <w:bCs/>
              </w:rPr>
              <w:t>本项目不属于工业企业；</w:t>
            </w:r>
          </w:p>
          <w:p w14:paraId="25578F41">
            <w:pPr>
              <w:pStyle w:val="84"/>
              <w:numPr>
                <w:ilvl w:val="0"/>
                <w:numId w:val="10"/>
              </w:numPr>
              <w:jc w:val="both"/>
              <w:rPr>
                <w:bCs/>
              </w:rPr>
            </w:pPr>
            <w:r>
              <w:rPr>
                <w:rFonts w:hint="eastAsia"/>
                <w:bCs/>
              </w:rPr>
              <w:t>本项目不涉及；</w:t>
            </w:r>
          </w:p>
          <w:p w14:paraId="2B1F81C3">
            <w:pPr>
              <w:pStyle w:val="84"/>
              <w:numPr>
                <w:ilvl w:val="0"/>
                <w:numId w:val="10"/>
              </w:numPr>
              <w:jc w:val="both"/>
              <w:rPr>
                <w:bCs/>
              </w:rPr>
            </w:pPr>
            <w:r>
              <w:rPr>
                <w:rFonts w:hint="eastAsia"/>
                <w:bCs/>
              </w:rPr>
              <w:t>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72C1E4D0">
            <w:pPr>
              <w:pStyle w:val="84"/>
            </w:pPr>
            <w:r>
              <w:rPr>
                <w:rFonts w:hint="eastAsia"/>
              </w:rPr>
              <w:t>符合</w:t>
            </w:r>
          </w:p>
        </w:tc>
      </w:tr>
      <w:tr w14:paraId="4657E0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continue"/>
            <w:tcBorders>
              <w:tl2br w:val="nil"/>
              <w:tr2bl w:val="nil"/>
            </w:tcBorders>
            <w:tcMar>
              <w:top w:w="50" w:type="dxa"/>
              <w:left w:w="50" w:type="dxa"/>
              <w:bottom w:w="50" w:type="dxa"/>
              <w:right w:w="50" w:type="dxa"/>
            </w:tcMar>
            <w:vAlign w:val="center"/>
          </w:tcPr>
          <w:p w14:paraId="60FD386B">
            <w:pPr>
              <w:pStyle w:val="84"/>
            </w:pPr>
          </w:p>
        </w:tc>
        <w:tc>
          <w:tcPr>
            <w:tcW w:w="1046" w:type="dxa"/>
            <w:vMerge w:val="continue"/>
            <w:tcBorders>
              <w:tl2br w:val="nil"/>
              <w:tr2bl w:val="nil"/>
            </w:tcBorders>
            <w:tcMar>
              <w:top w:w="50" w:type="dxa"/>
              <w:left w:w="50" w:type="dxa"/>
              <w:bottom w:w="50" w:type="dxa"/>
              <w:right w:w="50" w:type="dxa"/>
            </w:tcMar>
            <w:vAlign w:val="center"/>
          </w:tcPr>
          <w:p w14:paraId="6D6A4C77">
            <w:pPr>
              <w:pStyle w:val="84"/>
            </w:pPr>
          </w:p>
        </w:tc>
        <w:tc>
          <w:tcPr>
            <w:tcW w:w="963" w:type="dxa"/>
            <w:vMerge w:val="continue"/>
            <w:tcBorders>
              <w:tl2br w:val="nil"/>
              <w:tr2bl w:val="nil"/>
            </w:tcBorders>
            <w:tcMar>
              <w:top w:w="50" w:type="dxa"/>
              <w:left w:w="50" w:type="dxa"/>
              <w:bottom w:w="50" w:type="dxa"/>
              <w:right w:w="50" w:type="dxa"/>
            </w:tcMar>
            <w:vAlign w:val="center"/>
          </w:tcPr>
          <w:p w14:paraId="22046B24">
            <w:pPr>
              <w:pStyle w:val="84"/>
            </w:pPr>
          </w:p>
        </w:tc>
        <w:tc>
          <w:tcPr>
            <w:tcW w:w="661" w:type="dxa"/>
            <w:vMerge w:val="continue"/>
            <w:tcBorders>
              <w:tl2br w:val="nil"/>
              <w:tr2bl w:val="nil"/>
            </w:tcBorders>
            <w:tcMar>
              <w:top w:w="50" w:type="dxa"/>
              <w:left w:w="50" w:type="dxa"/>
              <w:bottom w:w="50" w:type="dxa"/>
              <w:right w:w="50" w:type="dxa"/>
            </w:tcMar>
            <w:vAlign w:val="center"/>
          </w:tcPr>
          <w:p w14:paraId="1E8F0BF0">
            <w:pPr>
              <w:pStyle w:val="84"/>
            </w:pPr>
          </w:p>
        </w:tc>
        <w:tc>
          <w:tcPr>
            <w:tcW w:w="647" w:type="dxa"/>
            <w:vMerge w:val="restart"/>
            <w:tcBorders>
              <w:tl2br w:val="nil"/>
              <w:tr2bl w:val="nil"/>
            </w:tcBorders>
            <w:tcMar>
              <w:top w:w="50" w:type="dxa"/>
              <w:left w:w="50" w:type="dxa"/>
              <w:bottom w:w="50" w:type="dxa"/>
              <w:right w:w="50" w:type="dxa"/>
            </w:tcMar>
            <w:vAlign w:val="center"/>
          </w:tcPr>
          <w:p w14:paraId="70C9B114">
            <w:pPr>
              <w:pStyle w:val="84"/>
            </w:pPr>
            <w:r>
              <w:rPr>
                <w:rFonts w:hint="eastAsia"/>
              </w:rPr>
              <w:t>污染物排放管控</w:t>
            </w:r>
          </w:p>
        </w:tc>
        <w:tc>
          <w:tcPr>
            <w:tcW w:w="5888" w:type="dxa"/>
            <w:tcBorders>
              <w:tl2br w:val="nil"/>
              <w:tr2bl w:val="nil"/>
            </w:tcBorders>
            <w:tcMar>
              <w:top w:w="50" w:type="dxa"/>
              <w:left w:w="50" w:type="dxa"/>
              <w:bottom w:w="50" w:type="dxa"/>
              <w:right w:w="50" w:type="dxa"/>
            </w:tcMar>
            <w:vAlign w:val="center"/>
          </w:tcPr>
          <w:p w14:paraId="049B43A1">
            <w:pPr>
              <w:pStyle w:val="84"/>
              <w:jc w:val="both"/>
            </w:pPr>
            <w:r>
              <w:rPr>
                <w:rFonts w:hint="eastAsia"/>
              </w:rPr>
              <w:t>【现有源提标升级改造】</w:t>
            </w:r>
          </w:p>
          <w:p w14:paraId="537E389A">
            <w:pPr>
              <w:pStyle w:val="84"/>
              <w:jc w:val="both"/>
            </w:pPr>
            <w:r>
              <w:rPr>
                <w:rFonts w:hint="eastAsia"/>
              </w:rPr>
              <w:t>（1）水泥、黏土砖瓦及建筑砌块制造行业按照相关要求推进大气污染物超低排放和深度治理。</w:t>
            </w:r>
          </w:p>
          <w:p w14:paraId="2C4E3FDE">
            <w:pPr>
              <w:pStyle w:val="84"/>
              <w:jc w:val="both"/>
            </w:pPr>
            <w:r>
              <w:rPr>
                <w:rFonts w:hint="eastAsia"/>
              </w:rPr>
              <w:t>（2）其他执行甘孜州一般管控单元总体准入要求。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50F4EBE8">
            <w:pPr>
              <w:pStyle w:val="84"/>
              <w:jc w:val="both"/>
            </w:pPr>
            <w:r>
              <w:rPr>
                <w:rFonts w:hint="eastAsia"/>
              </w:rPr>
              <w:t>本项目不属于水泥、黏土砖瓦等行业；其他</w:t>
            </w:r>
            <w:r>
              <w:rPr>
                <w:rFonts w:hint="eastAsia"/>
                <w:bCs/>
              </w:rPr>
              <w:t>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5F0B0F54">
            <w:pPr>
              <w:pStyle w:val="84"/>
            </w:pPr>
            <w:r>
              <w:rPr>
                <w:rFonts w:hint="eastAsia"/>
              </w:rPr>
              <w:t>符合</w:t>
            </w:r>
          </w:p>
        </w:tc>
      </w:tr>
      <w:tr w14:paraId="3BD597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continue"/>
            <w:tcBorders>
              <w:tl2br w:val="nil"/>
              <w:tr2bl w:val="nil"/>
            </w:tcBorders>
            <w:tcMar>
              <w:top w:w="50" w:type="dxa"/>
              <w:left w:w="50" w:type="dxa"/>
              <w:bottom w:w="50" w:type="dxa"/>
              <w:right w:w="50" w:type="dxa"/>
            </w:tcMar>
            <w:vAlign w:val="center"/>
          </w:tcPr>
          <w:p w14:paraId="344CB0A5">
            <w:pPr>
              <w:pStyle w:val="84"/>
            </w:pPr>
          </w:p>
        </w:tc>
        <w:tc>
          <w:tcPr>
            <w:tcW w:w="1046" w:type="dxa"/>
            <w:vMerge w:val="continue"/>
            <w:tcBorders>
              <w:tl2br w:val="nil"/>
              <w:tr2bl w:val="nil"/>
            </w:tcBorders>
            <w:tcMar>
              <w:top w:w="50" w:type="dxa"/>
              <w:left w:w="50" w:type="dxa"/>
              <w:bottom w:w="50" w:type="dxa"/>
              <w:right w:w="50" w:type="dxa"/>
            </w:tcMar>
            <w:vAlign w:val="center"/>
          </w:tcPr>
          <w:p w14:paraId="7D218679">
            <w:pPr>
              <w:pStyle w:val="84"/>
            </w:pPr>
          </w:p>
        </w:tc>
        <w:tc>
          <w:tcPr>
            <w:tcW w:w="963" w:type="dxa"/>
            <w:vMerge w:val="continue"/>
            <w:tcBorders>
              <w:tl2br w:val="nil"/>
              <w:tr2bl w:val="nil"/>
            </w:tcBorders>
            <w:tcMar>
              <w:top w:w="50" w:type="dxa"/>
              <w:left w:w="50" w:type="dxa"/>
              <w:bottom w:w="50" w:type="dxa"/>
              <w:right w:w="50" w:type="dxa"/>
            </w:tcMar>
            <w:vAlign w:val="center"/>
          </w:tcPr>
          <w:p w14:paraId="0A30DCAD">
            <w:pPr>
              <w:pStyle w:val="84"/>
            </w:pPr>
          </w:p>
        </w:tc>
        <w:tc>
          <w:tcPr>
            <w:tcW w:w="661" w:type="dxa"/>
            <w:vMerge w:val="continue"/>
            <w:tcBorders>
              <w:tl2br w:val="nil"/>
              <w:tr2bl w:val="nil"/>
            </w:tcBorders>
            <w:tcMar>
              <w:top w:w="50" w:type="dxa"/>
              <w:left w:w="50" w:type="dxa"/>
              <w:bottom w:w="50" w:type="dxa"/>
              <w:right w:w="50" w:type="dxa"/>
            </w:tcMar>
            <w:vAlign w:val="center"/>
          </w:tcPr>
          <w:p w14:paraId="0F8E911F">
            <w:pPr>
              <w:pStyle w:val="84"/>
            </w:pPr>
          </w:p>
        </w:tc>
        <w:tc>
          <w:tcPr>
            <w:tcW w:w="647" w:type="dxa"/>
            <w:vMerge w:val="continue"/>
            <w:tcBorders>
              <w:tl2br w:val="nil"/>
              <w:tr2bl w:val="nil"/>
            </w:tcBorders>
            <w:tcMar>
              <w:top w:w="50" w:type="dxa"/>
              <w:left w:w="50" w:type="dxa"/>
              <w:bottom w:w="50" w:type="dxa"/>
              <w:right w:w="50" w:type="dxa"/>
            </w:tcMar>
            <w:vAlign w:val="center"/>
          </w:tcPr>
          <w:p w14:paraId="6B62158C">
            <w:pPr>
              <w:pStyle w:val="84"/>
            </w:pPr>
          </w:p>
        </w:tc>
        <w:tc>
          <w:tcPr>
            <w:tcW w:w="5888" w:type="dxa"/>
            <w:tcBorders>
              <w:tl2br w:val="nil"/>
              <w:tr2bl w:val="nil"/>
            </w:tcBorders>
            <w:tcMar>
              <w:top w:w="50" w:type="dxa"/>
              <w:left w:w="50" w:type="dxa"/>
              <w:bottom w:w="50" w:type="dxa"/>
              <w:right w:w="50" w:type="dxa"/>
            </w:tcMar>
            <w:vAlign w:val="center"/>
          </w:tcPr>
          <w:p w14:paraId="2CE17A0C">
            <w:pPr>
              <w:pStyle w:val="84"/>
              <w:jc w:val="both"/>
            </w:pPr>
            <w:r>
              <w:rPr>
                <w:rFonts w:hint="eastAsia"/>
              </w:rPr>
              <w:t>【新增源等量或倍量替代】</w:t>
            </w:r>
          </w:p>
          <w:p w14:paraId="6113DE46">
            <w:pPr>
              <w:pStyle w:val="84"/>
              <w:jc w:val="both"/>
            </w:pPr>
            <w:r>
              <w:rPr>
                <w:rFonts w:hint="eastAsia"/>
              </w:rPr>
              <w:t>执行甘孜州一般管控单元总体准入要求</w:t>
            </w:r>
          </w:p>
          <w:p w14:paraId="5242FAF2">
            <w:pPr>
              <w:pStyle w:val="84"/>
              <w:jc w:val="both"/>
            </w:pPr>
            <w:r>
              <w:rPr>
                <w:rFonts w:hint="eastAsia"/>
              </w:rPr>
              <w:t>【新增源排放标准限值】</w:t>
            </w:r>
          </w:p>
          <w:p w14:paraId="6EA1F5BF">
            <w:pPr>
              <w:pStyle w:val="84"/>
              <w:jc w:val="both"/>
            </w:pPr>
            <w:r>
              <w:rPr>
                <w:rFonts w:hint="eastAsia"/>
              </w:rPr>
              <w:t>执行甘孜州一般管控单元总体准入要求</w:t>
            </w:r>
          </w:p>
          <w:p w14:paraId="565D8670">
            <w:pPr>
              <w:pStyle w:val="84"/>
              <w:jc w:val="both"/>
            </w:pPr>
            <w:r>
              <w:rPr>
                <w:rFonts w:hint="eastAsia"/>
              </w:rPr>
              <w:t>【污染物排放绩效水平准入要求】</w:t>
            </w:r>
          </w:p>
          <w:p w14:paraId="5CFB5FCF">
            <w:pPr>
              <w:pStyle w:val="84"/>
              <w:jc w:val="both"/>
            </w:pPr>
            <w:r>
              <w:rPr>
                <w:rFonts w:hint="eastAsia"/>
              </w:rPr>
              <w:t>（1）泸定县属半农半牧区，行政村生活垃圾收转运体系覆盖率2021年底达90%，2022年底全覆盖；2022年底再生资源回收网点覆盖60%以上行政村。</w:t>
            </w:r>
          </w:p>
          <w:p w14:paraId="32978255">
            <w:pPr>
              <w:pStyle w:val="84"/>
              <w:jc w:val="both"/>
            </w:pPr>
            <w:r>
              <w:rPr>
                <w:rFonts w:hint="eastAsia"/>
              </w:rPr>
              <w:t>（2）散养密集区须实行畜禽粪便污水分户收集、集中处理利用。</w:t>
            </w:r>
          </w:p>
          <w:p w14:paraId="796FD390">
            <w:pPr>
              <w:pStyle w:val="84"/>
              <w:jc w:val="both"/>
            </w:pPr>
            <w:r>
              <w:rPr>
                <w:rFonts w:hint="eastAsia"/>
              </w:rPr>
              <w:t>（3）泸定县涉及贡嘎山国家级风景名胜区东部景观片区，包括海螺沟景区，主要旅游接待服务设施污水达标排放率达100%；生活垃圾无害化处理率达100%；风景区水体不得新建排污口；餐饮服务气体排放须采取油烟净化处理，满足《饮食业油烟排放标准》（GB18483-2001）相关要求；生态旅游配套项目不得采用非清洁燃料。</w:t>
            </w:r>
          </w:p>
          <w:p w14:paraId="52142F9A">
            <w:pPr>
              <w:pStyle w:val="84"/>
              <w:jc w:val="both"/>
            </w:pPr>
            <w:r>
              <w:rPr>
                <w:rFonts w:hint="eastAsia"/>
              </w:rPr>
              <w:t>（4）甘孜新区位于泸定县燕子沟镇，是康泸新一体化三大核心之一，以文化旅游为主要发展方向。区域污水排放不得高于2025年城乡常住人口2万人、旅游总人数（含海螺沟）500万人次年标准；2025年城镇生活垃圾无害化处理率80%，城镇污水集中处理率50%。</w:t>
            </w:r>
          </w:p>
          <w:p w14:paraId="6B72FD2F">
            <w:pPr>
              <w:pStyle w:val="84"/>
              <w:jc w:val="both"/>
            </w:pPr>
            <w:r>
              <w:rPr>
                <w:rFonts w:hint="eastAsia"/>
              </w:rPr>
              <w:t>（5）其他执行甘孜州一般管控单元总体准入要求。</w:t>
            </w:r>
          </w:p>
          <w:p w14:paraId="3567F6E6">
            <w:pPr>
              <w:pStyle w:val="84"/>
              <w:jc w:val="both"/>
            </w:pPr>
            <w:r>
              <w:rPr>
                <w:rFonts w:hint="eastAsia"/>
              </w:rPr>
              <w:t>【其他污染物排放管控要求】</w:t>
            </w:r>
          </w:p>
          <w:p w14:paraId="7077B516">
            <w:pPr>
              <w:pStyle w:val="84"/>
              <w:jc w:val="both"/>
            </w:pPr>
            <w:r>
              <w:rPr>
                <w:rFonts w:hint="eastAsia"/>
              </w:rPr>
              <w:t>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3B6AFD89">
            <w:pPr>
              <w:pStyle w:val="84"/>
              <w:numPr>
                <w:ilvl w:val="0"/>
                <w:numId w:val="11"/>
              </w:numPr>
              <w:jc w:val="both"/>
              <w:rPr>
                <w:bCs/>
              </w:rPr>
            </w:pPr>
            <w:r>
              <w:rPr>
                <w:rFonts w:hint="eastAsia"/>
                <w:bCs/>
              </w:rPr>
              <w:t>项目施工期生活垃圾收集后由环卫单位清运处置；</w:t>
            </w:r>
          </w:p>
          <w:p w14:paraId="128D4405">
            <w:pPr>
              <w:pStyle w:val="84"/>
              <w:numPr>
                <w:ilvl w:val="0"/>
                <w:numId w:val="11"/>
              </w:numPr>
              <w:jc w:val="both"/>
              <w:rPr>
                <w:bCs/>
              </w:rPr>
            </w:pPr>
            <w:r>
              <w:rPr>
                <w:rFonts w:hint="eastAsia"/>
                <w:bCs/>
              </w:rPr>
              <w:t>本项目不属于畜禽养殖行业；</w:t>
            </w:r>
          </w:p>
          <w:p w14:paraId="50771FB9">
            <w:pPr>
              <w:pStyle w:val="84"/>
              <w:numPr>
                <w:ilvl w:val="0"/>
                <w:numId w:val="11"/>
              </w:numPr>
              <w:jc w:val="both"/>
              <w:rPr>
                <w:bCs/>
              </w:rPr>
            </w:pPr>
            <w:r>
              <w:rPr>
                <w:rFonts w:hint="eastAsia"/>
                <w:bCs/>
              </w:rPr>
              <w:t>本项目于2026年4月29日取得了泸定县林业和草原局出具的《关于核实泸定县海螺沟山洪沟（共和村、柏秧坪村段）治理工程是否占用各级各类自然保护地、国家级公益林及基本草原的复函》（泸林草函</w:t>
            </w:r>
            <w:r>
              <w:rPr>
                <w:rFonts w:hint="eastAsia"/>
              </w:rPr>
              <w:t>〔2026〕37号</w:t>
            </w:r>
            <w:r>
              <w:rPr>
                <w:rFonts w:hint="eastAsia"/>
                <w:bCs/>
              </w:rPr>
              <w:t>），详见附件7，其明确项目不涉及贡嘎山国家级风景名胜区；</w:t>
            </w:r>
          </w:p>
          <w:p w14:paraId="0508E6FC">
            <w:pPr>
              <w:pStyle w:val="84"/>
              <w:numPr>
                <w:ilvl w:val="0"/>
                <w:numId w:val="11"/>
              </w:numPr>
              <w:jc w:val="both"/>
              <w:rPr>
                <w:bCs/>
              </w:rPr>
            </w:pPr>
            <w:r>
              <w:rPr>
                <w:rFonts w:hint="eastAsia"/>
              </w:rPr>
              <w:t>项目废水污染物主要为施工过程中的生活污水、车辆冲洗废水、混凝土养护废水、基坑排水等，生活污水经租赁民房现有污水处理设施处理后用作农肥，车辆冲洗废水经沉淀隔油处理后回用于道路洒水降尘，混凝土养护废水经沉淀池处理后回用于工序，基坑排水经沉淀处理后用于排入水体；废水不涉及重金属的排放；生活垃圾</w:t>
            </w:r>
            <w:r>
              <w:rPr>
                <w:rFonts w:hint="eastAsia"/>
                <w:bCs/>
              </w:rPr>
              <w:t>收集后由环卫单位清运处置；</w:t>
            </w:r>
          </w:p>
          <w:p w14:paraId="4191FECE">
            <w:pPr>
              <w:pStyle w:val="84"/>
              <w:numPr>
                <w:ilvl w:val="0"/>
                <w:numId w:val="11"/>
              </w:numPr>
              <w:jc w:val="both"/>
              <w:rPr>
                <w:bCs/>
              </w:rPr>
            </w:pPr>
            <w:r>
              <w:rPr>
                <w:rFonts w:hint="eastAsia"/>
              </w:rPr>
              <w:t>其他</w:t>
            </w:r>
            <w:r>
              <w:rPr>
                <w:rFonts w:hint="eastAsia"/>
                <w:bCs/>
              </w:rPr>
              <w:t>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18E8F397">
            <w:pPr>
              <w:pStyle w:val="84"/>
            </w:pPr>
            <w:r>
              <w:rPr>
                <w:rFonts w:hint="eastAsia"/>
              </w:rPr>
              <w:t>符合</w:t>
            </w:r>
          </w:p>
        </w:tc>
      </w:tr>
      <w:tr w14:paraId="00CC42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continue"/>
            <w:tcBorders>
              <w:tl2br w:val="nil"/>
              <w:tr2bl w:val="nil"/>
            </w:tcBorders>
            <w:tcMar>
              <w:top w:w="50" w:type="dxa"/>
              <w:left w:w="50" w:type="dxa"/>
              <w:bottom w:w="50" w:type="dxa"/>
              <w:right w:w="50" w:type="dxa"/>
            </w:tcMar>
            <w:vAlign w:val="center"/>
          </w:tcPr>
          <w:p w14:paraId="0C2803E4">
            <w:pPr>
              <w:pStyle w:val="84"/>
            </w:pPr>
          </w:p>
        </w:tc>
        <w:tc>
          <w:tcPr>
            <w:tcW w:w="1046" w:type="dxa"/>
            <w:vMerge w:val="continue"/>
            <w:tcBorders>
              <w:tl2br w:val="nil"/>
              <w:tr2bl w:val="nil"/>
            </w:tcBorders>
            <w:tcMar>
              <w:top w:w="50" w:type="dxa"/>
              <w:left w:w="50" w:type="dxa"/>
              <w:bottom w:w="50" w:type="dxa"/>
              <w:right w:w="50" w:type="dxa"/>
            </w:tcMar>
            <w:vAlign w:val="center"/>
          </w:tcPr>
          <w:p w14:paraId="7629FEF7">
            <w:pPr>
              <w:pStyle w:val="84"/>
            </w:pPr>
          </w:p>
        </w:tc>
        <w:tc>
          <w:tcPr>
            <w:tcW w:w="963" w:type="dxa"/>
            <w:vMerge w:val="continue"/>
            <w:tcBorders>
              <w:tl2br w:val="nil"/>
              <w:tr2bl w:val="nil"/>
            </w:tcBorders>
            <w:tcMar>
              <w:top w:w="50" w:type="dxa"/>
              <w:left w:w="50" w:type="dxa"/>
              <w:bottom w:w="50" w:type="dxa"/>
              <w:right w:w="50" w:type="dxa"/>
            </w:tcMar>
            <w:vAlign w:val="center"/>
          </w:tcPr>
          <w:p w14:paraId="44275253">
            <w:pPr>
              <w:pStyle w:val="84"/>
            </w:pPr>
          </w:p>
        </w:tc>
        <w:tc>
          <w:tcPr>
            <w:tcW w:w="661" w:type="dxa"/>
            <w:vMerge w:val="continue"/>
            <w:tcBorders>
              <w:tl2br w:val="nil"/>
              <w:tr2bl w:val="nil"/>
            </w:tcBorders>
            <w:tcMar>
              <w:top w:w="50" w:type="dxa"/>
              <w:left w:w="50" w:type="dxa"/>
              <w:bottom w:w="50" w:type="dxa"/>
              <w:right w:w="50" w:type="dxa"/>
            </w:tcMar>
            <w:vAlign w:val="center"/>
          </w:tcPr>
          <w:p w14:paraId="338E1916">
            <w:pPr>
              <w:pStyle w:val="84"/>
            </w:pPr>
          </w:p>
        </w:tc>
        <w:tc>
          <w:tcPr>
            <w:tcW w:w="647" w:type="dxa"/>
            <w:tcBorders>
              <w:tl2br w:val="nil"/>
              <w:tr2bl w:val="nil"/>
            </w:tcBorders>
            <w:tcMar>
              <w:top w:w="50" w:type="dxa"/>
              <w:left w:w="50" w:type="dxa"/>
              <w:bottom w:w="50" w:type="dxa"/>
              <w:right w:w="50" w:type="dxa"/>
            </w:tcMar>
            <w:vAlign w:val="center"/>
          </w:tcPr>
          <w:p w14:paraId="6D654026">
            <w:pPr>
              <w:pStyle w:val="84"/>
            </w:pPr>
            <w:r>
              <w:rPr>
                <w:rFonts w:hint="eastAsia"/>
              </w:rPr>
              <w:t>环境风险防控</w:t>
            </w:r>
          </w:p>
        </w:tc>
        <w:tc>
          <w:tcPr>
            <w:tcW w:w="5888" w:type="dxa"/>
            <w:tcBorders>
              <w:tl2br w:val="nil"/>
              <w:tr2bl w:val="nil"/>
            </w:tcBorders>
            <w:tcMar>
              <w:top w:w="50" w:type="dxa"/>
              <w:left w:w="50" w:type="dxa"/>
              <w:bottom w:w="50" w:type="dxa"/>
              <w:right w:w="50" w:type="dxa"/>
            </w:tcMar>
            <w:vAlign w:val="center"/>
          </w:tcPr>
          <w:p w14:paraId="605AE5DE">
            <w:pPr>
              <w:pStyle w:val="84"/>
              <w:jc w:val="both"/>
            </w:pPr>
            <w:r>
              <w:rPr>
                <w:rFonts w:hint="eastAsia"/>
              </w:rPr>
              <w:t>【严格管控类农用地管控要求】</w:t>
            </w:r>
          </w:p>
          <w:p w14:paraId="1A315D6D">
            <w:pPr>
              <w:pStyle w:val="84"/>
              <w:jc w:val="both"/>
            </w:pPr>
            <w:r>
              <w:rPr>
                <w:rFonts w:hint="eastAsia"/>
              </w:rPr>
              <w:t>执行甘孜州一般管控单元总体准入要求</w:t>
            </w:r>
          </w:p>
          <w:p w14:paraId="72D9E806">
            <w:pPr>
              <w:pStyle w:val="84"/>
              <w:jc w:val="both"/>
            </w:pPr>
            <w:r>
              <w:rPr>
                <w:rFonts w:hint="eastAsia"/>
              </w:rPr>
              <w:t>【安全利用类农用地管控要求】</w:t>
            </w:r>
          </w:p>
          <w:p w14:paraId="2CA72EAF">
            <w:pPr>
              <w:pStyle w:val="84"/>
              <w:jc w:val="both"/>
            </w:pPr>
            <w:r>
              <w:rPr>
                <w:rFonts w:hint="eastAsia"/>
              </w:rPr>
              <w:t>执行甘孜州一般管控单元总体准入要求</w:t>
            </w:r>
          </w:p>
          <w:p w14:paraId="24B6B6D5">
            <w:pPr>
              <w:pStyle w:val="84"/>
              <w:jc w:val="both"/>
            </w:pPr>
            <w:r>
              <w:rPr>
                <w:rFonts w:hint="eastAsia"/>
              </w:rPr>
              <w:t>【污染地块管控要求】</w:t>
            </w:r>
          </w:p>
          <w:p w14:paraId="1090D941">
            <w:pPr>
              <w:pStyle w:val="84"/>
              <w:jc w:val="both"/>
            </w:pPr>
            <w:r>
              <w:rPr>
                <w:rFonts w:hint="eastAsia"/>
              </w:rPr>
              <w:t>执行甘孜州一般管控单元总体准入要求/</w:t>
            </w:r>
          </w:p>
          <w:p w14:paraId="1FEB5E38">
            <w:pPr>
              <w:pStyle w:val="84"/>
              <w:jc w:val="both"/>
            </w:pPr>
            <w:r>
              <w:rPr>
                <w:rFonts w:hint="eastAsia"/>
              </w:rPr>
              <w:t>【企业环境风险防控要求】</w:t>
            </w:r>
          </w:p>
          <w:p w14:paraId="238A4863">
            <w:pPr>
              <w:pStyle w:val="84"/>
              <w:jc w:val="both"/>
            </w:pPr>
            <w:r>
              <w:rPr>
                <w:rFonts w:hint="eastAsia"/>
              </w:rPr>
              <w:t>执行甘孜州一般管控单元总体准入要求</w:t>
            </w:r>
          </w:p>
          <w:p w14:paraId="0B07C0BB">
            <w:pPr>
              <w:pStyle w:val="84"/>
              <w:jc w:val="both"/>
            </w:pPr>
            <w:r>
              <w:rPr>
                <w:rFonts w:hint="eastAsia"/>
              </w:rPr>
              <w:t>【其他环境风险防控要求】</w:t>
            </w:r>
          </w:p>
          <w:p w14:paraId="43797357">
            <w:pPr>
              <w:pStyle w:val="84"/>
              <w:jc w:val="both"/>
            </w:pPr>
            <w:r>
              <w:rPr>
                <w:rFonts w:hint="eastAsia"/>
              </w:rPr>
              <w:t>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254AAD4B">
            <w:pPr>
              <w:pStyle w:val="84"/>
              <w:jc w:val="both"/>
            </w:pPr>
            <w:r>
              <w:rPr>
                <w:rFonts w:hint="eastAsia"/>
                <w:bCs/>
              </w:rPr>
              <w:t>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3CE6E42C">
            <w:pPr>
              <w:pStyle w:val="84"/>
            </w:pPr>
            <w:r>
              <w:rPr>
                <w:rFonts w:hint="eastAsia"/>
              </w:rPr>
              <w:t>符合</w:t>
            </w:r>
          </w:p>
        </w:tc>
      </w:tr>
      <w:tr w14:paraId="1FFBB4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1201" w:type="dxa"/>
            <w:vMerge w:val="continue"/>
            <w:tcBorders>
              <w:tl2br w:val="nil"/>
              <w:tr2bl w:val="nil"/>
            </w:tcBorders>
            <w:tcMar>
              <w:top w:w="50" w:type="dxa"/>
              <w:left w:w="50" w:type="dxa"/>
              <w:bottom w:w="50" w:type="dxa"/>
              <w:right w:w="50" w:type="dxa"/>
            </w:tcMar>
            <w:vAlign w:val="center"/>
          </w:tcPr>
          <w:p w14:paraId="37158788">
            <w:pPr>
              <w:pStyle w:val="84"/>
            </w:pPr>
          </w:p>
        </w:tc>
        <w:tc>
          <w:tcPr>
            <w:tcW w:w="1046" w:type="dxa"/>
            <w:vMerge w:val="continue"/>
            <w:tcBorders>
              <w:tl2br w:val="nil"/>
              <w:tr2bl w:val="nil"/>
            </w:tcBorders>
            <w:tcMar>
              <w:top w:w="50" w:type="dxa"/>
              <w:left w:w="50" w:type="dxa"/>
              <w:bottom w:w="50" w:type="dxa"/>
              <w:right w:w="50" w:type="dxa"/>
            </w:tcMar>
            <w:vAlign w:val="center"/>
          </w:tcPr>
          <w:p w14:paraId="4FFD4BCA">
            <w:pPr>
              <w:pStyle w:val="84"/>
            </w:pPr>
          </w:p>
        </w:tc>
        <w:tc>
          <w:tcPr>
            <w:tcW w:w="963" w:type="dxa"/>
            <w:vMerge w:val="continue"/>
            <w:tcBorders>
              <w:tl2br w:val="nil"/>
              <w:tr2bl w:val="nil"/>
            </w:tcBorders>
            <w:tcMar>
              <w:top w:w="50" w:type="dxa"/>
              <w:left w:w="50" w:type="dxa"/>
              <w:bottom w:w="50" w:type="dxa"/>
              <w:right w:w="50" w:type="dxa"/>
            </w:tcMar>
            <w:vAlign w:val="center"/>
          </w:tcPr>
          <w:p w14:paraId="43517274">
            <w:pPr>
              <w:pStyle w:val="84"/>
            </w:pPr>
          </w:p>
        </w:tc>
        <w:tc>
          <w:tcPr>
            <w:tcW w:w="661" w:type="dxa"/>
            <w:vMerge w:val="continue"/>
            <w:tcBorders>
              <w:tl2br w:val="nil"/>
              <w:tr2bl w:val="nil"/>
            </w:tcBorders>
            <w:tcMar>
              <w:top w:w="50" w:type="dxa"/>
              <w:left w:w="50" w:type="dxa"/>
              <w:bottom w:w="50" w:type="dxa"/>
              <w:right w:w="50" w:type="dxa"/>
            </w:tcMar>
            <w:vAlign w:val="center"/>
          </w:tcPr>
          <w:p w14:paraId="26A09F76">
            <w:pPr>
              <w:pStyle w:val="84"/>
            </w:pPr>
          </w:p>
        </w:tc>
        <w:tc>
          <w:tcPr>
            <w:tcW w:w="647" w:type="dxa"/>
            <w:tcBorders>
              <w:tl2br w:val="nil"/>
              <w:tr2bl w:val="nil"/>
            </w:tcBorders>
            <w:tcMar>
              <w:top w:w="50" w:type="dxa"/>
              <w:left w:w="50" w:type="dxa"/>
              <w:bottom w:w="50" w:type="dxa"/>
              <w:right w:w="50" w:type="dxa"/>
            </w:tcMar>
            <w:vAlign w:val="center"/>
          </w:tcPr>
          <w:p w14:paraId="7B124B1A">
            <w:pPr>
              <w:pStyle w:val="84"/>
            </w:pPr>
            <w:r>
              <w:rPr>
                <w:rFonts w:hint="eastAsia"/>
              </w:rPr>
              <w:t>资源开发利用效率要求</w:t>
            </w:r>
          </w:p>
        </w:tc>
        <w:tc>
          <w:tcPr>
            <w:tcW w:w="5888" w:type="dxa"/>
            <w:tcBorders>
              <w:tl2br w:val="nil"/>
              <w:tr2bl w:val="nil"/>
            </w:tcBorders>
            <w:tcMar>
              <w:top w:w="50" w:type="dxa"/>
              <w:left w:w="50" w:type="dxa"/>
              <w:bottom w:w="50" w:type="dxa"/>
              <w:right w:w="50" w:type="dxa"/>
            </w:tcMar>
            <w:vAlign w:val="center"/>
          </w:tcPr>
          <w:p w14:paraId="07D83177">
            <w:pPr>
              <w:pStyle w:val="84"/>
              <w:jc w:val="both"/>
            </w:pPr>
            <w:r>
              <w:rPr>
                <w:rFonts w:hint="eastAsia"/>
              </w:rPr>
              <w:t>【水资源利用效率要求】</w:t>
            </w:r>
          </w:p>
          <w:p w14:paraId="0BEE5004">
            <w:pPr>
              <w:pStyle w:val="84"/>
              <w:jc w:val="both"/>
            </w:pPr>
            <w:r>
              <w:rPr>
                <w:rFonts w:hint="eastAsia"/>
              </w:rPr>
              <w:t>（1）保障大渡河干流泸定（二）水文站生态基流184m³/s。</w:t>
            </w:r>
          </w:p>
          <w:p w14:paraId="50805C41">
            <w:pPr>
              <w:pStyle w:val="84"/>
              <w:jc w:val="both"/>
            </w:pPr>
            <w:r>
              <w:rPr>
                <w:rFonts w:hint="eastAsia"/>
              </w:rPr>
              <w:t>（2）其他执行甘孜州一般管控单元总体准入要求。</w:t>
            </w:r>
          </w:p>
          <w:p w14:paraId="6760094B">
            <w:pPr>
              <w:pStyle w:val="84"/>
              <w:jc w:val="both"/>
            </w:pPr>
            <w:r>
              <w:rPr>
                <w:rFonts w:hint="eastAsia"/>
              </w:rPr>
              <w:t>【地下水开采要求】</w:t>
            </w:r>
          </w:p>
          <w:p w14:paraId="6A5180B9">
            <w:pPr>
              <w:pStyle w:val="84"/>
              <w:jc w:val="both"/>
            </w:pPr>
            <w:r>
              <w:rPr>
                <w:rFonts w:hint="eastAsia"/>
              </w:rPr>
              <w:t>执行甘孜州一般管控单元总体准入要求</w:t>
            </w:r>
          </w:p>
          <w:p w14:paraId="53C42A6C">
            <w:pPr>
              <w:pStyle w:val="84"/>
              <w:jc w:val="both"/>
            </w:pPr>
            <w:r>
              <w:rPr>
                <w:rFonts w:hint="eastAsia"/>
              </w:rPr>
              <w:t>【能源利用效率要求】</w:t>
            </w:r>
          </w:p>
          <w:p w14:paraId="279C5CAF">
            <w:pPr>
              <w:pStyle w:val="84"/>
              <w:jc w:val="both"/>
            </w:pPr>
            <w:r>
              <w:rPr>
                <w:rFonts w:hint="eastAsia"/>
              </w:rPr>
              <w:t>执行甘孜州一般管控单元总体准入要求</w:t>
            </w:r>
          </w:p>
          <w:p w14:paraId="349C6B2F">
            <w:pPr>
              <w:pStyle w:val="84"/>
              <w:jc w:val="both"/>
            </w:pPr>
            <w:r>
              <w:rPr>
                <w:rFonts w:hint="eastAsia"/>
              </w:rPr>
              <w:t>【其他资源利用效率要求】</w:t>
            </w:r>
          </w:p>
          <w:p w14:paraId="6FC8BA18">
            <w:pPr>
              <w:pStyle w:val="84"/>
              <w:jc w:val="both"/>
            </w:pPr>
            <w:r>
              <w:rPr>
                <w:rFonts w:hint="eastAsia"/>
              </w:rPr>
              <w:t>执行甘孜州一般管控单元总体准入要求</w:t>
            </w:r>
          </w:p>
        </w:tc>
        <w:tc>
          <w:tcPr>
            <w:tcW w:w="3045" w:type="dxa"/>
            <w:tcBorders>
              <w:tl2br w:val="nil"/>
              <w:tr2bl w:val="nil"/>
            </w:tcBorders>
            <w:tcMar>
              <w:top w:w="50" w:type="dxa"/>
              <w:left w:w="50" w:type="dxa"/>
              <w:bottom w:w="50" w:type="dxa"/>
              <w:right w:w="50" w:type="dxa"/>
            </w:tcMar>
            <w:vAlign w:val="center"/>
          </w:tcPr>
          <w:p w14:paraId="02982AA0">
            <w:pPr>
              <w:pStyle w:val="84"/>
              <w:jc w:val="both"/>
            </w:pPr>
            <w:r>
              <w:rPr>
                <w:rFonts w:hint="eastAsia"/>
              </w:rPr>
              <w:t>项目防洪除涝流域海螺沟为大渡河支流磨西河支流，本项目的建设有利于保障大渡河干流生态基流；其他</w:t>
            </w:r>
            <w:r>
              <w:rPr>
                <w:rFonts w:hint="eastAsia"/>
                <w:bCs/>
              </w:rPr>
              <w:t>具体分析见甘孜州一般管控单元总体准入要求符合性分析部分。</w:t>
            </w:r>
          </w:p>
        </w:tc>
        <w:tc>
          <w:tcPr>
            <w:tcW w:w="804" w:type="dxa"/>
            <w:tcBorders>
              <w:tl2br w:val="nil"/>
              <w:tr2bl w:val="nil"/>
            </w:tcBorders>
            <w:tcMar>
              <w:top w:w="50" w:type="dxa"/>
              <w:left w:w="50" w:type="dxa"/>
              <w:bottom w:w="50" w:type="dxa"/>
              <w:right w:w="50" w:type="dxa"/>
            </w:tcMar>
            <w:vAlign w:val="center"/>
          </w:tcPr>
          <w:p w14:paraId="22A7F200">
            <w:pPr>
              <w:pStyle w:val="84"/>
            </w:pPr>
            <w:r>
              <w:rPr>
                <w:rFonts w:hint="eastAsia"/>
              </w:rPr>
              <w:t>符合</w:t>
            </w:r>
          </w:p>
        </w:tc>
      </w:tr>
    </w:tbl>
    <w:p w14:paraId="1647B24C">
      <w:pPr>
        <w:autoSpaceDE w:val="0"/>
        <w:autoSpaceDN w:val="0"/>
        <w:adjustRightInd w:val="0"/>
        <w:snapToGrid w:val="0"/>
        <w:spacing w:before="156" w:beforeLines="50"/>
      </w:pPr>
      <w:r>
        <w:rPr>
          <w:rFonts w:hint="eastAsia"/>
        </w:rPr>
        <w:t>④要素管控分区管控要求</w:t>
      </w:r>
    </w:p>
    <w:p w14:paraId="578FB864">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9</w:t>
      </w:r>
      <w:r>
        <w:rPr>
          <w:rFonts w:cs="Times New Roman"/>
        </w:rPr>
        <w:fldChar w:fldCharType="end"/>
      </w:r>
      <w:r>
        <w:rPr>
          <w:rFonts w:hint="eastAsia" w:cs="Times New Roman"/>
        </w:rPr>
        <w:t xml:space="preserve">  项目与要素管控分区管控要求符合性分析</w:t>
      </w:r>
    </w:p>
    <w:tbl>
      <w:tblPr>
        <w:tblStyle w:val="28"/>
        <w:tblW w:w="506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776"/>
        <w:gridCol w:w="940"/>
        <w:gridCol w:w="768"/>
        <w:gridCol w:w="626"/>
        <w:gridCol w:w="697"/>
        <w:gridCol w:w="686"/>
        <w:gridCol w:w="1025"/>
        <w:gridCol w:w="4871"/>
        <w:gridCol w:w="3020"/>
        <w:gridCol w:w="739"/>
      </w:tblGrid>
      <w:tr w14:paraId="35B18E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tcBorders>
              <w:tl2br w:val="nil"/>
              <w:tr2bl w:val="nil"/>
            </w:tcBorders>
            <w:tcMar>
              <w:top w:w="50" w:type="dxa"/>
              <w:left w:w="50" w:type="dxa"/>
              <w:bottom w:w="50" w:type="dxa"/>
              <w:right w:w="50" w:type="dxa"/>
            </w:tcMar>
            <w:vAlign w:val="center"/>
          </w:tcPr>
          <w:p w14:paraId="3FA1C9AB">
            <w:pPr>
              <w:pStyle w:val="84"/>
              <w:rPr>
                <w:b/>
                <w:bCs/>
              </w:rPr>
            </w:pPr>
            <w:r>
              <w:rPr>
                <w:rFonts w:hint="eastAsia"/>
                <w:b/>
                <w:bCs/>
              </w:rPr>
              <w:t>管控分区编码</w:t>
            </w:r>
          </w:p>
        </w:tc>
        <w:tc>
          <w:tcPr>
            <w:tcW w:w="332" w:type="pct"/>
            <w:tcBorders>
              <w:tl2br w:val="nil"/>
              <w:tr2bl w:val="nil"/>
            </w:tcBorders>
            <w:tcMar>
              <w:top w:w="50" w:type="dxa"/>
              <w:left w:w="50" w:type="dxa"/>
              <w:bottom w:w="50" w:type="dxa"/>
              <w:right w:w="50" w:type="dxa"/>
            </w:tcMar>
            <w:vAlign w:val="center"/>
          </w:tcPr>
          <w:p w14:paraId="3CC269D5">
            <w:pPr>
              <w:pStyle w:val="84"/>
              <w:rPr>
                <w:b/>
                <w:bCs/>
              </w:rPr>
            </w:pPr>
            <w:r>
              <w:rPr>
                <w:rFonts w:hint="eastAsia"/>
                <w:b/>
                <w:bCs/>
              </w:rPr>
              <w:t>管控分区名称</w:t>
            </w:r>
          </w:p>
        </w:tc>
        <w:tc>
          <w:tcPr>
            <w:tcW w:w="271" w:type="pct"/>
            <w:tcBorders>
              <w:tl2br w:val="nil"/>
              <w:tr2bl w:val="nil"/>
            </w:tcBorders>
            <w:tcMar>
              <w:top w:w="50" w:type="dxa"/>
              <w:left w:w="50" w:type="dxa"/>
              <w:bottom w:w="50" w:type="dxa"/>
              <w:right w:w="50" w:type="dxa"/>
            </w:tcMar>
            <w:vAlign w:val="center"/>
          </w:tcPr>
          <w:p w14:paraId="0962D983">
            <w:pPr>
              <w:pStyle w:val="84"/>
              <w:rPr>
                <w:b/>
                <w:bCs/>
              </w:rPr>
            </w:pPr>
            <w:r>
              <w:rPr>
                <w:rFonts w:hint="eastAsia"/>
                <w:b/>
                <w:bCs/>
              </w:rPr>
              <w:t>管控区分类</w:t>
            </w:r>
          </w:p>
        </w:tc>
        <w:tc>
          <w:tcPr>
            <w:tcW w:w="221" w:type="pct"/>
            <w:tcBorders>
              <w:tl2br w:val="nil"/>
              <w:tr2bl w:val="nil"/>
            </w:tcBorders>
            <w:tcMar>
              <w:top w:w="50" w:type="dxa"/>
              <w:left w:w="50" w:type="dxa"/>
              <w:bottom w:w="50" w:type="dxa"/>
              <w:right w:w="50" w:type="dxa"/>
            </w:tcMar>
            <w:vAlign w:val="center"/>
          </w:tcPr>
          <w:p w14:paraId="303F34DB">
            <w:pPr>
              <w:pStyle w:val="84"/>
              <w:rPr>
                <w:b/>
                <w:bCs/>
              </w:rPr>
            </w:pPr>
            <w:r>
              <w:rPr>
                <w:rFonts w:hint="eastAsia"/>
                <w:b/>
                <w:bCs/>
              </w:rPr>
              <w:t>环境要素</w:t>
            </w:r>
          </w:p>
        </w:tc>
        <w:tc>
          <w:tcPr>
            <w:tcW w:w="246" w:type="pct"/>
            <w:tcBorders>
              <w:tl2br w:val="nil"/>
              <w:tr2bl w:val="nil"/>
            </w:tcBorders>
            <w:tcMar>
              <w:top w:w="50" w:type="dxa"/>
              <w:left w:w="50" w:type="dxa"/>
              <w:bottom w:w="50" w:type="dxa"/>
              <w:right w:w="50" w:type="dxa"/>
            </w:tcMar>
            <w:vAlign w:val="center"/>
          </w:tcPr>
          <w:p w14:paraId="03DB8D3B">
            <w:pPr>
              <w:pStyle w:val="84"/>
              <w:rPr>
                <w:b/>
                <w:bCs/>
              </w:rPr>
            </w:pPr>
            <w:r>
              <w:rPr>
                <w:rFonts w:hint="eastAsia"/>
                <w:b/>
                <w:bCs/>
              </w:rPr>
              <w:t>要素细类</w:t>
            </w:r>
          </w:p>
        </w:tc>
        <w:tc>
          <w:tcPr>
            <w:tcW w:w="242" w:type="pct"/>
            <w:tcBorders>
              <w:tl2br w:val="nil"/>
              <w:tr2bl w:val="nil"/>
            </w:tcBorders>
            <w:tcMar>
              <w:top w:w="50" w:type="dxa"/>
              <w:left w:w="50" w:type="dxa"/>
              <w:bottom w:w="50" w:type="dxa"/>
              <w:right w:w="50" w:type="dxa"/>
            </w:tcMar>
            <w:vAlign w:val="center"/>
          </w:tcPr>
          <w:p w14:paraId="18C5B17B">
            <w:pPr>
              <w:pStyle w:val="84"/>
              <w:rPr>
                <w:b/>
                <w:bCs/>
              </w:rPr>
            </w:pPr>
            <w:r>
              <w:rPr>
                <w:rFonts w:hint="eastAsia"/>
                <w:b/>
                <w:bCs/>
              </w:rPr>
              <w:t>所属县区</w:t>
            </w:r>
          </w:p>
        </w:tc>
        <w:tc>
          <w:tcPr>
            <w:tcW w:w="362" w:type="pct"/>
            <w:tcBorders>
              <w:tl2br w:val="nil"/>
              <w:tr2bl w:val="nil"/>
            </w:tcBorders>
            <w:tcMar>
              <w:top w:w="50" w:type="dxa"/>
              <w:left w:w="50" w:type="dxa"/>
              <w:bottom w:w="50" w:type="dxa"/>
              <w:right w:w="50" w:type="dxa"/>
            </w:tcMar>
            <w:vAlign w:val="center"/>
          </w:tcPr>
          <w:p w14:paraId="73367321">
            <w:pPr>
              <w:pStyle w:val="84"/>
              <w:rPr>
                <w:b/>
                <w:bCs/>
              </w:rPr>
            </w:pPr>
            <w:r>
              <w:rPr>
                <w:rFonts w:hint="eastAsia"/>
                <w:b/>
                <w:bCs/>
              </w:rPr>
              <w:t>管控类别</w:t>
            </w:r>
          </w:p>
        </w:tc>
        <w:tc>
          <w:tcPr>
            <w:tcW w:w="1719" w:type="pct"/>
            <w:tcBorders>
              <w:tl2br w:val="nil"/>
              <w:tr2bl w:val="nil"/>
            </w:tcBorders>
            <w:tcMar>
              <w:top w:w="50" w:type="dxa"/>
              <w:left w:w="50" w:type="dxa"/>
              <w:bottom w:w="50" w:type="dxa"/>
              <w:right w:w="50" w:type="dxa"/>
            </w:tcMar>
            <w:vAlign w:val="center"/>
          </w:tcPr>
          <w:p w14:paraId="0AEBA2B7">
            <w:pPr>
              <w:pStyle w:val="84"/>
              <w:rPr>
                <w:b/>
                <w:bCs/>
              </w:rPr>
            </w:pPr>
            <w:r>
              <w:rPr>
                <w:rFonts w:hint="eastAsia"/>
                <w:b/>
                <w:bCs/>
              </w:rPr>
              <w:t>管控分区管控要求</w:t>
            </w:r>
          </w:p>
        </w:tc>
        <w:tc>
          <w:tcPr>
            <w:tcW w:w="1066" w:type="pct"/>
            <w:tcBorders>
              <w:tl2br w:val="nil"/>
              <w:tr2bl w:val="nil"/>
            </w:tcBorders>
            <w:tcMar>
              <w:top w:w="50" w:type="dxa"/>
              <w:left w:w="50" w:type="dxa"/>
              <w:bottom w:w="50" w:type="dxa"/>
              <w:right w:w="50" w:type="dxa"/>
            </w:tcMar>
            <w:vAlign w:val="center"/>
          </w:tcPr>
          <w:p w14:paraId="0CCE0559">
            <w:pPr>
              <w:pStyle w:val="84"/>
              <w:rPr>
                <w:b/>
                <w:bCs/>
              </w:rPr>
            </w:pPr>
            <w:r>
              <w:rPr>
                <w:rFonts w:hint="eastAsia"/>
                <w:b/>
                <w:bCs/>
              </w:rPr>
              <w:t>本项目</w:t>
            </w:r>
          </w:p>
        </w:tc>
        <w:tc>
          <w:tcPr>
            <w:tcW w:w="261" w:type="pct"/>
            <w:tcBorders>
              <w:tl2br w:val="nil"/>
              <w:tr2bl w:val="nil"/>
            </w:tcBorders>
            <w:tcMar>
              <w:top w:w="50" w:type="dxa"/>
              <w:left w:w="50" w:type="dxa"/>
              <w:bottom w:w="50" w:type="dxa"/>
              <w:right w:w="50" w:type="dxa"/>
            </w:tcMar>
            <w:vAlign w:val="center"/>
          </w:tcPr>
          <w:p w14:paraId="56AFEA04">
            <w:pPr>
              <w:pStyle w:val="84"/>
              <w:rPr>
                <w:b/>
                <w:bCs/>
              </w:rPr>
            </w:pPr>
            <w:r>
              <w:rPr>
                <w:rFonts w:hint="eastAsia"/>
                <w:b/>
                <w:bCs/>
              </w:rPr>
              <w:t>符合性</w:t>
            </w:r>
          </w:p>
        </w:tc>
      </w:tr>
      <w:tr w14:paraId="43F3AE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restart"/>
            <w:tcBorders>
              <w:tl2br w:val="nil"/>
              <w:tr2bl w:val="nil"/>
            </w:tcBorders>
            <w:tcMar>
              <w:top w:w="50" w:type="dxa"/>
              <w:left w:w="50" w:type="dxa"/>
              <w:bottom w:w="50" w:type="dxa"/>
              <w:right w:w="50" w:type="dxa"/>
            </w:tcMar>
            <w:vAlign w:val="center"/>
          </w:tcPr>
          <w:p w14:paraId="77B92434">
            <w:pPr>
              <w:pStyle w:val="59"/>
              <w:rPr>
                <w:rFonts w:cs="Times New Roman"/>
              </w:rPr>
            </w:pPr>
            <w:r>
              <w:rPr>
                <w:rFonts w:cs="Times New Roman"/>
              </w:rPr>
              <w:t>YS5133223510001</w:t>
            </w:r>
          </w:p>
        </w:tc>
        <w:tc>
          <w:tcPr>
            <w:tcW w:w="332" w:type="pct"/>
            <w:vMerge w:val="restart"/>
            <w:tcBorders>
              <w:tl2br w:val="nil"/>
              <w:tr2bl w:val="nil"/>
            </w:tcBorders>
            <w:tcMar>
              <w:top w:w="50" w:type="dxa"/>
              <w:left w:w="50" w:type="dxa"/>
              <w:bottom w:w="50" w:type="dxa"/>
              <w:right w:w="50" w:type="dxa"/>
            </w:tcMar>
            <w:vAlign w:val="center"/>
          </w:tcPr>
          <w:p w14:paraId="14AED2CF">
            <w:pPr>
              <w:pStyle w:val="59"/>
              <w:rPr>
                <w:rFonts w:cs="Times New Roman"/>
              </w:rPr>
            </w:pPr>
            <w:r>
              <w:rPr>
                <w:rFonts w:hint="eastAsia" w:cs="Times New Roman"/>
              </w:rPr>
              <w:t>泸定县自然资源一般管控区</w:t>
            </w:r>
          </w:p>
        </w:tc>
        <w:tc>
          <w:tcPr>
            <w:tcW w:w="271" w:type="pct"/>
            <w:vMerge w:val="restart"/>
            <w:tcBorders>
              <w:tl2br w:val="nil"/>
              <w:tr2bl w:val="nil"/>
            </w:tcBorders>
            <w:tcMar>
              <w:top w:w="50" w:type="dxa"/>
              <w:left w:w="50" w:type="dxa"/>
              <w:bottom w:w="50" w:type="dxa"/>
              <w:right w:w="50" w:type="dxa"/>
            </w:tcMar>
            <w:vAlign w:val="center"/>
          </w:tcPr>
          <w:p w14:paraId="11DA02AE">
            <w:pPr>
              <w:pStyle w:val="59"/>
              <w:rPr>
                <w:rFonts w:cs="Times New Roman"/>
              </w:rPr>
            </w:pPr>
            <w:r>
              <w:rPr>
                <w:rFonts w:hint="eastAsia" w:cs="Times New Roman"/>
              </w:rPr>
              <w:t>一般管控区</w:t>
            </w:r>
          </w:p>
        </w:tc>
        <w:tc>
          <w:tcPr>
            <w:tcW w:w="221" w:type="pct"/>
            <w:vMerge w:val="restart"/>
            <w:tcBorders>
              <w:tl2br w:val="nil"/>
              <w:tr2bl w:val="nil"/>
            </w:tcBorders>
            <w:tcMar>
              <w:top w:w="50" w:type="dxa"/>
              <w:left w:w="50" w:type="dxa"/>
              <w:bottom w:w="50" w:type="dxa"/>
              <w:right w:w="50" w:type="dxa"/>
            </w:tcMar>
            <w:vAlign w:val="center"/>
          </w:tcPr>
          <w:p w14:paraId="73A57884">
            <w:pPr>
              <w:pStyle w:val="59"/>
              <w:rPr>
                <w:rFonts w:cs="Times New Roman"/>
              </w:rPr>
            </w:pPr>
            <w:r>
              <w:rPr>
                <w:rFonts w:hint="eastAsia" w:cs="Times New Roman"/>
              </w:rPr>
              <w:t>自然资源</w:t>
            </w:r>
          </w:p>
        </w:tc>
        <w:tc>
          <w:tcPr>
            <w:tcW w:w="246" w:type="pct"/>
            <w:vMerge w:val="restart"/>
            <w:tcBorders>
              <w:tl2br w:val="nil"/>
              <w:tr2bl w:val="nil"/>
            </w:tcBorders>
            <w:tcMar>
              <w:top w:w="50" w:type="dxa"/>
              <w:left w:w="50" w:type="dxa"/>
              <w:bottom w:w="50" w:type="dxa"/>
              <w:right w:w="50" w:type="dxa"/>
            </w:tcMar>
            <w:vAlign w:val="center"/>
          </w:tcPr>
          <w:p w14:paraId="2E0D5FB5">
            <w:pPr>
              <w:pStyle w:val="59"/>
              <w:rPr>
                <w:rFonts w:cs="Times New Roman"/>
              </w:rPr>
            </w:pPr>
            <w:r>
              <w:rPr>
                <w:rFonts w:hint="eastAsia" w:cs="Times New Roman"/>
              </w:rPr>
              <w:t>自然资源一般管控区</w:t>
            </w:r>
          </w:p>
        </w:tc>
        <w:tc>
          <w:tcPr>
            <w:tcW w:w="242" w:type="pct"/>
            <w:vMerge w:val="restart"/>
            <w:tcBorders>
              <w:tl2br w:val="nil"/>
              <w:tr2bl w:val="nil"/>
            </w:tcBorders>
            <w:tcMar>
              <w:top w:w="50" w:type="dxa"/>
              <w:left w:w="50" w:type="dxa"/>
              <w:bottom w:w="50" w:type="dxa"/>
              <w:right w:w="50" w:type="dxa"/>
            </w:tcMar>
            <w:vAlign w:val="center"/>
          </w:tcPr>
          <w:p w14:paraId="521D710E">
            <w:pPr>
              <w:pStyle w:val="59"/>
              <w:rPr>
                <w:rFonts w:cs="Times New Roman"/>
              </w:rPr>
            </w:pPr>
            <w:r>
              <w:rPr>
                <w:rFonts w:hint="eastAsia" w:cs="Times New Roman"/>
              </w:rPr>
              <w:t>甘孜藏族自治州泸定县</w:t>
            </w:r>
          </w:p>
        </w:tc>
        <w:tc>
          <w:tcPr>
            <w:tcW w:w="362" w:type="pct"/>
            <w:tcBorders>
              <w:tl2br w:val="nil"/>
              <w:tr2bl w:val="nil"/>
            </w:tcBorders>
            <w:tcMar>
              <w:top w:w="50" w:type="dxa"/>
              <w:left w:w="50" w:type="dxa"/>
              <w:bottom w:w="50" w:type="dxa"/>
              <w:right w:w="50" w:type="dxa"/>
            </w:tcMar>
            <w:vAlign w:val="center"/>
          </w:tcPr>
          <w:p w14:paraId="4E86F8CE">
            <w:pPr>
              <w:pStyle w:val="84"/>
            </w:pPr>
            <w:r>
              <w:rPr>
                <w:rFonts w:hint="eastAsia"/>
              </w:rPr>
              <w:t>空间布局约束</w:t>
            </w:r>
          </w:p>
        </w:tc>
        <w:tc>
          <w:tcPr>
            <w:tcW w:w="1719" w:type="pct"/>
            <w:tcBorders>
              <w:tl2br w:val="nil"/>
              <w:tr2bl w:val="nil"/>
            </w:tcBorders>
            <w:tcMar>
              <w:top w:w="50" w:type="dxa"/>
              <w:left w:w="50" w:type="dxa"/>
              <w:bottom w:w="50" w:type="dxa"/>
              <w:right w:w="50" w:type="dxa"/>
            </w:tcMar>
            <w:vAlign w:val="center"/>
          </w:tcPr>
          <w:p w14:paraId="2B03E50F">
            <w:pPr>
              <w:pStyle w:val="59"/>
              <w:jc w:val="both"/>
              <w:rPr>
                <w:rFonts w:cs="Times New Roman"/>
              </w:rPr>
            </w:pPr>
            <w:r>
              <w:rPr>
                <w:rFonts w:hint="eastAsia" w:cs="Times New Roman"/>
              </w:rPr>
              <w:t>合理开发高效利用水资源，建设节水型社会；优化土地利用布局与结构；优化产业空间布局，构建清洁能源体系。</w:t>
            </w:r>
          </w:p>
        </w:tc>
        <w:tc>
          <w:tcPr>
            <w:tcW w:w="1066" w:type="pct"/>
            <w:tcBorders>
              <w:tl2br w:val="nil"/>
              <w:tr2bl w:val="nil"/>
            </w:tcBorders>
            <w:tcMar>
              <w:top w:w="50" w:type="dxa"/>
              <w:left w:w="50" w:type="dxa"/>
              <w:bottom w:w="50" w:type="dxa"/>
              <w:right w:w="50" w:type="dxa"/>
            </w:tcMar>
            <w:vAlign w:val="center"/>
          </w:tcPr>
          <w:p w14:paraId="4F772B58">
            <w:pPr>
              <w:pStyle w:val="84"/>
              <w:jc w:val="both"/>
            </w:pPr>
            <w:r>
              <w:rPr>
                <w:rFonts w:hint="eastAsia"/>
              </w:rPr>
              <w:t>项目废水污染物主要为施工过程中的生活污水、车辆冲洗废水、混凝土养护废水、基坑排水等，生活污水经租赁民房现有污水处理设施处理后用作农肥，车辆冲洗废水经沉淀隔油处理后回用于道路洒水降尘，混凝土养护废水经沉淀池处理后回用于工序，基坑排水经沉淀处理后用于排入水体；废水不涉及重金属的排放。</w:t>
            </w:r>
          </w:p>
        </w:tc>
        <w:tc>
          <w:tcPr>
            <w:tcW w:w="261" w:type="pct"/>
            <w:tcBorders>
              <w:tl2br w:val="nil"/>
              <w:tr2bl w:val="nil"/>
            </w:tcBorders>
            <w:tcMar>
              <w:top w:w="50" w:type="dxa"/>
              <w:left w:w="50" w:type="dxa"/>
              <w:bottom w:w="50" w:type="dxa"/>
              <w:right w:w="50" w:type="dxa"/>
            </w:tcMar>
            <w:vAlign w:val="center"/>
          </w:tcPr>
          <w:p w14:paraId="29C69FF8">
            <w:pPr>
              <w:pStyle w:val="84"/>
            </w:pPr>
            <w:r>
              <w:rPr>
                <w:rFonts w:hint="eastAsia"/>
              </w:rPr>
              <w:t>符合</w:t>
            </w:r>
          </w:p>
        </w:tc>
      </w:tr>
      <w:tr w14:paraId="577848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766C1B4D">
            <w:pPr>
              <w:pStyle w:val="84"/>
            </w:pPr>
          </w:p>
        </w:tc>
        <w:tc>
          <w:tcPr>
            <w:tcW w:w="332" w:type="pct"/>
            <w:vMerge w:val="continue"/>
            <w:tcBorders>
              <w:tl2br w:val="nil"/>
              <w:tr2bl w:val="nil"/>
            </w:tcBorders>
            <w:tcMar>
              <w:top w:w="50" w:type="dxa"/>
              <w:left w:w="50" w:type="dxa"/>
              <w:bottom w:w="50" w:type="dxa"/>
              <w:right w:w="50" w:type="dxa"/>
            </w:tcMar>
            <w:vAlign w:val="center"/>
          </w:tcPr>
          <w:p w14:paraId="2C6047B8">
            <w:pPr>
              <w:pStyle w:val="84"/>
            </w:pPr>
          </w:p>
        </w:tc>
        <w:tc>
          <w:tcPr>
            <w:tcW w:w="271" w:type="pct"/>
            <w:vMerge w:val="continue"/>
            <w:tcBorders>
              <w:tl2br w:val="nil"/>
              <w:tr2bl w:val="nil"/>
            </w:tcBorders>
            <w:tcMar>
              <w:top w:w="50" w:type="dxa"/>
              <w:left w:w="50" w:type="dxa"/>
              <w:bottom w:w="50" w:type="dxa"/>
              <w:right w:w="50" w:type="dxa"/>
            </w:tcMar>
            <w:vAlign w:val="center"/>
          </w:tcPr>
          <w:p w14:paraId="04AC234E">
            <w:pPr>
              <w:pStyle w:val="84"/>
            </w:pPr>
          </w:p>
        </w:tc>
        <w:tc>
          <w:tcPr>
            <w:tcW w:w="221" w:type="pct"/>
            <w:vMerge w:val="continue"/>
            <w:tcBorders>
              <w:tl2br w:val="nil"/>
              <w:tr2bl w:val="nil"/>
            </w:tcBorders>
            <w:tcMar>
              <w:top w:w="50" w:type="dxa"/>
              <w:left w:w="50" w:type="dxa"/>
              <w:bottom w:w="50" w:type="dxa"/>
              <w:right w:w="50" w:type="dxa"/>
            </w:tcMar>
            <w:vAlign w:val="center"/>
          </w:tcPr>
          <w:p w14:paraId="5AD3296C">
            <w:pPr>
              <w:pStyle w:val="84"/>
            </w:pPr>
          </w:p>
        </w:tc>
        <w:tc>
          <w:tcPr>
            <w:tcW w:w="246" w:type="pct"/>
            <w:vMerge w:val="continue"/>
            <w:tcBorders>
              <w:tl2br w:val="nil"/>
              <w:tr2bl w:val="nil"/>
            </w:tcBorders>
            <w:tcMar>
              <w:top w:w="50" w:type="dxa"/>
              <w:left w:w="50" w:type="dxa"/>
              <w:bottom w:w="50" w:type="dxa"/>
              <w:right w:w="50" w:type="dxa"/>
            </w:tcMar>
            <w:vAlign w:val="center"/>
          </w:tcPr>
          <w:p w14:paraId="71E8F603">
            <w:pPr>
              <w:pStyle w:val="84"/>
            </w:pPr>
          </w:p>
        </w:tc>
        <w:tc>
          <w:tcPr>
            <w:tcW w:w="242" w:type="pct"/>
            <w:vMerge w:val="continue"/>
            <w:tcBorders>
              <w:tl2br w:val="nil"/>
              <w:tr2bl w:val="nil"/>
            </w:tcBorders>
            <w:tcMar>
              <w:top w:w="50" w:type="dxa"/>
              <w:left w:w="50" w:type="dxa"/>
              <w:bottom w:w="50" w:type="dxa"/>
              <w:right w:w="50" w:type="dxa"/>
            </w:tcMar>
            <w:vAlign w:val="center"/>
          </w:tcPr>
          <w:p w14:paraId="1132D2DE">
            <w:pPr>
              <w:pStyle w:val="84"/>
            </w:pPr>
          </w:p>
        </w:tc>
        <w:tc>
          <w:tcPr>
            <w:tcW w:w="362" w:type="pct"/>
            <w:tcBorders>
              <w:tl2br w:val="nil"/>
              <w:tr2bl w:val="nil"/>
            </w:tcBorders>
            <w:tcMar>
              <w:top w:w="50" w:type="dxa"/>
              <w:left w:w="50" w:type="dxa"/>
              <w:bottom w:w="50" w:type="dxa"/>
              <w:right w:w="50" w:type="dxa"/>
            </w:tcMar>
            <w:vAlign w:val="center"/>
          </w:tcPr>
          <w:p w14:paraId="65D05933">
            <w:pPr>
              <w:pStyle w:val="84"/>
            </w:pPr>
            <w:r>
              <w:rPr>
                <w:rFonts w:hint="eastAsia"/>
              </w:rPr>
              <w:t>污染物排放管控</w:t>
            </w:r>
          </w:p>
        </w:tc>
        <w:tc>
          <w:tcPr>
            <w:tcW w:w="1719" w:type="pct"/>
            <w:tcBorders>
              <w:tl2br w:val="nil"/>
              <w:tr2bl w:val="nil"/>
            </w:tcBorders>
            <w:tcMar>
              <w:top w:w="50" w:type="dxa"/>
              <w:left w:w="50" w:type="dxa"/>
              <w:bottom w:w="50" w:type="dxa"/>
              <w:right w:w="50" w:type="dxa"/>
            </w:tcMar>
            <w:vAlign w:val="center"/>
          </w:tcPr>
          <w:p w14:paraId="04FAEF78">
            <w:pPr>
              <w:pStyle w:val="84"/>
            </w:pPr>
            <w:r>
              <w:t>/</w:t>
            </w:r>
          </w:p>
        </w:tc>
        <w:tc>
          <w:tcPr>
            <w:tcW w:w="1066" w:type="pct"/>
            <w:tcBorders>
              <w:tl2br w:val="nil"/>
              <w:tr2bl w:val="nil"/>
            </w:tcBorders>
            <w:tcMar>
              <w:top w:w="50" w:type="dxa"/>
              <w:left w:w="50" w:type="dxa"/>
              <w:bottom w:w="50" w:type="dxa"/>
              <w:right w:w="50" w:type="dxa"/>
            </w:tcMar>
            <w:vAlign w:val="center"/>
          </w:tcPr>
          <w:p w14:paraId="29C17E53">
            <w:pPr>
              <w:pStyle w:val="84"/>
            </w:pPr>
            <w:r>
              <w:t>/</w:t>
            </w:r>
          </w:p>
        </w:tc>
        <w:tc>
          <w:tcPr>
            <w:tcW w:w="261" w:type="pct"/>
            <w:tcBorders>
              <w:tl2br w:val="nil"/>
              <w:tr2bl w:val="nil"/>
            </w:tcBorders>
            <w:tcMar>
              <w:top w:w="50" w:type="dxa"/>
              <w:left w:w="50" w:type="dxa"/>
              <w:bottom w:w="50" w:type="dxa"/>
              <w:right w:w="50" w:type="dxa"/>
            </w:tcMar>
            <w:vAlign w:val="center"/>
          </w:tcPr>
          <w:p w14:paraId="7F1804AC">
            <w:pPr>
              <w:pStyle w:val="84"/>
            </w:pPr>
            <w:r>
              <w:t>/</w:t>
            </w:r>
          </w:p>
        </w:tc>
      </w:tr>
      <w:tr w14:paraId="615F2A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3C812BE4">
            <w:pPr>
              <w:pStyle w:val="84"/>
            </w:pPr>
          </w:p>
        </w:tc>
        <w:tc>
          <w:tcPr>
            <w:tcW w:w="332" w:type="pct"/>
            <w:vMerge w:val="continue"/>
            <w:tcBorders>
              <w:tl2br w:val="nil"/>
              <w:tr2bl w:val="nil"/>
            </w:tcBorders>
            <w:tcMar>
              <w:top w:w="50" w:type="dxa"/>
              <w:left w:w="50" w:type="dxa"/>
              <w:bottom w:w="50" w:type="dxa"/>
              <w:right w:w="50" w:type="dxa"/>
            </w:tcMar>
            <w:vAlign w:val="center"/>
          </w:tcPr>
          <w:p w14:paraId="427D8CD0">
            <w:pPr>
              <w:pStyle w:val="84"/>
            </w:pPr>
          </w:p>
        </w:tc>
        <w:tc>
          <w:tcPr>
            <w:tcW w:w="271" w:type="pct"/>
            <w:vMerge w:val="continue"/>
            <w:tcBorders>
              <w:tl2br w:val="nil"/>
              <w:tr2bl w:val="nil"/>
            </w:tcBorders>
            <w:tcMar>
              <w:top w:w="50" w:type="dxa"/>
              <w:left w:w="50" w:type="dxa"/>
              <w:bottom w:w="50" w:type="dxa"/>
              <w:right w:w="50" w:type="dxa"/>
            </w:tcMar>
            <w:vAlign w:val="center"/>
          </w:tcPr>
          <w:p w14:paraId="658FF03C">
            <w:pPr>
              <w:pStyle w:val="84"/>
            </w:pPr>
          </w:p>
        </w:tc>
        <w:tc>
          <w:tcPr>
            <w:tcW w:w="221" w:type="pct"/>
            <w:vMerge w:val="continue"/>
            <w:tcBorders>
              <w:tl2br w:val="nil"/>
              <w:tr2bl w:val="nil"/>
            </w:tcBorders>
            <w:tcMar>
              <w:top w:w="50" w:type="dxa"/>
              <w:left w:w="50" w:type="dxa"/>
              <w:bottom w:w="50" w:type="dxa"/>
              <w:right w:w="50" w:type="dxa"/>
            </w:tcMar>
            <w:vAlign w:val="center"/>
          </w:tcPr>
          <w:p w14:paraId="5E00247B">
            <w:pPr>
              <w:pStyle w:val="84"/>
            </w:pPr>
          </w:p>
        </w:tc>
        <w:tc>
          <w:tcPr>
            <w:tcW w:w="246" w:type="pct"/>
            <w:vMerge w:val="continue"/>
            <w:tcBorders>
              <w:tl2br w:val="nil"/>
              <w:tr2bl w:val="nil"/>
            </w:tcBorders>
            <w:tcMar>
              <w:top w:w="50" w:type="dxa"/>
              <w:left w:w="50" w:type="dxa"/>
              <w:bottom w:w="50" w:type="dxa"/>
              <w:right w:w="50" w:type="dxa"/>
            </w:tcMar>
            <w:vAlign w:val="center"/>
          </w:tcPr>
          <w:p w14:paraId="46847819">
            <w:pPr>
              <w:pStyle w:val="84"/>
            </w:pPr>
          </w:p>
        </w:tc>
        <w:tc>
          <w:tcPr>
            <w:tcW w:w="242" w:type="pct"/>
            <w:vMerge w:val="continue"/>
            <w:tcBorders>
              <w:tl2br w:val="nil"/>
              <w:tr2bl w:val="nil"/>
            </w:tcBorders>
            <w:tcMar>
              <w:top w:w="50" w:type="dxa"/>
              <w:left w:w="50" w:type="dxa"/>
              <w:bottom w:w="50" w:type="dxa"/>
              <w:right w:w="50" w:type="dxa"/>
            </w:tcMar>
            <w:vAlign w:val="center"/>
          </w:tcPr>
          <w:p w14:paraId="630022C2">
            <w:pPr>
              <w:pStyle w:val="84"/>
            </w:pPr>
          </w:p>
        </w:tc>
        <w:tc>
          <w:tcPr>
            <w:tcW w:w="362" w:type="pct"/>
            <w:tcBorders>
              <w:tl2br w:val="nil"/>
              <w:tr2bl w:val="nil"/>
            </w:tcBorders>
            <w:tcMar>
              <w:top w:w="50" w:type="dxa"/>
              <w:left w:w="50" w:type="dxa"/>
              <w:bottom w:w="50" w:type="dxa"/>
              <w:right w:w="50" w:type="dxa"/>
            </w:tcMar>
            <w:vAlign w:val="center"/>
          </w:tcPr>
          <w:p w14:paraId="174257DA">
            <w:pPr>
              <w:pStyle w:val="84"/>
            </w:pPr>
            <w:r>
              <w:rPr>
                <w:rFonts w:hint="eastAsia"/>
              </w:rPr>
              <w:t>环境风险防控</w:t>
            </w:r>
          </w:p>
        </w:tc>
        <w:tc>
          <w:tcPr>
            <w:tcW w:w="1719" w:type="pct"/>
            <w:tcBorders>
              <w:tl2br w:val="nil"/>
              <w:tr2bl w:val="nil"/>
            </w:tcBorders>
            <w:tcMar>
              <w:top w:w="50" w:type="dxa"/>
              <w:left w:w="50" w:type="dxa"/>
              <w:bottom w:w="50" w:type="dxa"/>
              <w:right w:w="50" w:type="dxa"/>
            </w:tcMar>
            <w:vAlign w:val="center"/>
          </w:tcPr>
          <w:p w14:paraId="673104D5">
            <w:pPr>
              <w:pStyle w:val="84"/>
            </w:pPr>
            <w:r>
              <w:t>/</w:t>
            </w:r>
          </w:p>
        </w:tc>
        <w:tc>
          <w:tcPr>
            <w:tcW w:w="1066" w:type="pct"/>
            <w:tcBorders>
              <w:tl2br w:val="nil"/>
              <w:tr2bl w:val="nil"/>
            </w:tcBorders>
            <w:tcMar>
              <w:top w:w="50" w:type="dxa"/>
              <w:left w:w="50" w:type="dxa"/>
              <w:bottom w:w="50" w:type="dxa"/>
              <w:right w:w="50" w:type="dxa"/>
            </w:tcMar>
            <w:vAlign w:val="center"/>
          </w:tcPr>
          <w:p w14:paraId="5E9359E3">
            <w:pPr>
              <w:pStyle w:val="84"/>
            </w:pPr>
            <w:r>
              <w:t>/</w:t>
            </w:r>
          </w:p>
        </w:tc>
        <w:tc>
          <w:tcPr>
            <w:tcW w:w="261" w:type="pct"/>
            <w:tcBorders>
              <w:tl2br w:val="nil"/>
              <w:tr2bl w:val="nil"/>
            </w:tcBorders>
            <w:tcMar>
              <w:top w:w="50" w:type="dxa"/>
              <w:left w:w="50" w:type="dxa"/>
              <w:bottom w:w="50" w:type="dxa"/>
              <w:right w:w="50" w:type="dxa"/>
            </w:tcMar>
            <w:vAlign w:val="center"/>
          </w:tcPr>
          <w:p w14:paraId="55EC32A1">
            <w:pPr>
              <w:pStyle w:val="84"/>
            </w:pPr>
            <w:r>
              <w:t>/</w:t>
            </w:r>
          </w:p>
        </w:tc>
      </w:tr>
      <w:tr w14:paraId="1F7F8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1AE1B21A">
            <w:pPr>
              <w:pStyle w:val="84"/>
            </w:pPr>
          </w:p>
        </w:tc>
        <w:tc>
          <w:tcPr>
            <w:tcW w:w="332" w:type="pct"/>
            <w:vMerge w:val="continue"/>
            <w:tcBorders>
              <w:tl2br w:val="nil"/>
              <w:tr2bl w:val="nil"/>
            </w:tcBorders>
            <w:tcMar>
              <w:top w:w="50" w:type="dxa"/>
              <w:left w:w="50" w:type="dxa"/>
              <w:bottom w:w="50" w:type="dxa"/>
              <w:right w:w="50" w:type="dxa"/>
            </w:tcMar>
            <w:vAlign w:val="center"/>
          </w:tcPr>
          <w:p w14:paraId="5F7A5A4C">
            <w:pPr>
              <w:pStyle w:val="84"/>
            </w:pPr>
          </w:p>
        </w:tc>
        <w:tc>
          <w:tcPr>
            <w:tcW w:w="271" w:type="pct"/>
            <w:vMerge w:val="continue"/>
            <w:tcBorders>
              <w:tl2br w:val="nil"/>
              <w:tr2bl w:val="nil"/>
            </w:tcBorders>
            <w:tcMar>
              <w:top w:w="50" w:type="dxa"/>
              <w:left w:w="50" w:type="dxa"/>
              <w:bottom w:w="50" w:type="dxa"/>
              <w:right w:w="50" w:type="dxa"/>
            </w:tcMar>
            <w:vAlign w:val="center"/>
          </w:tcPr>
          <w:p w14:paraId="73E7010E">
            <w:pPr>
              <w:pStyle w:val="84"/>
            </w:pPr>
          </w:p>
        </w:tc>
        <w:tc>
          <w:tcPr>
            <w:tcW w:w="221" w:type="pct"/>
            <w:vMerge w:val="continue"/>
            <w:tcBorders>
              <w:tl2br w:val="nil"/>
              <w:tr2bl w:val="nil"/>
            </w:tcBorders>
            <w:tcMar>
              <w:top w:w="50" w:type="dxa"/>
              <w:left w:w="50" w:type="dxa"/>
              <w:bottom w:w="50" w:type="dxa"/>
              <w:right w:w="50" w:type="dxa"/>
            </w:tcMar>
            <w:vAlign w:val="center"/>
          </w:tcPr>
          <w:p w14:paraId="00206210">
            <w:pPr>
              <w:pStyle w:val="84"/>
            </w:pPr>
          </w:p>
        </w:tc>
        <w:tc>
          <w:tcPr>
            <w:tcW w:w="246" w:type="pct"/>
            <w:vMerge w:val="continue"/>
            <w:tcBorders>
              <w:tl2br w:val="nil"/>
              <w:tr2bl w:val="nil"/>
            </w:tcBorders>
            <w:tcMar>
              <w:top w:w="50" w:type="dxa"/>
              <w:left w:w="50" w:type="dxa"/>
              <w:bottom w:w="50" w:type="dxa"/>
              <w:right w:w="50" w:type="dxa"/>
            </w:tcMar>
            <w:vAlign w:val="center"/>
          </w:tcPr>
          <w:p w14:paraId="755EA98B">
            <w:pPr>
              <w:pStyle w:val="84"/>
            </w:pPr>
          </w:p>
        </w:tc>
        <w:tc>
          <w:tcPr>
            <w:tcW w:w="242" w:type="pct"/>
            <w:vMerge w:val="continue"/>
            <w:tcBorders>
              <w:tl2br w:val="nil"/>
              <w:tr2bl w:val="nil"/>
            </w:tcBorders>
            <w:tcMar>
              <w:top w:w="50" w:type="dxa"/>
              <w:left w:w="50" w:type="dxa"/>
              <w:bottom w:w="50" w:type="dxa"/>
              <w:right w:w="50" w:type="dxa"/>
            </w:tcMar>
            <w:vAlign w:val="center"/>
          </w:tcPr>
          <w:p w14:paraId="4B9B405E">
            <w:pPr>
              <w:pStyle w:val="84"/>
            </w:pPr>
          </w:p>
        </w:tc>
        <w:tc>
          <w:tcPr>
            <w:tcW w:w="362" w:type="pct"/>
            <w:tcBorders>
              <w:tl2br w:val="nil"/>
              <w:tr2bl w:val="nil"/>
            </w:tcBorders>
            <w:tcMar>
              <w:top w:w="50" w:type="dxa"/>
              <w:left w:w="50" w:type="dxa"/>
              <w:bottom w:w="50" w:type="dxa"/>
              <w:right w:w="50" w:type="dxa"/>
            </w:tcMar>
            <w:vAlign w:val="center"/>
          </w:tcPr>
          <w:p w14:paraId="1E013C94">
            <w:pPr>
              <w:pStyle w:val="84"/>
            </w:pPr>
            <w:r>
              <w:rPr>
                <w:rFonts w:hint="eastAsia"/>
              </w:rPr>
              <w:t>资源开发利用效率要求</w:t>
            </w:r>
          </w:p>
        </w:tc>
        <w:tc>
          <w:tcPr>
            <w:tcW w:w="1719" w:type="pct"/>
            <w:tcBorders>
              <w:tl2br w:val="nil"/>
              <w:tr2bl w:val="nil"/>
            </w:tcBorders>
            <w:tcMar>
              <w:top w:w="50" w:type="dxa"/>
              <w:left w:w="50" w:type="dxa"/>
              <w:bottom w:w="50" w:type="dxa"/>
              <w:right w:w="50" w:type="dxa"/>
            </w:tcMar>
            <w:vAlign w:val="center"/>
          </w:tcPr>
          <w:p w14:paraId="307DB8DB">
            <w:pPr>
              <w:pStyle w:val="59"/>
              <w:jc w:val="both"/>
              <w:rPr>
                <w:rFonts w:cs="Times New Roman"/>
              </w:rPr>
            </w:pPr>
            <w:r>
              <w:rPr>
                <w:rFonts w:hint="eastAsia" w:cs="Times New Roman"/>
              </w:rPr>
              <w:t>【土地资源开发效率要求】</w:t>
            </w:r>
          </w:p>
          <w:p w14:paraId="62298126">
            <w:pPr>
              <w:pStyle w:val="59"/>
              <w:jc w:val="both"/>
              <w:rPr>
                <w:rFonts w:cs="Times New Roman"/>
              </w:rPr>
            </w:pPr>
            <w:r>
              <w:rPr>
                <w:rFonts w:hint="eastAsia" w:cs="Times New Roman"/>
              </w:rPr>
              <w:t>土地资源开发利用量不得超过土地资源利用上线控制性指标。</w:t>
            </w:r>
          </w:p>
          <w:p w14:paraId="6D4C759B">
            <w:pPr>
              <w:pStyle w:val="59"/>
              <w:jc w:val="both"/>
              <w:rPr>
                <w:rFonts w:cs="Times New Roman"/>
              </w:rPr>
            </w:pPr>
            <w:r>
              <w:rPr>
                <w:rFonts w:hint="eastAsia" w:cs="Times New Roman"/>
              </w:rPr>
              <w:t>【自然资源重点管控区已有开发建设活动的退出要求】</w:t>
            </w:r>
          </w:p>
          <w:p w14:paraId="29489D3E">
            <w:pPr>
              <w:pStyle w:val="59"/>
              <w:jc w:val="both"/>
              <w:rPr>
                <w:rFonts w:cs="Times New Roman"/>
              </w:rPr>
            </w:pPr>
            <w:r>
              <w:rPr>
                <w:rFonts w:hint="eastAsia" w:cs="Times New Roman"/>
              </w:rPr>
              <w:t>除《生态保护红线管理办法》第九条正面清单允许的人为活动外，其他已开发建设活动有序退出。</w:t>
            </w:r>
          </w:p>
        </w:tc>
        <w:tc>
          <w:tcPr>
            <w:tcW w:w="1066" w:type="pct"/>
            <w:tcBorders>
              <w:tl2br w:val="nil"/>
              <w:tr2bl w:val="nil"/>
            </w:tcBorders>
            <w:tcMar>
              <w:top w:w="50" w:type="dxa"/>
              <w:left w:w="50" w:type="dxa"/>
              <w:bottom w:w="50" w:type="dxa"/>
              <w:right w:w="50" w:type="dxa"/>
            </w:tcMar>
            <w:vAlign w:val="center"/>
          </w:tcPr>
          <w:p w14:paraId="61C51695">
            <w:pPr>
              <w:pStyle w:val="84"/>
              <w:jc w:val="both"/>
            </w:pPr>
            <w:r>
              <w:rPr>
                <w:rFonts w:hint="eastAsia"/>
              </w:rPr>
              <w:t>项目均在山洪沟治理范围内实施，不涉及占用耕地等；</w:t>
            </w:r>
          </w:p>
          <w:p w14:paraId="610041C5">
            <w:pPr>
              <w:pStyle w:val="84"/>
              <w:jc w:val="both"/>
            </w:pPr>
            <w:r>
              <w:rPr>
                <w:rFonts w:hint="eastAsia"/>
              </w:rPr>
              <w:t>本项目为防洪除涝工程，属于《生态保护红线管理办法》第九条正面清单允许的人为活动。</w:t>
            </w:r>
          </w:p>
        </w:tc>
        <w:tc>
          <w:tcPr>
            <w:tcW w:w="261" w:type="pct"/>
            <w:tcBorders>
              <w:tl2br w:val="nil"/>
              <w:tr2bl w:val="nil"/>
            </w:tcBorders>
            <w:tcMar>
              <w:top w:w="50" w:type="dxa"/>
              <w:left w:w="50" w:type="dxa"/>
              <w:bottom w:w="50" w:type="dxa"/>
              <w:right w:w="50" w:type="dxa"/>
            </w:tcMar>
            <w:vAlign w:val="center"/>
          </w:tcPr>
          <w:p w14:paraId="61E81521">
            <w:pPr>
              <w:pStyle w:val="84"/>
            </w:pPr>
            <w:r>
              <w:rPr>
                <w:rFonts w:hint="eastAsia"/>
              </w:rPr>
              <w:t>符合</w:t>
            </w:r>
          </w:p>
        </w:tc>
      </w:tr>
      <w:tr w14:paraId="244C11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restart"/>
            <w:tcBorders>
              <w:tl2br w:val="nil"/>
              <w:tr2bl w:val="nil"/>
            </w:tcBorders>
            <w:tcMar>
              <w:top w:w="50" w:type="dxa"/>
              <w:left w:w="50" w:type="dxa"/>
              <w:bottom w:w="50" w:type="dxa"/>
              <w:right w:w="50" w:type="dxa"/>
            </w:tcMar>
            <w:vAlign w:val="center"/>
          </w:tcPr>
          <w:p w14:paraId="7AAF0272">
            <w:pPr>
              <w:pStyle w:val="59"/>
              <w:rPr>
                <w:rFonts w:cs="Times New Roman"/>
              </w:rPr>
            </w:pPr>
            <w:r>
              <w:rPr>
                <w:rFonts w:cs="Times New Roman"/>
              </w:rPr>
              <w:t>YS5133223110001</w:t>
            </w:r>
          </w:p>
        </w:tc>
        <w:tc>
          <w:tcPr>
            <w:tcW w:w="332" w:type="pct"/>
            <w:vMerge w:val="restart"/>
            <w:tcBorders>
              <w:tl2br w:val="nil"/>
              <w:tr2bl w:val="nil"/>
            </w:tcBorders>
            <w:tcMar>
              <w:top w:w="50" w:type="dxa"/>
              <w:left w:w="50" w:type="dxa"/>
              <w:bottom w:w="50" w:type="dxa"/>
              <w:right w:w="50" w:type="dxa"/>
            </w:tcMar>
            <w:vAlign w:val="center"/>
          </w:tcPr>
          <w:p w14:paraId="26FDCC8C">
            <w:pPr>
              <w:pStyle w:val="59"/>
              <w:rPr>
                <w:rFonts w:cs="Times New Roman"/>
              </w:rPr>
            </w:pPr>
            <w:r>
              <w:rPr>
                <w:rFonts w:hint="eastAsia" w:cs="Times New Roman"/>
              </w:rPr>
              <w:t>泸定县其他区域</w:t>
            </w:r>
          </w:p>
        </w:tc>
        <w:tc>
          <w:tcPr>
            <w:tcW w:w="271" w:type="pct"/>
            <w:vMerge w:val="restart"/>
            <w:tcBorders>
              <w:tl2br w:val="nil"/>
              <w:tr2bl w:val="nil"/>
            </w:tcBorders>
            <w:tcMar>
              <w:top w:w="50" w:type="dxa"/>
              <w:left w:w="50" w:type="dxa"/>
              <w:bottom w:w="50" w:type="dxa"/>
              <w:right w:w="50" w:type="dxa"/>
            </w:tcMar>
            <w:vAlign w:val="center"/>
          </w:tcPr>
          <w:p w14:paraId="719CD785">
            <w:pPr>
              <w:pStyle w:val="59"/>
              <w:rPr>
                <w:rFonts w:cs="Times New Roman"/>
              </w:rPr>
            </w:pPr>
            <w:r>
              <w:rPr>
                <w:rFonts w:hint="eastAsia" w:cs="Times New Roman"/>
              </w:rPr>
              <w:t>一般管控区</w:t>
            </w:r>
          </w:p>
        </w:tc>
        <w:tc>
          <w:tcPr>
            <w:tcW w:w="221" w:type="pct"/>
            <w:vMerge w:val="restart"/>
            <w:tcBorders>
              <w:tl2br w:val="nil"/>
              <w:tr2bl w:val="nil"/>
            </w:tcBorders>
            <w:tcMar>
              <w:top w:w="50" w:type="dxa"/>
              <w:left w:w="50" w:type="dxa"/>
              <w:bottom w:w="50" w:type="dxa"/>
              <w:right w:w="50" w:type="dxa"/>
            </w:tcMar>
            <w:vAlign w:val="center"/>
          </w:tcPr>
          <w:p w14:paraId="29050028">
            <w:pPr>
              <w:pStyle w:val="59"/>
              <w:rPr>
                <w:rFonts w:cs="Times New Roman"/>
              </w:rPr>
            </w:pPr>
            <w:r>
              <w:rPr>
                <w:rFonts w:hint="eastAsia" w:cs="Times New Roman"/>
              </w:rPr>
              <w:t>生态</w:t>
            </w:r>
          </w:p>
        </w:tc>
        <w:tc>
          <w:tcPr>
            <w:tcW w:w="246" w:type="pct"/>
            <w:vMerge w:val="restart"/>
            <w:tcBorders>
              <w:tl2br w:val="nil"/>
              <w:tr2bl w:val="nil"/>
            </w:tcBorders>
            <w:tcMar>
              <w:top w:w="50" w:type="dxa"/>
              <w:left w:w="50" w:type="dxa"/>
              <w:bottom w:w="50" w:type="dxa"/>
              <w:right w:w="50" w:type="dxa"/>
            </w:tcMar>
            <w:vAlign w:val="center"/>
          </w:tcPr>
          <w:p w14:paraId="3FE3B54E">
            <w:pPr>
              <w:pStyle w:val="59"/>
              <w:rPr>
                <w:rFonts w:cs="Times New Roman"/>
              </w:rPr>
            </w:pPr>
            <w:r>
              <w:rPr>
                <w:rFonts w:hint="eastAsia" w:cs="Times New Roman"/>
              </w:rPr>
              <w:t>一般管控区</w:t>
            </w:r>
          </w:p>
        </w:tc>
        <w:tc>
          <w:tcPr>
            <w:tcW w:w="242" w:type="pct"/>
            <w:vMerge w:val="restart"/>
            <w:tcBorders>
              <w:tl2br w:val="nil"/>
              <w:tr2bl w:val="nil"/>
            </w:tcBorders>
            <w:tcMar>
              <w:top w:w="50" w:type="dxa"/>
              <w:left w:w="50" w:type="dxa"/>
              <w:bottom w:w="50" w:type="dxa"/>
              <w:right w:w="50" w:type="dxa"/>
            </w:tcMar>
            <w:vAlign w:val="center"/>
          </w:tcPr>
          <w:p w14:paraId="1DAF42B6">
            <w:pPr>
              <w:pStyle w:val="59"/>
              <w:rPr>
                <w:rFonts w:cs="Times New Roman"/>
              </w:rPr>
            </w:pPr>
            <w:r>
              <w:rPr>
                <w:rFonts w:hint="eastAsia" w:cs="Times New Roman"/>
              </w:rPr>
              <w:t>甘孜藏族自治州泸定县</w:t>
            </w:r>
          </w:p>
        </w:tc>
        <w:tc>
          <w:tcPr>
            <w:tcW w:w="362" w:type="pct"/>
            <w:tcBorders>
              <w:tl2br w:val="nil"/>
              <w:tr2bl w:val="nil"/>
            </w:tcBorders>
            <w:tcMar>
              <w:top w:w="50" w:type="dxa"/>
              <w:left w:w="50" w:type="dxa"/>
              <w:bottom w:w="50" w:type="dxa"/>
              <w:right w:w="50" w:type="dxa"/>
            </w:tcMar>
            <w:vAlign w:val="center"/>
          </w:tcPr>
          <w:p w14:paraId="679EFDA2">
            <w:pPr>
              <w:pStyle w:val="84"/>
            </w:pPr>
            <w:r>
              <w:rPr>
                <w:rFonts w:hint="eastAsia"/>
              </w:rPr>
              <w:t>空间布局约束</w:t>
            </w:r>
          </w:p>
        </w:tc>
        <w:tc>
          <w:tcPr>
            <w:tcW w:w="1719" w:type="pct"/>
            <w:tcBorders>
              <w:tl2br w:val="nil"/>
              <w:tr2bl w:val="nil"/>
            </w:tcBorders>
            <w:tcMar>
              <w:top w:w="50" w:type="dxa"/>
              <w:left w:w="50" w:type="dxa"/>
              <w:bottom w:w="50" w:type="dxa"/>
              <w:right w:w="50" w:type="dxa"/>
            </w:tcMar>
            <w:vAlign w:val="center"/>
          </w:tcPr>
          <w:p w14:paraId="59750E8F">
            <w:pPr>
              <w:pStyle w:val="84"/>
            </w:pPr>
            <w:r>
              <w:t>/</w:t>
            </w:r>
          </w:p>
        </w:tc>
        <w:tc>
          <w:tcPr>
            <w:tcW w:w="1066" w:type="pct"/>
            <w:tcBorders>
              <w:tl2br w:val="nil"/>
              <w:tr2bl w:val="nil"/>
            </w:tcBorders>
            <w:tcMar>
              <w:top w:w="50" w:type="dxa"/>
              <w:left w:w="50" w:type="dxa"/>
              <w:bottom w:w="50" w:type="dxa"/>
              <w:right w:w="50" w:type="dxa"/>
            </w:tcMar>
            <w:vAlign w:val="center"/>
          </w:tcPr>
          <w:p w14:paraId="7ABC7490">
            <w:pPr>
              <w:pStyle w:val="84"/>
            </w:pPr>
            <w:r>
              <w:t>/</w:t>
            </w:r>
          </w:p>
        </w:tc>
        <w:tc>
          <w:tcPr>
            <w:tcW w:w="261" w:type="pct"/>
            <w:tcBorders>
              <w:tl2br w:val="nil"/>
              <w:tr2bl w:val="nil"/>
            </w:tcBorders>
            <w:tcMar>
              <w:top w:w="50" w:type="dxa"/>
              <w:left w:w="50" w:type="dxa"/>
              <w:bottom w:w="50" w:type="dxa"/>
              <w:right w:w="50" w:type="dxa"/>
            </w:tcMar>
            <w:vAlign w:val="center"/>
          </w:tcPr>
          <w:p w14:paraId="2AD0B8BE">
            <w:pPr>
              <w:pStyle w:val="84"/>
            </w:pPr>
            <w:r>
              <w:t>/</w:t>
            </w:r>
          </w:p>
        </w:tc>
      </w:tr>
      <w:tr w14:paraId="2F0373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1543DDEE">
            <w:pPr>
              <w:pStyle w:val="84"/>
            </w:pPr>
          </w:p>
        </w:tc>
        <w:tc>
          <w:tcPr>
            <w:tcW w:w="332" w:type="pct"/>
            <w:vMerge w:val="continue"/>
            <w:tcBorders>
              <w:tl2br w:val="nil"/>
              <w:tr2bl w:val="nil"/>
            </w:tcBorders>
            <w:tcMar>
              <w:top w:w="50" w:type="dxa"/>
              <w:left w:w="50" w:type="dxa"/>
              <w:bottom w:w="50" w:type="dxa"/>
              <w:right w:w="50" w:type="dxa"/>
            </w:tcMar>
            <w:vAlign w:val="center"/>
          </w:tcPr>
          <w:p w14:paraId="67A5BA91">
            <w:pPr>
              <w:pStyle w:val="84"/>
            </w:pPr>
          </w:p>
        </w:tc>
        <w:tc>
          <w:tcPr>
            <w:tcW w:w="271" w:type="pct"/>
            <w:vMerge w:val="continue"/>
            <w:tcBorders>
              <w:tl2br w:val="nil"/>
              <w:tr2bl w:val="nil"/>
            </w:tcBorders>
            <w:tcMar>
              <w:top w:w="50" w:type="dxa"/>
              <w:left w:w="50" w:type="dxa"/>
              <w:bottom w:w="50" w:type="dxa"/>
              <w:right w:w="50" w:type="dxa"/>
            </w:tcMar>
            <w:vAlign w:val="center"/>
          </w:tcPr>
          <w:p w14:paraId="5BF334F9">
            <w:pPr>
              <w:pStyle w:val="84"/>
            </w:pPr>
          </w:p>
        </w:tc>
        <w:tc>
          <w:tcPr>
            <w:tcW w:w="221" w:type="pct"/>
            <w:vMerge w:val="continue"/>
            <w:tcBorders>
              <w:tl2br w:val="nil"/>
              <w:tr2bl w:val="nil"/>
            </w:tcBorders>
            <w:tcMar>
              <w:top w:w="50" w:type="dxa"/>
              <w:left w:w="50" w:type="dxa"/>
              <w:bottom w:w="50" w:type="dxa"/>
              <w:right w:w="50" w:type="dxa"/>
            </w:tcMar>
            <w:vAlign w:val="center"/>
          </w:tcPr>
          <w:p w14:paraId="1C442EAB">
            <w:pPr>
              <w:pStyle w:val="84"/>
            </w:pPr>
          </w:p>
        </w:tc>
        <w:tc>
          <w:tcPr>
            <w:tcW w:w="246" w:type="pct"/>
            <w:vMerge w:val="continue"/>
            <w:tcBorders>
              <w:tl2br w:val="nil"/>
              <w:tr2bl w:val="nil"/>
            </w:tcBorders>
            <w:tcMar>
              <w:top w:w="50" w:type="dxa"/>
              <w:left w:w="50" w:type="dxa"/>
              <w:bottom w:w="50" w:type="dxa"/>
              <w:right w:w="50" w:type="dxa"/>
            </w:tcMar>
            <w:vAlign w:val="center"/>
          </w:tcPr>
          <w:p w14:paraId="7EBF1369">
            <w:pPr>
              <w:pStyle w:val="84"/>
            </w:pPr>
          </w:p>
        </w:tc>
        <w:tc>
          <w:tcPr>
            <w:tcW w:w="242" w:type="pct"/>
            <w:vMerge w:val="continue"/>
            <w:tcBorders>
              <w:tl2br w:val="nil"/>
              <w:tr2bl w:val="nil"/>
            </w:tcBorders>
            <w:tcMar>
              <w:top w:w="50" w:type="dxa"/>
              <w:left w:w="50" w:type="dxa"/>
              <w:bottom w:w="50" w:type="dxa"/>
              <w:right w:w="50" w:type="dxa"/>
            </w:tcMar>
            <w:vAlign w:val="center"/>
          </w:tcPr>
          <w:p w14:paraId="03589351">
            <w:pPr>
              <w:pStyle w:val="84"/>
            </w:pPr>
          </w:p>
        </w:tc>
        <w:tc>
          <w:tcPr>
            <w:tcW w:w="362" w:type="pct"/>
            <w:tcBorders>
              <w:tl2br w:val="nil"/>
              <w:tr2bl w:val="nil"/>
            </w:tcBorders>
            <w:tcMar>
              <w:top w:w="50" w:type="dxa"/>
              <w:left w:w="50" w:type="dxa"/>
              <w:bottom w:w="50" w:type="dxa"/>
              <w:right w:w="50" w:type="dxa"/>
            </w:tcMar>
            <w:vAlign w:val="center"/>
          </w:tcPr>
          <w:p w14:paraId="78183AC0">
            <w:pPr>
              <w:pStyle w:val="84"/>
            </w:pPr>
            <w:r>
              <w:rPr>
                <w:rFonts w:hint="eastAsia"/>
              </w:rPr>
              <w:t>污染物排放管控</w:t>
            </w:r>
          </w:p>
        </w:tc>
        <w:tc>
          <w:tcPr>
            <w:tcW w:w="1719" w:type="pct"/>
            <w:tcBorders>
              <w:tl2br w:val="nil"/>
              <w:tr2bl w:val="nil"/>
            </w:tcBorders>
            <w:tcMar>
              <w:top w:w="50" w:type="dxa"/>
              <w:left w:w="50" w:type="dxa"/>
              <w:bottom w:w="50" w:type="dxa"/>
              <w:right w:w="50" w:type="dxa"/>
            </w:tcMar>
            <w:vAlign w:val="center"/>
          </w:tcPr>
          <w:p w14:paraId="5492DE05">
            <w:pPr>
              <w:pStyle w:val="84"/>
            </w:pPr>
            <w:r>
              <w:t>/</w:t>
            </w:r>
          </w:p>
        </w:tc>
        <w:tc>
          <w:tcPr>
            <w:tcW w:w="1066" w:type="pct"/>
            <w:tcBorders>
              <w:tl2br w:val="nil"/>
              <w:tr2bl w:val="nil"/>
            </w:tcBorders>
            <w:tcMar>
              <w:top w:w="50" w:type="dxa"/>
              <w:left w:w="50" w:type="dxa"/>
              <w:bottom w:w="50" w:type="dxa"/>
              <w:right w:w="50" w:type="dxa"/>
            </w:tcMar>
            <w:vAlign w:val="center"/>
          </w:tcPr>
          <w:p w14:paraId="215C52D7">
            <w:pPr>
              <w:pStyle w:val="84"/>
            </w:pPr>
            <w:r>
              <w:t>/</w:t>
            </w:r>
          </w:p>
        </w:tc>
        <w:tc>
          <w:tcPr>
            <w:tcW w:w="261" w:type="pct"/>
            <w:tcBorders>
              <w:tl2br w:val="nil"/>
              <w:tr2bl w:val="nil"/>
            </w:tcBorders>
            <w:tcMar>
              <w:top w:w="50" w:type="dxa"/>
              <w:left w:w="50" w:type="dxa"/>
              <w:bottom w:w="50" w:type="dxa"/>
              <w:right w:w="50" w:type="dxa"/>
            </w:tcMar>
            <w:vAlign w:val="center"/>
          </w:tcPr>
          <w:p w14:paraId="6DE2C098">
            <w:pPr>
              <w:pStyle w:val="84"/>
            </w:pPr>
            <w:r>
              <w:t>/</w:t>
            </w:r>
          </w:p>
        </w:tc>
      </w:tr>
      <w:tr w14:paraId="59CBD6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327DEDDE">
            <w:pPr>
              <w:pStyle w:val="84"/>
            </w:pPr>
          </w:p>
        </w:tc>
        <w:tc>
          <w:tcPr>
            <w:tcW w:w="332" w:type="pct"/>
            <w:vMerge w:val="continue"/>
            <w:tcBorders>
              <w:tl2br w:val="nil"/>
              <w:tr2bl w:val="nil"/>
            </w:tcBorders>
            <w:tcMar>
              <w:top w:w="50" w:type="dxa"/>
              <w:left w:w="50" w:type="dxa"/>
              <w:bottom w:w="50" w:type="dxa"/>
              <w:right w:w="50" w:type="dxa"/>
            </w:tcMar>
            <w:vAlign w:val="center"/>
          </w:tcPr>
          <w:p w14:paraId="241B1D31">
            <w:pPr>
              <w:pStyle w:val="84"/>
            </w:pPr>
          </w:p>
        </w:tc>
        <w:tc>
          <w:tcPr>
            <w:tcW w:w="271" w:type="pct"/>
            <w:vMerge w:val="continue"/>
            <w:tcBorders>
              <w:tl2br w:val="nil"/>
              <w:tr2bl w:val="nil"/>
            </w:tcBorders>
            <w:tcMar>
              <w:top w:w="50" w:type="dxa"/>
              <w:left w:w="50" w:type="dxa"/>
              <w:bottom w:w="50" w:type="dxa"/>
              <w:right w:w="50" w:type="dxa"/>
            </w:tcMar>
            <w:vAlign w:val="center"/>
          </w:tcPr>
          <w:p w14:paraId="3F3B957A">
            <w:pPr>
              <w:pStyle w:val="84"/>
            </w:pPr>
          </w:p>
        </w:tc>
        <w:tc>
          <w:tcPr>
            <w:tcW w:w="221" w:type="pct"/>
            <w:vMerge w:val="continue"/>
            <w:tcBorders>
              <w:tl2br w:val="nil"/>
              <w:tr2bl w:val="nil"/>
            </w:tcBorders>
            <w:tcMar>
              <w:top w:w="50" w:type="dxa"/>
              <w:left w:w="50" w:type="dxa"/>
              <w:bottom w:w="50" w:type="dxa"/>
              <w:right w:w="50" w:type="dxa"/>
            </w:tcMar>
            <w:vAlign w:val="center"/>
          </w:tcPr>
          <w:p w14:paraId="6BE23765">
            <w:pPr>
              <w:pStyle w:val="84"/>
            </w:pPr>
          </w:p>
        </w:tc>
        <w:tc>
          <w:tcPr>
            <w:tcW w:w="246" w:type="pct"/>
            <w:vMerge w:val="continue"/>
            <w:tcBorders>
              <w:tl2br w:val="nil"/>
              <w:tr2bl w:val="nil"/>
            </w:tcBorders>
            <w:tcMar>
              <w:top w:w="50" w:type="dxa"/>
              <w:left w:w="50" w:type="dxa"/>
              <w:bottom w:w="50" w:type="dxa"/>
              <w:right w:w="50" w:type="dxa"/>
            </w:tcMar>
            <w:vAlign w:val="center"/>
          </w:tcPr>
          <w:p w14:paraId="607401DE">
            <w:pPr>
              <w:pStyle w:val="84"/>
            </w:pPr>
          </w:p>
        </w:tc>
        <w:tc>
          <w:tcPr>
            <w:tcW w:w="242" w:type="pct"/>
            <w:vMerge w:val="continue"/>
            <w:tcBorders>
              <w:tl2br w:val="nil"/>
              <w:tr2bl w:val="nil"/>
            </w:tcBorders>
            <w:tcMar>
              <w:top w:w="50" w:type="dxa"/>
              <w:left w:w="50" w:type="dxa"/>
              <w:bottom w:w="50" w:type="dxa"/>
              <w:right w:w="50" w:type="dxa"/>
            </w:tcMar>
            <w:vAlign w:val="center"/>
          </w:tcPr>
          <w:p w14:paraId="5D789C4E">
            <w:pPr>
              <w:pStyle w:val="84"/>
            </w:pPr>
          </w:p>
        </w:tc>
        <w:tc>
          <w:tcPr>
            <w:tcW w:w="362" w:type="pct"/>
            <w:tcBorders>
              <w:tl2br w:val="nil"/>
              <w:tr2bl w:val="nil"/>
            </w:tcBorders>
            <w:tcMar>
              <w:top w:w="50" w:type="dxa"/>
              <w:left w:w="50" w:type="dxa"/>
              <w:bottom w:w="50" w:type="dxa"/>
              <w:right w:w="50" w:type="dxa"/>
            </w:tcMar>
            <w:vAlign w:val="center"/>
          </w:tcPr>
          <w:p w14:paraId="7711436F">
            <w:pPr>
              <w:pStyle w:val="84"/>
            </w:pPr>
            <w:r>
              <w:rPr>
                <w:rFonts w:hint="eastAsia"/>
              </w:rPr>
              <w:t>环境风险防控</w:t>
            </w:r>
          </w:p>
        </w:tc>
        <w:tc>
          <w:tcPr>
            <w:tcW w:w="1719" w:type="pct"/>
            <w:tcBorders>
              <w:tl2br w:val="nil"/>
              <w:tr2bl w:val="nil"/>
            </w:tcBorders>
            <w:tcMar>
              <w:top w:w="50" w:type="dxa"/>
              <w:left w:w="50" w:type="dxa"/>
              <w:bottom w:w="50" w:type="dxa"/>
              <w:right w:w="50" w:type="dxa"/>
            </w:tcMar>
            <w:vAlign w:val="center"/>
          </w:tcPr>
          <w:p w14:paraId="6C54F720">
            <w:pPr>
              <w:pStyle w:val="84"/>
            </w:pPr>
            <w:r>
              <w:t>/</w:t>
            </w:r>
          </w:p>
        </w:tc>
        <w:tc>
          <w:tcPr>
            <w:tcW w:w="1066" w:type="pct"/>
            <w:tcBorders>
              <w:tl2br w:val="nil"/>
              <w:tr2bl w:val="nil"/>
            </w:tcBorders>
            <w:tcMar>
              <w:top w:w="50" w:type="dxa"/>
              <w:left w:w="50" w:type="dxa"/>
              <w:bottom w:w="50" w:type="dxa"/>
              <w:right w:w="50" w:type="dxa"/>
            </w:tcMar>
            <w:vAlign w:val="center"/>
          </w:tcPr>
          <w:p w14:paraId="129985EE">
            <w:pPr>
              <w:pStyle w:val="84"/>
            </w:pPr>
            <w:r>
              <w:t>/</w:t>
            </w:r>
          </w:p>
        </w:tc>
        <w:tc>
          <w:tcPr>
            <w:tcW w:w="261" w:type="pct"/>
            <w:tcBorders>
              <w:tl2br w:val="nil"/>
              <w:tr2bl w:val="nil"/>
            </w:tcBorders>
            <w:tcMar>
              <w:top w:w="50" w:type="dxa"/>
              <w:left w:w="50" w:type="dxa"/>
              <w:bottom w:w="50" w:type="dxa"/>
              <w:right w:w="50" w:type="dxa"/>
            </w:tcMar>
            <w:vAlign w:val="center"/>
          </w:tcPr>
          <w:p w14:paraId="26B3C651">
            <w:pPr>
              <w:pStyle w:val="84"/>
            </w:pPr>
            <w:r>
              <w:t>/</w:t>
            </w:r>
          </w:p>
        </w:tc>
      </w:tr>
      <w:tr w14:paraId="5563D0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7BF12532">
            <w:pPr>
              <w:pStyle w:val="84"/>
            </w:pPr>
          </w:p>
        </w:tc>
        <w:tc>
          <w:tcPr>
            <w:tcW w:w="332" w:type="pct"/>
            <w:vMerge w:val="continue"/>
            <w:tcBorders>
              <w:tl2br w:val="nil"/>
              <w:tr2bl w:val="nil"/>
            </w:tcBorders>
            <w:tcMar>
              <w:top w:w="50" w:type="dxa"/>
              <w:left w:w="50" w:type="dxa"/>
              <w:bottom w:w="50" w:type="dxa"/>
              <w:right w:w="50" w:type="dxa"/>
            </w:tcMar>
            <w:vAlign w:val="center"/>
          </w:tcPr>
          <w:p w14:paraId="6D2CE58C">
            <w:pPr>
              <w:pStyle w:val="84"/>
            </w:pPr>
          </w:p>
        </w:tc>
        <w:tc>
          <w:tcPr>
            <w:tcW w:w="271" w:type="pct"/>
            <w:vMerge w:val="continue"/>
            <w:tcBorders>
              <w:tl2br w:val="nil"/>
              <w:tr2bl w:val="nil"/>
            </w:tcBorders>
            <w:tcMar>
              <w:top w:w="50" w:type="dxa"/>
              <w:left w:w="50" w:type="dxa"/>
              <w:bottom w:w="50" w:type="dxa"/>
              <w:right w:w="50" w:type="dxa"/>
            </w:tcMar>
            <w:vAlign w:val="center"/>
          </w:tcPr>
          <w:p w14:paraId="6E6F2BC2">
            <w:pPr>
              <w:pStyle w:val="84"/>
            </w:pPr>
          </w:p>
        </w:tc>
        <w:tc>
          <w:tcPr>
            <w:tcW w:w="221" w:type="pct"/>
            <w:vMerge w:val="continue"/>
            <w:tcBorders>
              <w:tl2br w:val="nil"/>
              <w:tr2bl w:val="nil"/>
            </w:tcBorders>
            <w:tcMar>
              <w:top w:w="50" w:type="dxa"/>
              <w:left w:w="50" w:type="dxa"/>
              <w:bottom w:w="50" w:type="dxa"/>
              <w:right w:w="50" w:type="dxa"/>
            </w:tcMar>
            <w:vAlign w:val="center"/>
          </w:tcPr>
          <w:p w14:paraId="39EEB414">
            <w:pPr>
              <w:pStyle w:val="84"/>
            </w:pPr>
          </w:p>
        </w:tc>
        <w:tc>
          <w:tcPr>
            <w:tcW w:w="246" w:type="pct"/>
            <w:vMerge w:val="continue"/>
            <w:tcBorders>
              <w:tl2br w:val="nil"/>
              <w:tr2bl w:val="nil"/>
            </w:tcBorders>
            <w:tcMar>
              <w:top w:w="50" w:type="dxa"/>
              <w:left w:w="50" w:type="dxa"/>
              <w:bottom w:w="50" w:type="dxa"/>
              <w:right w:w="50" w:type="dxa"/>
            </w:tcMar>
            <w:vAlign w:val="center"/>
          </w:tcPr>
          <w:p w14:paraId="157F2DD2">
            <w:pPr>
              <w:pStyle w:val="84"/>
            </w:pPr>
          </w:p>
        </w:tc>
        <w:tc>
          <w:tcPr>
            <w:tcW w:w="242" w:type="pct"/>
            <w:vMerge w:val="continue"/>
            <w:tcBorders>
              <w:tl2br w:val="nil"/>
              <w:tr2bl w:val="nil"/>
            </w:tcBorders>
            <w:tcMar>
              <w:top w:w="50" w:type="dxa"/>
              <w:left w:w="50" w:type="dxa"/>
              <w:bottom w:w="50" w:type="dxa"/>
              <w:right w:w="50" w:type="dxa"/>
            </w:tcMar>
            <w:vAlign w:val="center"/>
          </w:tcPr>
          <w:p w14:paraId="4B0DA0DD">
            <w:pPr>
              <w:pStyle w:val="84"/>
            </w:pPr>
          </w:p>
        </w:tc>
        <w:tc>
          <w:tcPr>
            <w:tcW w:w="362" w:type="pct"/>
            <w:tcBorders>
              <w:tl2br w:val="nil"/>
              <w:tr2bl w:val="nil"/>
            </w:tcBorders>
            <w:tcMar>
              <w:top w:w="50" w:type="dxa"/>
              <w:left w:w="50" w:type="dxa"/>
              <w:bottom w:w="50" w:type="dxa"/>
              <w:right w:w="50" w:type="dxa"/>
            </w:tcMar>
            <w:vAlign w:val="center"/>
          </w:tcPr>
          <w:p w14:paraId="64E11460">
            <w:pPr>
              <w:pStyle w:val="84"/>
            </w:pPr>
            <w:r>
              <w:rPr>
                <w:rFonts w:hint="eastAsia"/>
              </w:rPr>
              <w:t>资源开发利用效率要求</w:t>
            </w:r>
          </w:p>
        </w:tc>
        <w:tc>
          <w:tcPr>
            <w:tcW w:w="1719" w:type="pct"/>
            <w:tcBorders>
              <w:tl2br w:val="nil"/>
              <w:tr2bl w:val="nil"/>
            </w:tcBorders>
            <w:tcMar>
              <w:top w:w="50" w:type="dxa"/>
              <w:left w:w="50" w:type="dxa"/>
              <w:bottom w:w="50" w:type="dxa"/>
              <w:right w:w="50" w:type="dxa"/>
            </w:tcMar>
            <w:vAlign w:val="center"/>
          </w:tcPr>
          <w:p w14:paraId="29D79BC4">
            <w:pPr>
              <w:pStyle w:val="84"/>
            </w:pPr>
            <w:r>
              <w:t>/</w:t>
            </w:r>
          </w:p>
        </w:tc>
        <w:tc>
          <w:tcPr>
            <w:tcW w:w="1066" w:type="pct"/>
            <w:tcBorders>
              <w:tl2br w:val="nil"/>
              <w:tr2bl w:val="nil"/>
            </w:tcBorders>
            <w:tcMar>
              <w:top w:w="50" w:type="dxa"/>
              <w:left w:w="50" w:type="dxa"/>
              <w:bottom w:w="50" w:type="dxa"/>
              <w:right w:w="50" w:type="dxa"/>
            </w:tcMar>
            <w:vAlign w:val="center"/>
          </w:tcPr>
          <w:p w14:paraId="4F7F6F77">
            <w:pPr>
              <w:pStyle w:val="84"/>
            </w:pPr>
            <w:r>
              <w:t>/</w:t>
            </w:r>
          </w:p>
        </w:tc>
        <w:tc>
          <w:tcPr>
            <w:tcW w:w="261" w:type="pct"/>
            <w:tcBorders>
              <w:tl2br w:val="nil"/>
              <w:tr2bl w:val="nil"/>
            </w:tcBorders>
            <w:tcMar>
              <w:top w:w="50" w:type="dxa"/>
              <w:left w:w="50" w:type="dxa"/>
              <w:bottom w:w="50" w:type="dxa"/>
              <w:right w:w="50" w:type="dxa"/>
            </w:tcMar>
            <w:vAlign w:val="center"/>
          </w:tcPr>
          <w:p w14:paraId="66E40A16">
            <w:pPr>
              <w:pStyle w:val="84"/>
            </w:pPr>
            <w:r>
              <w:t>/</w:t>
            </w:r>
          </w:p>
        </w:tc>
      </w:tr>
      <w:tr w14:paraId="0E630D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restart"/>
            <w:tcBorders>
              <w:tl2br w:val="nil"/>
              <w:tr2bl w:val="nil"/>
            </w:tcBorders>
            <w:tcMar>
              <w:top w:w="50" w:type="dxa"/>
              <w:left w:w="50" w:type="dxa"/>
              <w:bottom w:w="50" w:type="dxa"/>
              <w:right w:w="50" w:type="dxa"/>
            </w:tcMar>
            <w:vAlign w:val="center"/>
          </w:tcPr>
          <w:p w14:paraId="713DB94E">
            <w:pPr>
              <w:pStyle w:val="59"/>
              <w:rPr>
                <w:rFonts w:cs="Times New Roman"/>
              </w:rPr>
            </w:pPr>
            <w:r>
              <w:rPr>
                <w:rFonts w:cs="Times New Roman"/>
              </w:rPr>
              <w:t>YS5133223210001</w:t>
            </w:r>
          </w:p>
        </w:tc>
        <w:tc>
          <w:tcPr>
            <w:tcW w:w="332" w:type="pct"/>
            <w:vMerge w:val="restart"/>
            <w:tcBorders>
              <w:tl2br w:val="nil"/>
              <w:tr2bl w:val="nil"/>
            </w:tcBorders>
            <w:tcMar>
              <w:top w:w="50" w:type="dxa"/>
              <w:left w:w="50" w:type="dxa"/>
              <w:bottom w:w="50" w:type="dxa"/>
              <w:right w:w="50" w:type="dxa"/>
            </w:tcMar>
            <w:vAlign w:val="center"/>
          </w:tcPr>
          <w:p w14:paraId="67FADBA5">
            <w:pPr>
              <w:pStyle w:val="59"/>
              <w:rPr>
                <w:rFonts w:cs="Times New Roman"/>
              </w:rPr>
            </w:pPr>
            <w:r>
              <w:rPr>
                <w:rFonts w:hint="eastAsia" w:cs="Times New Roman"/>
              </w:rPr>
              <w:t>大渡河-泸定县-大岗山-控制单元</w:t>
            </w:r>
          </w:p>
        </w:tc>
        <w:tc>
          <w:tcPr>
            <w:tcW w:w="271" w:type="pct"/>
            <w:vMerge w:val="restart"/>
            <w:tcBorders>
              <w:tl2br w:val="nil"/>
              <w:tr2bl w:val="nil"/>
            </w:tcBorders>
            <w:tcMar>
              <w:top w:w="50" w:type="dxa"/>
              <w:left w:w="50" w:type="dxa"/>
              <w:bottom w:w="50" w:type="dxa"/>
              <w:right w:w="50" w:type="dxa"/>
            </w:tcMar>
            <w:vAlign w:val="center"/>
          </w:tcPr>
          <w:p w14:paraId="1DC941F4">
            <w:pPr>
              <w:pStyle w:val="59"/>
              <w:rPr>
                <w:rFonts w:cs="Times New Roman"/>
              </w:rPr>
            </w:pPr>
            <w:r>
              <w:rPr>
                <w:rFonts w:hint="eastAsia" w:cs="Times New Roman"/>
              </w:rPr>
              <w:t>一般管控区</w:t>
            </w:r>
          </w:p>
        </w:tc>
        <w:tc>
          <w:tcPr>
            <w:tcW w:w="221" w:type="pct"/>
            <w:vMerge w:val="restart"/>
            <w:tcBorders>
              <w:tl2br w:val="nil"/>
              <w:tr2bl w:val="nil"/>
            </w:tcBorders>
            <w:tcMar>
              <w:top w:w="50" w:type="dxa"/>
              <w:left w:w="50" w:type="dxa"/>
              <w:bottom w:w="50" w:type="dxa"/>
              <w:right w:w="50" w:type="dxa"/>
            </w:tcMar>
            <w:vAlign w:val="center"/>
          </w:tcPr>
          <w:p w14:paraId="4CF3EE87">
            <w:pPr>
              <w:pStyle w:val="59"/>
              <w:rPr>
                <w:rFonts w:cs="Times New Roman"/>
              </w:rPr>
            </w:pPr>
            <w:r>
              <w:rPr>
                <w:rFonts w:hint="eastAsia" w:cs="Times New Roman"/>
              </w:rPr>
              <w:t>水</w:t>
            </w:r>
          </w:p>
        </w:tc>
        <w:tc>
          <w:tcPr>
            <w:tcW w:w="246" w:type="pct"/>
            <w:vMerge w:val="restart"/>
            <w:tcBorders>
              <w:tl2br w:val="nil"/>
              <w:tr2bl w:val="nil"/>
            </w:tcBorders>
            <w:tcMar>
              <w:top w:w="50" w:type="dxa"/>
              <w:left w:w="50" w:type="dxa"/>
              <w:bottom w:w="50" w:type="dxa"/>
              <w:right w:w="50" w:type="dxa"/>
            </w:tcMar>
            <w:vAlign w:val="center"/>
          </w:tcPr>
          <w:p w14:paraId="4512966C">
            <w:pPr>
              <w:pStyle w:val="59"/>
              <w:rPr>
                <w:rFonts w:cs="Times New Roman"/>
              </w:rPr>
            </w:pPr>
            <w:r>
              <w:rPr>
                <w:rFonts w:hint="eastAsia" w:cs="Times New Roman"/>
              </w:rPr>
              <w:t>水环境一般管控区</w:t>
            </w:r>
          </w:p>
        </w:tc>
        <w:tc>
          <w:tcPr>
            <w:tcW w:w="242" w:type="pct"/>
            <w:vMerge w:val="restart"/>
            <w:tcBorders>
              <w:tl2br w:val="nil"/>
              <w:tr2bl w:val="nil"/>
            </w:tcBorders>
            <w:tcMar>
              <w:top w:w="50" w:type="dxa"/>
              <w:left w:w="50" w:type="dxa"/>
              <w:bottom w:w="50" w:type="dxa"/>
              <w:right w:w="50" w:type="dxa"/>
            </w:tcMar>
            <w:vAlign w:val="center"/>
          </w:tcPr>
          <w:p w14:paraId="75217DDB">
            <w:pPr>
              <w:pStyle w:val="59"/>
              <w:rPr>
                <w:rFonts w:cs="Times New Roman"/>
              </w:rPr>
            </w:pPr>
            <w:r>
              <w:rPr>
                <w:rFonts w:hint="eastAsia" w:cs="Times New Roman"/>
              </w:rPr>
              <w:t>甘孜藏族自治州泸定县</w:t>
            </w:r>
          </w:p>
        </w:tc>
        <w:tc>
          <w:tcPr>
            <w:tcW w:w="362" w:type="pct"/>
            <w:tcBorders>
              <w:tl2br w:val="nil"/>
              <w:tr2bl w:val="nil"/>
            </w:tcBorders>
            <w:tcMar>
              <w:top w:w="50" w:type="dxa"/>
              <w:left w:w="50" w:type="dxa"/>
              <w:bottom w:w="50" w:type="dxa"/>
              <w:right w:w="50" w:type="dxa"/>
            </w:tcMar>
            <w:vAlign w:val="center"/>
          </w:tcPr>
          <w:p w14:paraId="20E6257C">
            <w:pPr>
              <w:pStyle w:val="84"/>
            </w:pPr>
            <w:r>
              <w:rPr>
                <w:rFonts w:hint="eastAsia"/>
              </w:rPr>
              <w:t>空间布局约束</w:t>
            </w:r>
          </w:p>
        </w:tc>
        <w:tc>
          <w:tcPr>
            <w:tcW w:w="1719" w:type="pct"/>
            <w:tcBorders>
              <w:tl2br w:val="nil"/>
              <w:tr2bl w:val="nil"/>
            </w:tcBorders>
            <w:tcMar>
              <w:top w:w="50" w:type="dxa"/>
              <w:left w:w="50" w:type="dxa"/>
              <w:bottom w:w="50" w:type="dxa"/>
              <w:right w:w="50" w:type="dxa"/>
            </w:tcMar>
            <w:vAlign w:val="center"/>
          </w:tcPr>
          <w:p w14:paraId="3838C151">
            <w:pPr>
              <w:pStyle w:val="84"/>
              <w:jc w:val="both"/>
            </w:pPr>
            <w:r>
              <w:rPr>
                <w:rFonts w:hint="eastAsia"/>
              </w:rPr>
              <w:t>【禁止开发建设活动的要求】</w:t>
            </w:r>
          </w:p>
          <w:p w14:paraId="745D0DE6">
            <w:pPr>
              <w:pStyle w:val="84"/>
              <w:jc w:val="both"/>
            </w:pPr>
            <w:r>
              <w:rPr>
                <w:rFonts w:hint="eastAsia"/>
              </w:rPr>
              <w:t>不再新建、改扩建开采规模在50万吨年以下的磷矿，不再新建露天磷矿。</w:t>
            </w:r>
          </w:p>
        </w:tc>
        <w:tc>
          <w:tcPr>
            <w:tcW w:w="1066" w:type="pct"/>
            <w:tcBorders>
              <w:tl2br w:val="nil"/>
              <w:tr2bl w:val="nil"/>
            </w:tcBorders>
            <w:tcMar>
              <w:top w:w="50" w:type="dxa"/>
              <w:left w:w="50" w:type="dxa"/>
              <w:bottom w:w="50" w:type="dxa"/>
              <w:right w:w="50" w:type="dxa"/>
            </w:tcMar>
            <w:vAlign w:val="center"/>
          </w:tcPr>
          <w:p w14:paraId="30EB29B7">
            <w:pPr>
              <w:pStyle w:val="84"/>
              <w:jc w:val="both"/>
            </w:pPr>
            <w:r>
              <w:rPr>
                <w:rFonts w:hint="eastAsia"/>
              </w:rPr>
              <w:t>本项目为防洪除涝项目，不属于采矿项目。</w:t>
            </w:r>
          </w:p>
        </w:tc>
        <w:tc>
          <w:tcPr>
            <w:tcW w:w="261" w:type="pct"/>
            <w:tcBorders>
              <w:tl2br w:val="nil"/>
              <w:tr2bl w:val="nil"/>
            </w:tcBorders>
            <w:tcMar>
              <w:top w:w="50" w:type="dxa"/>
              <w:left w:w="50" w:type="dxa"/>
              <w:bottom w:w="50" w:type="dxa"/>
              <w:right w:w="50" w:type="dxa"/>
            </w:tcMar>
            <w:vAlign w:val="center"/>
          </w:tcPr>
          <w:p w14:paraId="48AC2061">
            <w:pPr>
              <w:pStyle w:val="84"/>
            </w:pPr>
            <w:r>
              <w:rPr>
                <w:rFonts w:hint="eastAsia"/>
              </w:rPr>
              <w:t>符合</w:t>
            </w:r>
          </w:p>
        </w:tc>
      </w:tr>
      <w:tr w14:paraId="2BA2ED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0903B639">
            <w:pPr>
              <w:pStyle w:val="84"/>
            </w:pPr>
          </w:p>
        </w:tc>
        <w:tc>
          <w:tcPr>
            <w:tcW w:w="332" w:type="pct"/>
            <w:vMerge w:val="continue"/>
            <w:tcBorders>
              <w:tl2br w:val="nil"/>
              <w:tr2bl w:val="nil"/>
            </w:tcBorders>
            <w:tcMar>
              <w:top w:w="50" w:type="dxa"/>
              <w:left w:w="50" w:type="dxa"/>
              <w:bottom w:w="50" w:type="dxa"/>
              <w:right w:w="50" w:type="dxa"/>
            </w:tcMar>
            <w:vAlign w:val="center"/>
          </w:tcPr>
          <w:p w14:paraId="6E726698">
            <w:pPr>
              <w:pStyle w:val="84"/>
            </w:pPr>
          </w:p>
        </w:tc>
        <w:tc>
          <w:tcPr>
            <w:tcW w:w="271" w:type="pct"/>
            <w:vMerge w:val="continue"/>
            <w:tcBorders>
              <w:tl2br w:val="nil"/>
              <w:tr2bl w:val="nil"/>
            </w:tcBorders>
            <w:tcMar>
              <w:top w:w="50" w:type="dxa"/>
              <w:left w:w="50" w:type="dxa"/>
              <w:bottom w:w="50" w:type="dxa"/>
              <w:right w:w="50" w:type="dxa"/>
            </w:tcMar>
            <w:vAlign w:val="center"/>
          </w:tcPr>
          <w:p w14:paraId="35D6D6C5">
            <w:pPr>
              <w:pStyle w:val="84"/>
            </w:pPr>
          </w:p>
        </w:tc>
        <w:tc>
          <w:tcPr>
            <w:tcW w:w="221" w:type="pct"/>
            <w:vMerge w:val="continue"/>
            <w:tcBorders>
              <w:tl2br w:val="nil"/>
              <w:tr2bl w:val="nil"/>
            </w:tcBorders>
            <w:tcMar>
              <w:top w:w="50" w:type="dxa"/>
              <w:left w:w="50" w:type="dxa"/>
              <w:bottom w:w="50" w:type="dxa"/>
              <w:right w:w="50" w:type="dxa"/>
            </w:tcMar>
            <w:vAlign w:val="center"/>
          </w:tcPr>
          <w:p w14:paraId="0DFA1FA8">
            <w:pPr>
              <w:pStyle w:val="84"/>
            </w:pPr>
          </w:p>
        </w:tc>
        <w:tc>
          <w:tcPr>
            <w:tcW w:w="246" w:type="pct"/>
            <w:vMerge w:val="continue"/>
            <w:tcBorders>
              <w:tl2br w:val="nil"/>
              <w:tr2bl w:val="nil"/>
            </w:tcBorders>
            <w:tcMar>
              <w:top w:w="50" w:type="dxa"/>
              <w:left w:w="50" w:type="dxa"/>
              <w:bottom w:w="50" w:type="dxa"/>
              <w:right w:w="50" w:type="dxa"/>
            </w:tcMar>
            <w:vAlign w:val="center"/>
          </w:tcPr>
          <w:p w14:paraId="4F9D2C93">
            <w:pPr>
              <w:pStyle w:val="84"/>
            </w:pPr>
          </w:p>
        </w:tc>
        <w:tc>
          <w:tcPr>
            <w:tcW w:w="242" w:type="pct"/>
            <w:vMerge w:val="continue"/>
            <w:tcBorders>
              <w:tl2br w:val="nil"/>
              <w:tr2bl w:val="nil"/>
            </w:tcBorders>
            <w:tcMar>
              <w:top w:w="50" w:type="dxa"/>
              <w:left w:w="50" w:type="dxa"/>
              <w:bottom w:w="50" w:type="dxa"/>
              <w:right w:w="50" w:type="dxa"/>
            </w:tcMar>
            <w:vAlign w:val="center"/>
          </w:tcPr>
          <w:p w14:paraId="5BC3D440">
            <w:pPr>
              <w:pStyle w:val="84"/>
            </w:pPr>
          </w:p>
        </w:tc>
        <w:tc>
          <w:tcPr>
            <w:tcW w:w="362" w:type="pct"/>
            <w:vMerge w:val="restart"/>
            <w:tcBorders>
              <w:tl2br w:val="nil"/>
              <w:tr2bl w:val="nil"/>
            </w:tcBorders>
            <w:tcMar>
              <w:top w:w="50" w:type="dxa"/>
              <w:left w:w="50" w:type="dxa"/>
              <w:bottom w:w="50" w:type="dxa"/>
              <w:right w:w="50" w:type="dxa"/>
            </w:tcMar>
            <w:vAlign w:val="center"/>
          </w:tcPr>
          <w:p w14:paraId="02B274B8">
            <w:pPr>
              <w:pStyle w:val="84"/>
            </w:pPr>
            <w:r>
              <w:rPr>
                <w:rFonts w:hint="eastAsia"/>
              </w:rPr>
              <w:t>污染物排放管控</w:t>
            </w:r>
          </w:p>
        </w:tc>
        <w:tc>
          <w:tcPr>
            <w:tcW w:w="1719" w:type="pct"/>
            <w:tcBorders>
              <w:tl2br w:val="nil"/>
              <w:tr2bl w:val="nil"/>
            </w:tcBorders>
            <w:tcMar>
              <w:top w:w="50" w:type="dxa"/>
              <w:left w:w="50" w:type="dxa"/>
              <w:bottom w:w="50" w:type="dxa"/>
              <w:right w:w="50" w:type="dxa"/>
            </w:tcMar>
            <w:vAlign w:val="center"/>
          </w:tcPr>
          <w:p w14:paraId="133465AD">
            <w:pPr>
              <w:pStyle w:val="84"/>
              <w:jc w:val="both"/>
            </w:pPr>
            <w:r>
              <w:rPr>
                <w:rFonts w:hint="eastAsia"/>
              </w:rPr>
              <w:t>【城镇污水污染控制措施要求】</w:t>
            </w:r>
          </w:p>
          <w:p w14:paraId="5C2D657B">
            <w:pPr>
              <w:pStyle w:val="84"/>
              <w:jc w:val="both"/>
            </w:pPr>
            <w:r>
              <w:rPr>
                <w:rFonts w:hint="eastAsia"/>
              </w:rPr>
              <w:t>1、持续推进环保基础设施补短板，完善污水收集处理系统。2、保障乡镇污水收集处理设施顺畅运行。3、推进污水直排口排查与整治，落实“一口一策”整改措施。</w:t>
            </w:r>
          </w:p>
        </w:tc>
        <w:tc>
          <w:tcPr>
            <w:tcW w:w="1066" w:type="pct"/>
            <w:tcBorders>
              <w:tl2br w:val="nil"/>
              <w:tr2bl w:val="nil"/>
            </w:tcBorders>
            <w:tcMar>
              <w:top w:w="50" w:type="dxa"/>
              <w:left w:w="50" w:type="dxa"/>
              <w:bottom w:w="50" w:type="dxa"/>
              <w:right w:w="50" w:type="dxa"/>
            </w:tcMar>
            <w:vAlign w:val="center"/>
          </w:tcPr>
          <w:p w14:paraId="549B030A">
            <w:pPr>
              <w:pStyle w:val="84"/>
              <w:jc w:val="both"/>
            </w:pPr>
            <w:r>
              <w:rPr>
                <w:rFonts w:hint="eastAsia"/>
              </w:rPr>
              <w:t>项目生活污水经租赁民房现有污水处理设施处理后用作农肥。</w:t>
            </w:r>
          </w:p>
        </w:tc>
        <w:tc>
          <w:tcPr>
            <w:tcW w:w="261" w:type="pct"/>
            <w:tcBorders>
              <w:tl2br w:val="nil"/>
              <w:tr2bl w:val="nil"/>
            </w:tcBorders>
            <w:tcMar>
              <w:top w:w="50" w:type="dxa"/>
              <w:left w:w="50" w:type="dxa"/>
              <w:bottom w:w="50" w:type="dxa"/>
              <w:right w:w="50" w:type="dxa"/>
            </w:tcMar>
            <w:vAlign w:val="center"/>
          </w:tcPr>
          <w:p w14:paraId="59D06AED">
            <w:pPr>
              <w:jc w:val="center"/>
              <w:rPr>
                <w:sz w:val="21"/>
                <w:szCs w:val="21"/>
              </w:rPr>
            </w:pPr>
            <w:r>
              <w:rPr>
                <w:rFonts w:hint="eastAsia"/>
                <w:sz w:val="21"/>
                <w:szCs w:val="21"/>
              </w:rPr>
              <w:t>符合</w:t>
            </w:r>
          </w:p>
        </w:tc>
      </w:tr>
      <w:tr w14:paraId="51F41E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247294F8">
            <w:pPr>
              <w:pStyle w:val="84"/>
            </w:pPr>
          </w:p>
        </w:tc>
        <w:tc>
          <w:tcPr>
            <w:tcW w:w="332" w:type="pct"/>
            <w:vMerge w:val="continue"/>
            <w:tcBorders>
              <w:tl2br w:val="nil"/>
              <w:tr2bl w:val="nil"/>
            </w:tcBorders>
            <w:tcMar>
              <w:top w:w="50" w:type="dxa"/>
              <w:left w:w="50" w:type="dxa"/>
              <w:bottom w:w="50" w:type="dxa"/>
              <w:right w:w="50" w:type="dxa"/>
            </w:tcMar>
            <w:vAlign w:val="center"/>
          </w:tcPr>
          <w:p w14:paraId="5AC9C6F5">
            <w:pPr>
              <w:pStyle w:val="84"/>
            </w:pPr>
          </w:p>
        </w:tc>
        <w:tc>
          <w:tcPr>
            <w:tcW w:w="271" w:type="pct"/>
            <w:vMerge w:val="continue"/>
            <w:tcBorders>
              <w:tl2br w:val="nil"/>
              <w:tr2bl w:val="nil"/>
            </w:tcBorders>
            <w:tcMar>
              <w:top w:w="50" w:type="dxa"/>
              <w:left w:w="50" w:type="dxa"/>
              <w:bottom w:w="50" w:type="dxa"/>
              <w:right w:w="50" w:type="dxa"/>
            </w:tcMar>
            <w:vAlign w:val="center"/>
          </w:tcPr>
          <w:p w14:paraId="09E28F2E">
            <w:pPr>
              <w:pStyle w:val="84"/>
            </w:pPr>
          </w:p>
        </w:tc>
        <w:tc>
          <w:tcPr>
            <w:tcW w:w="221" w:type="pct"/>
            <w:vMerge w:val="continue"/>
            <w:tcBorders>
              <w:tl2br w:val="nil"/>
              <w:tr2bl w:val="nil"/>
            </w:tcBorders>
            <w:tcMar>
              <w:top w:w="50" w:type="dxa"/>
              <w:left w:w="50" w:type="dxa"/>
              <w:bottom w:w="50" w:type="dxa"/>
              <w:right w:w="50" w:type="dxa"/>
            </w:tcMar>
            <w:vAlign w:val="center"/>
          </w:tcPr>
          <w:p w14:paraId="539B99F2">
            <w:pPr>
              <w:pStyle w:val="84"/>
            </w:pPr>
          </w:p>
        </w:tc>
        <w:tc>
          <w:tcPr>
            <w:tcW w:w="246" w:type="pct"/>
            <w:vMerge w:val="continue"/>
            <w:tcBorders>
              <w:tl2br w:val="nil"/>
              <w:tr2bl w:val="nil"/>
            </w:tcBorders>
            <w:tcMar>
              <w:top w:w="50" w:type="dxa"/>
              <w:left w:w="50" w:type="dxa"/>
              <w:bottom w:w="50" w:type="dxa"/>
              <w:right w:w="50" w:type="dxa"/>
            </w:tcMar>
            <w:vAlign w:val="center"/>
          </w:tcPr>
          <w:p w14:paraId="136DC8A3">
            <w:pPr>
              <w:pStyle w:val="84"/>
            </w:pPr>
          </w:p>
        </w:tc>
        <w:tc>
          <w:tcPr>
            <w:tcW w:w="242" w:type="pct"/>
            <w:vMerge w:val="continue"/>
            <w:tcBorders>
              <w:tl2br w:val="nil"/>
              <w:tr2bl w:val="nil"/>
            </w:tcBorders>
            <w:tcMar>
              <w:top w:w="50" w:type="dxa"/>
              <w:left w:w="50" w:type="dxa"/>
              <w:bottom w:w="50" w:type="dxa"/>
              <w:right w:w="50" w:type="dxa"/>
            </w:tcMar>
            <w:vAlign w:val="center"/>
          </w:tcPr>
          <w:p w14:paraId="75B6C205">
            <w:pPr>
              <w:pStyle w:val="84"/>
            </w:pPr>
          </w:p>
        </w:tc>
        <w:tc>
          <w:tcPr>
            <w:tcW w:w="362" w:type="pct"/>
            <w:vMerge w:val="continue"/>
            <w:tcBorders>
              <w:tl2br w:val="nil"/>
              <w:tr2bl w:val="nil"/>
            </w:tcBorders>
            <w:tcMar>
              <w:top w:w="50" w:type="dxa"/>
              <w:left w:w="50" w:type="dxa"/>
              <w:bottom w:w="50" w:type="dxa"/>
              <w:right w:w="50" w:type="dxa"/>
            </w:tcMar>
            <w:vAlign w:val="center"/>
          </w:tcPr>
          <w:p w14:paraId="7F3E2B7B">
            <w:pPr>
              <w:pStyle w:val="84"/>
            </w:pPr>
          </w:p>
        </w:tc>
        <w:tc>
          <w:tcPr>
            <w:tcW w:w="1719" w:type="pct"/>
            <w:tcBorders>
              <w:tl2br w:val="nil"/>
              <w:tr2bl w:val="nil"/>
            </w:tcBorders>
            <w:tcMar>
              <w:top w:w="50" w:type="dxa"/>
              <w:left w:w="50" w:type="dxa"/>
              <w:bottom w:w="50" w:type="dxa"/>
              <w:right w:w="50" w:type="dxa"/>
            </w:tcMar>
            <w:vAlign w:val="center"/>
          </w:tcPr>
          <w:p w14:paraId="0F16FCA8">
            <w:pPr>
              <w:pStyle w:val="84"/>
              <w:jc w:val="both"/>
            </w:pPr>
            <w:r>
              <w:rPr>
                <w:rFonts w:hint="eastAsia"/>
              </w:rPr>
              <w:t>【工业废水污染控制措施要求】</w:t>
            </w:r>
          </w:p>
          <w:p w14:paraId="7FE76CF4">
            <w:pPr>
              <w:pStyle w:val="84"/>
              <w:jc w:val="both"/>
            </w:pPr>
            <w:r>
              <w:rPr>
                <w:rFonts w:hint="eastAsia"/>
              </w:rPr>
              <w:t>1、落实主要污染物排放总量指标控制要求，加强入河排污口登记、审批和监督管理。2、强化流域内工业点源、规模化畜禽养殖场运行监管，避免偷排、漏排。</w:t>
            </w:r>
          </w:p>
        </w:tc>
        <w:tc>
          <w:tcPr>
            <w:tcW w:w="1066" w:type="pct"/>
            <w:tcBorders>
              <w:tl2br w:val="nil"/>
              <w:tr2bl w:val="nil"/>
            </w:tcBorders>
            <w:tcMar>
              <w:top w:w="50" w:type="dxa"/>
              <w:left w:w="50" w:type="dxa"/>
              <w:bottom w:w="50" w:type="dxa"/>
              <w:right w:w="50" w:type="dxa"/>
            </w:tcMar>
            <w:vAlign w:val="center"/>
          </w:tcPr>
          <w:p w14:paraId="6C4BC81F">
            <w:pPr>
              <w:pStyle w:val="84"/>
              <w:jc w:val="both"/>
            </w:pPr>
            <w:r>
              <w:rPr>
                <w:rFonts w:hint="eastAsia"/>
              </w:rPr>
              <w:t>1、本项目不涉及废水直排；</w:t>
            </w:r>
          </w:p>
          <w:p w14:paraId="3249344A">
            <w:pPr>
              <w:pStyle w:val="84"/>
              <w:jc w:val="both"/>
            </w:pPr>
            <w:r>
              <w:rPr>
                <w:rFonts w:hint="eastAsia"/>
              </w:rPr>
              <w:t>2、项目生活污水经租赁民房现有污水处理设施处理后用作农肥，车辆冲洗废水经沉淀隔油处理后回用于道路洒水降尘，混凝土养护废水经沉淀池处理后回用于工序，基坑排水经沉淀处理后用于排入水体。</w:t>
            </w:r>
          </w:p>
        </w:tc>
        <w:tc>
          <w:tcPr>
            <w:tcW w:w="261" w:type="pct"/>
            <w:tcBorders>
              <w:tl2br w:val="nil"/>
              <w:tr2bl w:val="nil"/>
            </w:tcBorders>
            <w:tcMar>
              <w:top w:w="50" w:type="dxa"/>
              <w:left w:w="50" w:type="dxa"/>
              <w:bottom w:w="50" w:type="dxa"/>
              <w:right w:w="50" w:type="dxa"/>
            </w:tcMar>
            <w:vAlign w:val="center"/>
          </w:tcPr>
          <w:p w14:paraId="3D67CB6E">
            <w:pPr>
              <w:jc w:val="center"/>
            </w:pPr>
            <w:r>
              <w:rPr>
                <w:rFonts w:hint="eastAsia"/>
                <w:sz w:val="21"/>
                <w:szCs w:val="21"/>
              </w:rPr>
              <w:t>符合</w:t>
            </w:r>
          </w:p>
        </w:tc>
      </w:tr>
      <w:tr w14:paraId="396657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1D52DCB0">
            <w:pPr>
              <w:pStyle w:val="84"/>
            </w:pPr>
          </w:p>
        </w:tc>
        <w:tc>
          <w:tcPr>
            <w:tcW w:w="332" w:type="pct"/>
            <w:vMerge w:val="continue"/>
            <w:tcBorders>
              <w:tl2br w:val="nil"/>
              <w:tr2bl w:val="nil"/>
            </w:tcBorders>
            <w:tcMar>
              <w:top w:w="50" w:type="dxa"/>
              <w:left w:w="50" w:type="dxa"/>
              <w:bottom w:w="50" w:type="dxa"/>
              <w:right w:w="50" w:type="dxa"/>
            </w:tcMar>
            <w:vAlign w:val="center"/>
          </w:tcPr>
          <w:p w14:paraId="0EE91213">
            <w:pPr>
              <w:pStyle w:val="84"/>
            </w:pPr>
          </w:p>
        </w:tc>
        <w:tc>
          <w:tcPr>
            <w:tcW w:w="271" w:type="pct"/>
            <w:vMerge w:val="continue"/>
            <w:tcBorders>
              <w:tl2br w:val="nil"/>
              <w:tr2bl w:val="nil"/>
            </w:tcBorders>
            <w:tcMar>
              <w:top w:w="50" w:type="dxa"/>
              <w:left w:w="50" w:type="dxa"/>
              <w:bottom w:w="50" w:type="dxa"/>
              <w:right w:w="50" w:type="dxa"/>
            </w:tcMar>
            <w:vAlign w:val="center"/>
          </w:tcPr>
          <w:p w14:paraId="1E6716FB">
            <w:pPr>
              <w:pStyle w:val="84"/>
            </w:pPr>
          </w:p>
        </w:tc>
        <w:tc>
          <w:tcPr>
            <w:tcW w:w="221" w:type="pct"/>
            <w:vMerge w:val="continue"/>
            <w:tcBorders>
              <w:tl2br w:val="nil"/>
              <w:tr2bl w:val="nil"/>
            </w:tcBorders>
            <w:tcMar>
              <w:top w:w="50" w:type="dxa"/>
              <w:left w:w="50" w:type="dxa"/>
              <w:bottom w:w="50" w:type="dxa"/>
              <w:right w:w="50" w:type="dxa"/>
            </w:tcMar>
            <w:vAlign w:val="center"/>
          </w:tcPr>
          <w:p w14:paraId="73E957DF">
            <w:pPr>
              <w:pStyle w:val="84"/>
            </w:pPr>
          </w:p>
        </w:tc>
        <w:tc>
          <w:tcPr>
            <w:tcW w:w="246" w:type="pct"/>
            <w:vMerge w:val="continue"/>
            <w:tcBorders>
              <w:tl2br w:val="nil"/>
              <w:tr2bl w:val="nil"/>
            </w:tcBorders>
            <w:tcMar>
              <w:top w:w="50" w:type="dxa"/>
              <w:left w:w="50" w:type="dxa"/>
              <w:bottom w:w="50" w:type="dxa"/>
              <w:right w:w="50" w:type="dxa"/>
            </w:tcMar>
            <w:vAlign w:val="center"/>
          </w:tcPr>
          <w:p w14:paraId="59DD0B28">
            <w:pPr>
              <w:pStyle w:val="84"/>
            </w:pPr>
          </w:p>
        </w:tc>
        <w:tc>
          <w:tcPr>
            <w:tcW w:w="242" w:type="pct"/>
            <w:vMerge w:val="continue"/>
            <w:tcBorders>
              <w:tl2br w:val="nil"/>
              <w:tr2bl w:val="nil"/>
            </w:tcBorders>
            <w:tcMar>
              <w:top w:w="50" w:type="dxa"/>
              <w:left w:w="50" w:type="dxa"/>
              <w:bottom w:w="50" w:type="dxa"/>
              <w:right w:w="50" w:type="dxa"/>
            </w:tcMar>
            <w:vAlign w:val="center"/>
          </w:tcPr>
          <w:p w14:paraId="1001F532">
            <w:pPr>
              <w:pStyle w:val="84"/>
            </w:pPr>
          </w:p>
        </w:tc>
        <w:tc>
          <w:tcPr>
            <w:tcW w:w="362" w:type="pct"/>
            <w:vMerge w:val="continue"/>
            <w:tcBorders>
              <w:tl2br w:val="nil"/>
              <w:tr2bl w:val="nil"/>
            </w:tcBorders>
            <w:tcMar>
              <w:top w:w="50" w:type="dxa"/>
              <w:left w:w="50" w:type="dxa"/>
              <w:bottom w:w="50" w:type="dxa"/>
              <w:right w:w="50" w:type="dxa"/>
            </w:tcMar>
            <w:vAlign w:val="center"/>
          </w:tcPr>
          <w:p w14:paraId="362835B6">
            <w:pPr>
              <w:pStyle w:val="84"/>
            </w:pPr>
          </w:p>
        </w:tc>
        <w:tc>
          <w:tcPr>
            <w:tcW w:w="1719" w:type="pct"/>
            <w:tcBorders>
              <w:tl2br w:val="nil"/>
              <w:tr2bl w:val="nil"/>
            </w:tcBorders>
            <w:tcMar>
              <w:top w:w="50" w:type="dxa"/>
              <w:left w:w="50" w:type="dxa"/>
              <w:bottom w:w="50" w:type="dxa"/>
              <w:right w:w="50" w:type="dxa"/>
            </w:tcMar>
            <w:vAlign w:val="center"/>
          </w:tcPr>
          <w:p w14:paraId="3FA169F3">
            <w:pPr>
              <w:pStyle w:val="84"/>
              <w:jc w:val="both"/>
            </w:pPr>
            <w:r>
              <w:rPr>
                <w:rFonts w:hint="eastAsia"/>
              </w:rPr>
              <w:t>【农业面源水污染控制措施要求】</w:t>
            </w:r>
          </w:p>
          <w:p w14:paraId="2E6A5928">
            <w:pPr>
              <w:pStyle w:val="84"/>
              <w:numPr>
                <w:ilvl w:val="0"/>
                <w:numId w:val="12"/>
              </w:numPr>
              <w:jc w:val="both"/>
            </w:pPr>
            <w:r>
              <w:rPr>
                <w:rFonts w:hint="eastAsia"/>
              </w:rPr>
              <w:t>推进农村污染治理，稳步推进农村污水处理设施建设，适当预留发展空间，宜集中则集中，宜分散则分散。大力推进农村生活垃圾就地分类减量和资源化利用，因地制宜选择农村生活垃圾治理模式。严格做好“农家乐”、种植采摘园等范围内的生活及农产品产生污水及垃圾治理。</w:t>
            </w:r>
          </w:p>
          <w:p w14:paraId="40EB311E">
            <w:pPr>
              <w:pStyle w:val="84"/>
              <w:numPr>
                <w:ilvl w:val="0"/>
                <w:numId w:val="12"/>
              </w:numPr>
              <w:jc w:val="both"/>
            </w:pPr>
            <w:r>
              <w:rPr>
                <w:rFonts w:hint="eastAsia"/>
              </w:rPr>
              <w:t>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w:t>
            </w:r>
          </w:p>
          <w:p w14:paraId="19C820B8">
            <w:pPr>
              <w:pStyle w:val="84"/>
              <w:numPr>
                <w:ilvl w:val="0"/>
                <w:numId w:val="12"/>
              </w:numPr>
              <w:jc w:val="both"/>
            </w:pPr>
            <w:r>
              <w:rPr>
                <w:rFonts w:hint="eastAsia"/>
              </w:rPr>
              <w:t>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w:t>
            </w:r>
          </w:p>
          <w:p w14:paraId="2D9BFE00">
            <w:pPr>
              <w:pStyle w:val="84"/>
              <w:jc w:val="both"/>
            </w:pPr>
            <w:r>
              <w:rPr>
                <w:rFonts w:hint="eastAsia"/>
              </w:rPr>
              <w:t>4、推进化肥、农药使用量“零增长”，逐步推进农田径流拦截及治理。</w:t>
            </w:r>
          </w:p>
        </w:tc>
        <w:tc>
          <w:tcPr>
            <w:tcW w:w="1066" w:type="pct"/>
            <w:tcBorders>
              <w:tl2br w:val="nil"/>
              <w:tr2bl w:val="nil"/>
            </w:tcBorders>
            <w:tcMar>
              <w:top w:w="50" w:type="dxa"/>
              <w:left w:w="50" w:type="dxa"/>
              <w:bottom w:w="50" w:type="dxa"/>
              <w:right w:w="50" w:type="dxa"/>
            </w:tcMar>
            <w:vAlign w:val="center"/>
          </w:tcPr>
          <w:p w14:paraId="546C0098">
            <w:pPr>
              <w:pStyle w:val="84"/>
              <w:jc w:val="both"/>
            </w:pPr>
            <w:r>
              <w:rPr>
                <w:rFonts w:hint="eastAsia"/>
              </w:rPr>
              <w:t>1、项目生活污水经租赁民房现有污水处理设施处理后用作农肥；生活垃圾收集后由环卫单位清运处置；</w:t>
            </w:r>
          </w:p>
          <w:p w14:paraId="4E5FA2B5">
            <w:pPr>
              <w:pStyle w:val="84"/>
              <w:jc w:val="both"/>
            </w:pPr>
            <w:r>
              <w:rPr>
                <w:rFonts w:hint="eastAsia"/>
              </w:rPr>
              <w:t>2、本项目不涉及水产养殖；</w:t>
            </w:r>
          </w:p>
          <w:p w14:paraId="45F1CB47">
            <w:pPr>
              <w:pStyle w:val="84"/>
              <w:jc w:val="both"/>
            </w:pPr>
            <w:r>
              <w:rPr>
                <w:rFonts w:hint="eastAsia"/>
              </w:rPr>
              <w:t>3、本项目不涉及禽畜养殖；</w:t>
            </w:r>
          </w:p>
          <w:p w14:paraId="68102E3E">
            <w:pPr>
              <w:pStyle w:val="84"/>
              <w:jc w:val="both"/>
            </w:pPr>
            <w:r>
              <w:rPr>
                <w:rFonts w:hint="eastAsia"/>
              </w:rPr>
              <w:t>4、本项目不涉及化肥的使用。</w:t>
            </w:r>
          </w:p>
        </w:tc>
        <w:tc>
          <w:tcPr>
            <w:tcW w:w="261" w:type="pct"/>
            <w:tcBorders>
              <w:tl2br w:val="nil"/>
              <w:tr2bl w:val="nil"/>
            </w:tcBorders>
            <w:tcMar>
              <w:top w:w="50" w:type="dxa"/>
              <w:left w:w="50" w:type="dxa"/>
              <w:bottom w:w="50" w:type="dxa"/>
              <w:right w:w="50" w:type="dxa"/>
            </w:tcMar>
            <w:vAlign w:val="center"/>
          </w:tcPr>
          <w:p w14:paraId="4FCAFD5A">
            <w:pPr>
              <w:jc w:val="center"/>
            </w:pPr>
            <w:r>
              <w:rPr>
                <w:rFonts w:hint="eastAsia"/>
                <w:sz w:val="21"/>
                <w:szCs w:val="21"/>
              </w:rPr>
              <w:t>符合</w:t>
            </w:r>
          </w:p>
        </w:tc>
      </w:tr>
      <w:tr w14:paraId="0F1622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2626D3D6">
            <w:pPr>
              <w:pStyle w:val="84"/>
            </w:pPr>
          </w:p>
        </w:tc>
        <w:tc>
          <w:tcPr>
            <w:tcW w:w="332" w:type="pct"/>
            <w:vMerge w:val="continue"/>
            <w:tcBorders>
              <w:tl2br w:val="nil"/>
              <w:tr2bl w:val="nil"/>
            </w:tcBorders>
            <w:tcMar>
              <w:top w:w="50" w:type="dxa"/>
              <w:left w:w="50" w:type="dxa"/>
              <w:bottom w:w="50" w:type="dxa"/>
              <w:right w:w="50" w:type="dxa"/>
            </w:tcMar>
            <w:vAlign w:val="center"/>
          </w:tcPr>
          <w:p w14:paraId="3A99761C">
            <w:pPr>
              <w:pStyle w:val="84"/>
            </w:pPr>
          </w:p>
        </w:tc>
        <w:tc>
          <w:tcPr>
            <w:tcW w:w="271" w:type="pct"/>
            <w:vMerge w:val="continue"/>
            <w:tcBorders>
              <w:tl2br w:val="nil"/>
              <w:tr2bl w:val="nil"/>
            </w:tcBorders>
            <w:tcMar>
              <w:top w:w="50" w:type="dxa"/>
              <w:left w:w="50" w:type="dxa"/>
              <w:bottom w:w="50" w:type="dxa"/>
              <w:right w:w="50" w:type="dxa"/>
            </w:tcMar>
            <w:vAlign w:val="center"/>
          </w:tcPr>
          <w:p w14:paraId="2C54E0F2">
            <w:pPr>
              <w:pStyle w:val="84"/>
            </w:pPr>
          </w:p>
        </w:tc>
        <w:tc>
          <w:tcPr>
            <w:tcW w:w="221" w:type="pct"/>
            <w:vMerge w:val="continue"/>
            <w:tcBorders>
              <w:tl2br w:val="nil"/>
              <w:tr2bl w:val="nil"/>
            </w:tcBorders>
            <w:tcMar>
              <w:top w:w="50" w:type="dxa"/>
              <w:left w:w="50" w:type="dxa"/>
              <w:bottom w:w="50" w:type="dxa"/>
              <w:right w:w="50" w:type="dxa"/>
            </w:tcMar>
            <w:vAlign w:val="center"/>
          </w:tcPr>
          <w:p w14:paraId="4F467669">
            <w:pPr>
              <w:pStyle w:val="84"/>
            </w:pPr>
          </w:p>
        </w:tc>
        <w:tc>
          <w:tcPr>
            <w:tcW w:w="246" w:type="pct"/>
            <w:vMerge w:val="continue"/>
            <w:tcBorders>
              <w:tl2br w:val="nil"/>
              <w:tr2bl w:val="nil"/>
            </w:tcBorders>
            <w:tcMar>
              <w:top w:w="50" w:type="dxa"/>
              <w:left w:w="50" w:type="dxa"/>
              <w:bottom w:w="50" w:type="dxa"/>
              <w:right w:w="50" w:type="dxa"/>
            </w:tcMar>
            <w:vAlign w:val="center"/>
          </w:tcPr>
          <w:p w14:paraId="5D397375">
            <w:pPr>
              <w:pStyle w:val="84"/>
            </w:pPr>
          </w:p>
        </w:tc>
        <w:tc>
          <w:tcPr>
            <w:tcW w:w="242" w:type="pct"/>
            <w:vMerge w:val="continue"/>
            <w:tcBorders>
              <w:tl2br w:val="nil"/>
              <w:tr2bl w:val="nil"/>
            </w:tcBorders>
            <w:tcMar>
              <w:top w:w="50" w:type="dxa"/>
              <w:left w:w="50" w:type="dxa"/>
              <w:bottom w:w="50" w:type="dxa"/>
              <w:right w:w="50" w:type="dxa"/>
            </w:tcMar>
            <w:vAlign w:val="center"/>
          </w:tcPr>
          <w:p w14:paraId="000F3D21">
            <w:pPr>
              <w:pStyle w:val="84"/>
            </w:pPr>
          </w:p>
        </w:tc>
        <w:tc>
          <w:tcPr>
            <w:tcW w:w="362" w:type="pct"/>
            <w:tcBorders>
              <w:tl2br w:val="nil"/>
              <w:tr2bl w:val="nil"/>
            </w:tcBorders>
            <w:tcMar>
              <w:top w:w="50" w:type="dxa"/>
              <w:left w:w="50" w:type="dxa"/>
              <w:bottom w:w="50" w:type="dxa"/>
              <w:right w:w="50" w:type="dxa"/>
            </w:tcMar>
            <w:vAlign w:val="center"/>
          </w:tcPr>
          <w:p w14:paraId="63A8C47F">
            <w:pPr>
              <w:pStyle w:val="84"/>
            </w:pPr>
            <w:r>
              <w:rPr>
                <w:rFonts w:hint="eastAsia"/>
              </w:rPr>
              <w:t>环境风险防控</w:t>
            </w:r>
          </w:p>
        </w:tc>
        <w:tc>
          <w:tcPr>
            <w:tcW w:w="1719" w:type="pct"/>
            <w:tcBorders>
              <w:tl2br w:val="nil"/>
              <w:tr2bl w:val="nil"/>
            </w:tcBorders>
            <w:tcMar>
              <w:top w:w="50" w:type="dxa"/>
              <w:left w:w="50" w:type="dxa"/>
              <w:bottom w:w="50" w:type="dxa"/>
              <w:right w:w="50" w:type="dxa"/>
            </w:tcMar>
            <w:vAlign w:val="center"/>
          </w:tcPr>
          <w:p w14:paraId="5C872E1A">
            <w:pPr>
              <w:pStyle w:val="59"/>
              <w:jc w:val="both"/>
              <w:rPr>
                <w:rFonts w:cs="Times New Roman"/>
              </w:rPr>
            </w:pPr>
            <w:r>
              <w:rPr>
                <w:rFonts w:hint="eastAsia" w:cs="Times New Roman"/>
              </w:rPr>
              <w:t>进一步完善工业企业和矿山环境风险防范和管理体系建设，开展企业风险隐患排查与风险评估，增强企业的环境风险意识，守住环境安全底线。落实“一河一策一图”风险管理和应急响应方案，提升风险应急管理水平。</w:t>
            </w:r>
          </w:p>
        </w:tc>
        <w:tc>
          <w:tcPr>
            <w:tcW w:w="1066" w:type="pct"/>
            <w:tcBorders>
              <w:tl2br w:val="nil"/>
              <w:tr2bl w:val="nil"/>
            </w:tcBorders>
            <w:tcMar>
              <w:top w:w="50" w:type="dxa"/>
              <w:left w:w="50" w:type="dxa"/>
              <w:bottom w:w="50" w:type="dxa"/>
              <w:right w:w="50" w:type="dxa"/>
            </w:tcMar>
            <w:vAlign w:val="center"/>
          </w:tcPr>
          <w:p w14:paraId="49008D7C">
            <w:pPr>
              <w:pStyle w:val="84"/>
              <w:jc w:val="both"/>
            </w:pPr>
            <w:r>
              <w:rPr>
                <w:rFonts w:hint="eastAsia"/>
              </w:rPr>
              <w:t>本项目不属于矿山项目，项目施工过程中主要环境风险为废水未经处置直接外排，固废暂存过程中遗撒等，项目施工过程中未发生环境风险事故。</w:t>
            </w:r>
          </w:p>
        </w:tc>
        <w:tc>
          <w:tcPr>
            <w:tcW w:w="261" w:type="pct"/>
            <w:tcBorders>
              <w:tl2br w:val="nil"/>
              <w:tr2bl w:val="nil"/>
            </w:tcBorders>
            <w:tcMar>
              <w:top w:w="50" w:type="dxa"/>
              <w:left w:w="50" w:type="dxa"/>
              <w:bottom w:w="50" w:type="dxa"/>
              <w:right w:w="50" w:type="dxa"/>
            </w:tcMar>
            <w:vAlign w:val="center"/>
          </w:tcPr>
          <w:p w14:paraId="3540B96C">
            <w:pPr>
              <w:pStyle w:val="84"/>
            </w:pPr>
            <w:r>
              <w:rPr>
                <w:rFonts w:hint="eastAsia"/>
              </w:rPr>
              <w:t>符合</w:t>
            </w:r>
          </w:p>
        </w:tc>
      </w:tr>
      <w:tr w14:paraId="06F5A0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5F44BF85">
            <w:pPr>
              <w:pStyle w:val="84"/>
            </w:pPr>
          </w:p>
        </w:tc>
        <w:tc>
          <w:tcPr>
            <w:tcW w:w="332" w:type="pct"/>
            <w:vMerge w:val="continue"/>
            <w:tcBorders>
              <w:tl2br w:val="nil"/>
              <w:tr2bl w:val="nil"/>
            </w:tcBorders>
            <w:tcMar>
              <w:top w:w="50" w:type="dxa"/>
              <w:left w:w="50" w:type="dxa"/>
              <w:bottom w:w="50" w:type="dxa"/>
              <w:right w:w="50" w:type="dxa"/>
            </w:tcMar>
            <w:vAlign w:val="center"/>
          </w:tcPr>
          <w:p w14:paraId="6B742A7B">
            <w:pPr>
              <w:pStyle w:val="84"/>
            </w:pPr>
          </w:p>
        </w:tc>
        <w:tc>
          <w:tcPr>
            <w:tcW w:w="271" w:type="pct"/>
            <w:vMerge w:val="continue"/>
            <w:tcBorders>
              <w:tl2br w:val="nil"/>
              <w:tr2bl w:val="nil"/>
            </w:tcBorders>
            <w:tcMar>
              <w:top w:w="50" w:type="dxa"/>
              <w:left w:w="50" w:type="dxa"/>
              <w:bottom w:w="50" w:type="dxa"/>
              <w:right w:w="50" w:type="dxa"/>
            </w:tcMar>
            <w:vAlign w:val="center"/>
          </w:tcPr>
          <w:p w14:paraId="628E905E">
            <w:pPr>
              <w:pStyle w:val="84"/>
            </w:pPr>
          </w:p>
        </w:tc>
        <w:tc>
          <w:tcPr>
            <w:tcW w:w="221" w:type="pct"/>
            <w:vMerge w:val="continue"/>
            <w:tcBorders>
              <w:tl2br w:val="nil"/>
              <w:tr2bl w:val="nil"/>
            </w:tcBorders>
            <w:tcMar>
              <w:top w:w="50" w:type="dxa"/>
              <w:left w:w="50" w:type="dxa"/>
              <w:bottom w:w="50" w:type="dxa"/>
              <w:right w:w="50" w:type="dxa"/>
            </w:tcMar>
            <w:vAlign w:val="center"/>
          </w:tcPr>
          <w:p w14:paraId="12453E58">
            <w:pPr>
              <w:pStyle w:val="84"/>
            </w:pPr>
          </w:p>
        </w:tc>
        <w:tc>
          <w:tcPr>
            <w:tcW w:w="246" w:type="pct"/>
            <w:vMerge w:val="continue"/>
            <w:tcBorders>
              <w:tl2br w:val="nil"/>
              <w:tr2bl w:val="nil"/>
            </w:tcBorders>
            <w:tcMar>
              <w:top w:w="50" w:type="dxa"/>
              <w:left w:w="50" w:type="dxa"/>
              <w:bottom w:w="50" w:type="dxa"/>
              <w:right w:w="50" w:type="dxa"/>
            </w:tcMar>
            <w:vAlign w:val="center"/>
          </w:tcPr>
          <w:p w14:paraId="0575616E">
            <w:pPr>
              <w:pStyle w:val="84"/>
            </w:pPr>
          </w:p>
        </w:tc>
        <w:tc>
          <w:tcPr>
            <w:tcW w:w="242" w:type="pct"/>
            <w:vMerge w:val="continue"/>
            <w:tcBorders>
              <w:tl2br w:val="nil"/>
              <w:tr2bl w:val="nil"/>
            </w:tcBorders>
            <w:tcMar>
              <w:top w:w="50" w:type="dxa"/>
              <w:left w:w="50" w:type="dxa"/>
              <w:bottom w:w="50" w:type="dxa"/>
              <w:right w:w="50" w:type="dxa"/>
            </w:tcMar>
            <w:vAlign w:val="center"/>
          </w:tcPr>
          <w:p w14:paraId="032779EE">
            <w:pPr>
              <w:pStyle w:val="84"/>
            </w:pPr>
          </w:p>
        </w:tc>
        <w:tc>
          <w:tcPr>
            <w:tcW w:w="362" w:type="pct"/>
            <w:tcBorders>
              <w:tl2br w:val="nil"/>
              <w:tr2bl w:val="nil"/>
            </w:tcBorders>
            <w:tcMar>
              <w:top w:w="50" w:type="dxa"/>
              <w:left w:w="50" w:type="dxa"/>
              <w:bottom w:w="50" w:type="dxa"/>
              <w:right w:w="50" w:type="dxa"/>
            </w:tcMar>
            <w:vAlign w:val="center"/>
          </w:tcPr>
          <w:p w14:paraId="1C7D3F15">
            <w:pPr>
              <w:pStyle w:val="84"/>
            </w:pPr>
            <w:r>
              <w:rPr>
                <w:rFonts w:hint="eastAsia"/>
              </w:rPr>
              <w:t>资源开发利用效率要求</w:t>
            </w:r>
          </w:p>
        </w:tc>
        <w:tc>
          <w:tcPr>
            <w:tcW w:w="1719" w:type="pct"/>
            <w:tcBorders>
              <w:tl2br w:val="nil"/>
              <w:tr2bl w:val="nil"/>
            </w:tcBorders>
            <w:tcMar>
              <w:top w:w="50" w:type="dxa"/>
              <w:left w:w="50" w:type="dxa"/>
              <w:bottom w:w="50" w:type="dxa"/>
              <w:right w:w="50" w:type="dxa"/>
            </w:tcMar>
            <w:vAlign w:val="center"/>
          </w:tcPr>
          <w:p w14:paraId="0BE9D523">
            <w:pPr>
              <w:pStyle w:val="59"/>
              <w:jc w:val="both"/>
              <w:rPr>
                <w:rFonts w:cs="Times New Roman"/>
              </w:rPr>
            </w:pPr>
            <w:r>
              <w:rPr>
                <w:rFonts w:hint="eastAsia" w:cs="Times New Roman"/>
              </w:rPr>
              <w:t>强化种植业节水；推进农村污水分质资源化利用。</w:t>
            </w:r>
          </w:p>
        </w:tc>
        <w:tc>
          <w:tcPr>
            <w:tcW w:w="1066" w:type="pct"/>
            <w:tcBorders>
              <w:tl2br w:val="nil"/>
              <w:tr2bl w:val="nil"/>
            </w:tcBorders>
            <w:tcMar>
              <w:top w:w="50" w:type="dxa"/>
              <w:left w:w="50" w:type="dxa"/>
              <w:bottom w:w="50" w:type="dxa"/>
              <w:right w:w="50" w:type="dxa"/>
            </w:tcMar>
            <w:vAlign w:val="center"/>
          </w:tcPr>
          <w:p w14:paraId="24A2554A">
            <w:pPr>
              <w:pStyle w:val="84"/>
              <w:jc w:val="both"/>
            </w:pPr>
            <w:r>
              <w:rPr>
                <w:rFonts w:hint="eastAsia"/>
              </w:rPr>
              <w:t>本项目不涉及。</w:t>
            </w:r>
          </w:p>
        </w:tc>
        <w:tc>
          <w:tcPr>
            <w:tcW w:w="261" w:type="pct"/>
            <w:tcBorders>
              <w:tl2br w:val="nil"/>
              <w:tr2bl w:val="nil"/>
            </w:tcBorders>
            <w:tcMar>
              <w:top w:w="50" w:type="dxa"/>
              <w:left w:w="50" w:type="dxa"/>
              <w:bottom w:w="50" w:type="dxa"/>
              <w:right w:w="50" w:type="dxa"/>
            </w:tcMar>
            <w:vAlign w:val="center"/>
          </w:tcPr>
          <w:p w14:paraId="02AECCDB">
            <w:pPr>
              <w:pStyle w:val="84"/>
            </w:pPr>
            <w:r>
              <w:rPr>
                <w:rFonts w:hint="eastAsia"/>
              </w:rPr>
              <w:t>符合</w:t>
            </w:r>
          </w:p>
        </w:tc>
      </w:tr>
      <w:tr w14:paraId="3DE10C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restart"/>
            <w:tcBorders>
              <w:tl2br w:val="nil"/>
              <w:tr2bl w:val="nil"/>
            </w:tcBorders>
            <w:tcMar>
              <w:top w:w="50" w:type="dxa"/>
              <w:left w:w="50" w:type="dxa"/>
              <w:bottom w:w="50" w:type="dxa"/>
              <w:right w:w="50" w:type="dxa"/>
            </w:tcMar>
            <w:vAlign w:val="center"/>
          </w:tcPr>
          <w:p w14:paraId="1812E93D">
            <w:pPr>
              <w:pStyle w:val="59"/>
              <w:rPr>
                <w:rFonts w:cs="Times New Roman"/>
              </w:rPr>
            </w:pPr>
            <w:r>
              <w:rPr>
                <w:rFonts w:cs="Times New Roman"/>
              </w:rPr>
              <w:t>YS5133223310001</w:t>
            </w:r>
          </w:p>
        </w:tc>
        <w:tc>
          <w:tcPr>
            <w:tcW w:w="332" w:type="pct"/>
            <w:vMerge w:val="restart"/>
            <w:tcBorders>
              <w:tl2br w:val="nil"/>
              <w:tr2bl w:val="nil"/>
            </w:tcBorders>
            <w:tcMar>
              <w:top w:w="50" w:type="dxa"/>
              <w:left w:w="50" w:type="dxa"/>
              <w:bottom w:w="50" w:type="dxa"/>
              <w:right w:w="50" w:type="dxa"/>
            </w:tcMar>
            <w:vAlign w:val="center"/>
          </w:tcPr>
          <w:p w14:paraId="288A9607">
            <w:pPr>
              <w:pStyle w:val="59"/>
              <w:rPr>
                <w:rFonts w:cs="Times New Roman"/>
              </w:rPr>
            </w:pPr>
            <w:r>
              <w:rPr>
                <w:rFonts w:hint="eastAsia" w:cs="Times New Roman"/>
              </w:rPr>
              <w:t>泸定县大气环境一般管控区</w:t>
            </w:r>
          </w:p>
        </w:tc>
        <w:tc>
          <w:tcPr>
            <w:tcW w:w="271" w:type="pct"/>
            <w:vMerge w:val="restart"/>
            <w:tcBorders>
              <w:tl2br w:val="nil"/>
              <w:tr2bl w:val="nil"/>
            </w:tcBorders>
            <w:tcMar>
              <w:top w:w="50" w:type="dxa"/>
              <w:left w:w="50" w:type="dxa"/>
              <w:bottom w:w="50" w:type="dxa"/>
              <w:right w:w="50" w:type="dxa"/>
            </w:tcMar>
            <w:vAlign w:val="center"/>
          </w:tcPr>
          <w:p w14:paraId="67AA6312">
            <w:pPr>
              <w:pStyle w:val="59"/>
              <w:rPr>
                <w:rFonts w:cs="Times New Roman"/>
              </w:rPr>
            </w:pPr>
            <w:r>
              <w:rPr>
                <w:rFonts w:hint="eastAsia" w:cs="Times New Roman"/>
              </w:rPr>
              <w:t>一般管控区</w:t>
            </w:r>
          </w:p>
        </w:tc>
        <w:tc>
          <w:tcPr>
            <w:tcW w:w="221" w:type="pct"/>
            <w:vMerge w:val="restart"/>
            <w:tcBorders>
              <w:tl2br w:val="nil"/>
              <w:tr2bl w:val="nil"/>
            </w:tcBorders>
            <w:tcMar>
              <w:top w:w="50" w:type="dxa"/>
              <w:left w:w="50" w:type="dxa"/>
              <w:bottom w:w="50" w:type="dxa"/>
              <w:right w:w="50" w:type="dxa"/>
            </w:tcMar>
            <w:vAlign w:val="center"/>
          </w:tcPr>
          <w:p w14:paraId="0EA7878A">
            <w:pPr>
              <w:pStyle w:val="59"/>
              <w:rPr>
                <w:rFonts w:cs="Times New Roman"/>
              </w:rPr>
            </w:pPr>
            <w:r>
              <w:rPr>
                <w:rFonts w:hint="eastAsia" w:cs="Times New Roman"/>
              </w:rPr>
              <w:t>大气</w:t>
            </w:r>
          </w:p>
        </w:tc>
        <w:tc>
          <w:tcPr>
            <w:tcW w:w="246" w:type="pct"/>
            <w:vMerge w:val="restart"/>
            <w:tcBorders>
              <w:tl2br w:val="nil"/>
              <w:tr2bl w:val="nil"/>
            </w:tcBorders>
            <w:tcMar>
              <w:top w:w="50" w:type="dxa"/>
              <w:left w:w="50" w:type="dxa"/>
              <w:bottom w:w="50" w:type="dxa"/>
              <w:right w:w="50" w:type="dxa"/>
            </w:tcMar>
            <w:vAlign w:val="center"/>
          </w:tcPr>
          <w:p w14:paraId="4C077AC5">
            <w:pPr>
              <w:pStyle w:val="59"/>
              <w:rPr>
                <w:rFonts w:cs="Times New Roman"/>
              </w:rPr>
            </w:pPr>
            <w:r>
              <w:rPr>
                <w:rFonts w:hint="eastAsia" w:cs="Times New Roman"/>
              </w:rPr>
              <w:t>大气环境一般管控区</w:t>
            </w:r>
          </w:p>
        </w:tc>
        <w:tc>
          <w:tcPr>
            <w:tcW w:w="242" w:type="pct"/>
            <w:vMerge w:val="restart"/>
            <w:tcBorders>
              <w:tl2br w:val="nil"/>
              <w:tr2bl w:val="nil"/>
            </w:tcBorders>
            <w:tcMar>
              <w:top w:w="50" w:type="dxa"/>
              <w:left w:w="50" w:type="dxa"/>
              <w:bottom w:w="50" w:type="dxa"/>
              <w:right w:w="50" w:type="dxa"/>
            </w:tcMar>
            <w:vAlign w:val="center"/>
          </w:tcPr>
          <w:p w14:paraId="55FDB5E6">
            <w:pPr>
              <w:pStyle w:val="59"/>
              <w:rPr>
                <w:rFonts w:cs="Times New Roman"/>
              </w:rPr>
            </w:pPr>
            <w:r>
              <w:rPr>
                <w:rFonts w:hint="eastAsia" w:cs="Times New Roman"/>
              </w:rPr>
              <w:t>甘孜藏族自治州泸定县</w:t>
            </w:r>
          </w:p>
        </w:tc>
        <w:tc>
          <w:tcPr>
            <w:tcW w:w="362" w:type="pct"/>
            <w:tcBorders>
              <w:tl2br w:val="nil"/>
              <w:tr2bl w:val="nil"/>
            </w:tcBorders>
            <w:tcMar>
              <w:top w:w="50" w:type="dxa"/>
              <w:left w:w="50" w:type="dxa"/>
              <w:bottom w:w="50" w:type="dxa"/>
              <w:right w:w="50" w:type="dxa"/>
            </w:tcMar>
            <w:vAlign w:val="center"/>
          </w:tcPr>
          <w:p w14:paraId="01382CB3">
            <w:pPr>
              <w:pStyle w:val="84"/>
            </w:pPr>
            <w:r>
              <w:rPr>
                <w:rFonts w:hint="eastAsia"/>
              </w:rPr>
              <w:t>空间布局约束</w:t>
            </w:r>
          </w:p>
        </w:tc>
        <w:tc>
          <w:tcPr>
            <w:tcW w:w="1719" w:type="pct"/>
            <w:tcBorders>
              <w:tl2br w:val="nil"/>
              <w:tr2bl w:val="nil"/>
            </w:tcBorders>
            <w:tcMar>
              <w:top w:w="50" w:type="dxa"/>
              <w:left w:w="50" w:type="dxa"/>
              <w:bottom w:w="50" w:type="dxa"/>
              <w:right w:w="50" w:type="dxa"/>
            </w:tcMar>
            <w:vAlign w:val="center"/>
          </w:tcPr>
          <w:p w14:paraId="631770F8">
            <w:pPr>
              <w:pStyle w:val="84"/>
            </w:pPr>
            <w:r>
              <w:t>/</w:t>
            </w:r>
          </w:p>
        </w:tc>
        <w:tc>
          <w:tcPr>
            <w:tcW w:w="1066" w:type="pct"/>
            <w:tcBorders>
              <w:tl2br w:val="nil"/>
              <w:tr2bl w:val="nil"/>
            </w:tcBorders>
            <w:tcMar>
              <w:top w:w="50" w:type="dxa"/>
              <w:left w:w="50" w:type="dxa"/>
              <w:bottom w:w="50" w:type="dxa"/>
              <w:right w:w="50" w:type="dxa"/>
            </w:tcMar>
            <w:vAlign w:val="center"/>
          </w:tcPr>
          <w:p w14:paraId="1555BECD">
            <w:pPr>
              <w:pStyle w:val="84"/>
            </w:pPr>
            <w:r>
              <w:t>/</w:t>
            </w:r>
          </w:p>
        </w:tc>
        <w:tc>
          <w:tcPr>
            <w:tcW w:w="261" w:type="pct"/>
            <w:tcBorders>
              <w:tl2br w:val="nil"/>
              <w:tr2bl w:val="nil"/>
            </w:tcBorders>
            <w:tcMar>
              <w:top w:w="50" w:type="dxa"/>
              <w:left w:w="50" w:type="dxa"/>
              <w:bottom w:w="50" w:type="dxa"/>
              <w:right w:w="50" w:type="dxa"/>
            </w:tcMar>
            <w:vAlign w:val="center"/>
          </w:tcPr>
          <w:p w14:paraId="15858236">
            <w:pPr>
              <w:pStyle w:val="84"/>
            </w:pPr>
            <w:r>
              <w:t>/</w:t>
            </w:r>
          </w:p>
        </w:tc>
      </w:tr>
      <w:tr w14:paraId="4A7A25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7DB82DF0">
            <w:pPr>
              <w:pStyle w:val="84"/>
            </w:pPr>
          </w:p>
        </w:tc>
        <w:tc>
          <w:tcPr>
            <w:tcW w:w="332" w:type="pct"/>
            <w:vMerge w:val="continue"/>
            <w:tcBorders>
              <w:tl2br w:val="nil"/>
              <w:tr2bl w:val="nil"/>
            </w:tcBorders>
            <w:tcMar>
              <w:top w:w="50" w:type="dxa"/>
              <w:left w:w="50" w:type="dxa"/>
              <w:bottom w:w="50" w:type="dxa"/>
              <w:right w:w="50" w:type="dxa"/>
            </w:tcMar>
            <w:vAlign w:val="center"/>
          </w:tcPr>
          <w:p w14:paraId="1DC74959">
            <w:pPr>
              <w:pStyle w:val="84"/>
            </w:pPr>
          </w:p>
        </w:tc>
        <w:tc>
          <w:tcPr>
            <w:tcW w:w="271" w:type="pct"/>
            <w:vMerge w:val="continue"/>
            <w:tcBorders>
              <w:tl2br w:val="nil"/>
              <w:tr2bl w:val="nil"/>
            </w:tcBorders>
            <w:tcMar>
              <w:top w:w="50" w:type="dxa"/>
              <w:left w:w="50" w:type="dxa"/>
              <w:bottom w:w="50" w:type="dxa"/>
              <w:right w:w="50" w:type="dxa"/>
            </w:tcMar>
            <w:vAlign w:val="center"/>
          </w:tcPr>
          <w:p w14:paraId="0155AA3C">
            <w:pPr>
              <w:pStyle w:val="84"/>
            </w:pPr>
          </w:p>
        </w:tc>
        <w:tc>
          <w:tcPr>
            <w:tcW w:w="221" w:type="pct"/>
            <w:vMerge w:val="continue"/>
            <w:tcBorders>
              <w:tl2br w:val="nil"/>
              <w:tr2bl w:val="nil"/>
            </w:tcBorders>
            <w:tcMar>
              <w:top w:w="50" w:type="dxa"/>
              <w:left w:w="50" w:type="dxa"/>
              <w:bottom w:w="50" w:type="dxa"/>
              <w:right w:w="50" w:type="dxa"/>
            </w:tcMar>
            <w:vAlign w:val="center"/>
          </w:tcPr>
          <w:p w14:paraId="4E707D8A">
            <w:pPr>
              <w:pStyle w:val="84"/>
            </w:pPr>
          </w:p>
        </w:tc>
        <w:tc>
          <w:tcPr>
            <w:tcW w:w="246" w:type="pct"/>
            <w:vMerge w:val="continue"/>
            <w:tcBorders>
              <w:tl2br w:val="nil"/>
              <w:tr2bl w:val="nil"/>
            </w:tcBorders>
            <w:tcMar>
              <w:top w:w="50" w:type="dxa"/>
              <w:left w:w="50" w:type="dxa"/>
              <w:bottom w:w="50" w:type="dxa"/>
              <w:right w:w="50" w:type="dxa"/>
            </w:tcMar>
            <w:vAlign w:val="center"/>
          </w:tcPr>
          <w:p w14:paraId="4C8CE462">
            <w:pPr>
              <w:pStyle w:val="84"/>
            </w:pPr>
          </w:p>
        </w:tc>
        <w:tc>
          <w:tcPr>
            <w:tcW w:w="242" w:type="pct"/>
            <w:vMerge w:val="continue"/>
            <w:tcBorders>
              <w:tl2br w:val="nil"/>
              <w:tr2bl w:val="nil"/>
            </w:tcBorders>
            <w:tcMar>
              <w:top w:w="50" w:type="dxa"/>
              <w:left w:w="50" w:type="dxa"/>
              <w:bottom w:w="50" w:type="dxa"/>
              <w:right w:w="50" w:type="dxa"/>
            </w:tcMar>
            <w:vAlign w:val="center"/>
          </w:tcPr>
          <w:p w14:paraId="54227352">
            <w:pPr>
              <w:pStyle w:val="84"/>
            </w:pPr>
          </w:p>
        </w:tc>
        <w:tc>
          <w:tcPr>
            <w:tcW w:w="362" w:type="pct"/>
            <w:tcBorders>
              <w:tl2br w:val="nil"/>
              <w:tr2bl w:val="nil"/>
            </w:tcBorders>
            <w:tcMar>
              <w:top w:w="50" w:type="dxa"/>
              <w:left w:w="50" w:type="dxa"/>
              <w:bottom w:w="50" w:type="dxa"/>
              <w:right w:w="50" w:type="dxa"/>
            </w:tcMar>
            <w:vAlign w:val="center"/>
          </w:tcPr>
          <w:p w14:paraId="48AEE3F6">
            <w:pPr>
              <w:pStyle w:val="84"/>
            </w:pPr>
            <w:r>
              <w:rPr>
                <w:rFonts w:hint="eastAsia"/>
              </w:rPr>
              <w:t>污染物排放管控</w:t>
            </w:r>
          </w:p>
        </w:tc>
        <w:tc>
          <w:tcPr>
            <w:tcW w:w="1719" w:type="pct"/>
            <w:tcBorders>
              <w:tl2br w:val="nil"/>
              <w:tr2bl w:val="nil"/>
            </w:tcBorders>
            <w:tcMar>
              <w:top w:w="50" w:type="dxa"/>
              <w:left w:w="50" w:type="dxa"/>
              <w:bottom w:w="50" w:type="dxa"/>
              <w:right w:w="50" w:type="dxa"/>
            </w:tcMar>
            <w:vAlign w:val="center"/>
          </w:tcPr>
          <w:p w14:paraId="786C1FAB">
            <w:pPr>
              <w:pStyle w:val="84"/>
              <w:jc w:val="both"/>
            </w:pPr>
            <w:r>
              <w:rPr>
                <w:rFonts w:hint="eastAsia"/>
              </w:rPr>
              <w:t>【其他大气污染物排放管控要求】</w:t>
            </w:r>
          </w:p>
          <w:p w14:paraId="6707D203">
            <w:pPr>
              <w:pStyle w:val="84"/>
              <w:jc w:val="both"/>
            </w:pPr>
            <w:r>
              <w:rPr>
                <w:rFonts w:hint="eastAsia"/>
              </w:rPr>
              <w:t>减少工业化、城镇化对大气环境的影响，严格执行国家、省、市下达的相关大气污染防治要求。</w:t>
            </w:r>
          </w:p>
        </w:tc>
        <w:tc>
          <w:tcPr>
            <w:tcW w:w="1066" w:type="pct"/>
            <w:tcBorders>
              <w:tl2br w:val="nil"/>
              <w:tr2bl w:val="nil"/>
            </w:tcBorders>
            <w:tcMar>
              <w:top w:w="50" w:type="dxa"/>
              <w:left w:w="50" w:type="dxa"/>
              <w:bottom w:w="50" w:type="dxa"/>
              <w:right w:w="50" w:type="dxa"/>
            </w:tcMar>
            <w:vAlign w:val="center"/>
          </w:tcPr>
          <w:p w14:paraId="3210B6B3">
            <w:pPr>
              <w:pStyle w:val="84"/>
              <w:jc w:val="both"/>
            </w:pPr>
            <w:r>
              <w:rPr>
                <w:rFonts w:hint="eastAsia"/>
              </w:rPr>
              <w:t>项目废气主要为施工过程中的扬尘、机械燃油废气，扬尘主要通过洒水降尘进行治理，施工机械使用清洁能源等。</w:t>
            </w:r>
          </w:p>
        </w:tc>
        <w:tc>
          <w:tcPr>
            <w:tcW w:w="261" w:type="pct"/>
            <w:tcBorders>
              <w:tl2br w:val="nil"/>
              <w:tr2bl w:val="nil"/>
            </w:tcBorders>
            <w:tcMar>
              <w:top w:w="50" w:type="dxa"/>
              <w:left w:w="50" w:type="dxa"/>
              <w:bottom w:w="50" w:type="dxa"/>
              <w:right w:w="50" w:type="dxa"/>
            </w:tcMar>
            <w:vAlign w:val="center"/>
          </w:tcPr>
          <w:p w14:paraId="463DC34C">
            <w:pPr>
              <w:pStyle w:val="84"/>
            </w:pPr>
            <w:r>
              <w:rPr>
                <w:rFonts w:hint="eastAsia"/>
              </w:rPr>
              <w:t>符合</w:t>
            </w:r>
          </w:p>
        </w:tc>
      </w:tr>
      <w:tr w14:paraId="3D8E42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4AF8F439">
            <w:pPr>
              <w:pStyle w:val="84"/>
            </w:pPr>
          </w:p>
        </w:tc>
        <w:tc>
          <w:tcPr>
            <w:tcW w:w="332" w:type="pct"/>
            <w:vMerge w:val="continue"/>
            <w:tcBorders>
              <w:tl2br w:val="nil"/>
              <w:tr2bl w:val="nil"/>
            </w:tcBorders>
            <w:tcMar>
              <w:top w:w="50" w:type="dxa"/>
              <w:left w:w="50" w:type="dxa"/>
              <w:bottom w:w="50" w:type="dxa"/>
              <w:right w:w="50" w:type="dxa"/>
            </w:tcMar>
            <w:vAlign w:val="center"/>
          </w:tcPr>
          <w:p w14:paraId="4BBDFD75">
            <w:pPr>
              <w:pStyle w:val="84"/>
            </w:pPr>
          </w:p>
        </w:tc>
        <w:tc>
          <w:tcPr>
            <w:tcW w:w="271" w:type="pct"/>
            <w:vMerge w:val="continue"/>
            <w:tcBorders>
              <w:tl2br w:val="nil"/>
              <w:tr2bl w:val="nil"/>
            </w:tcBorders>
            <w:tcMar>
              <w:top w:w="50" w:type="dxa"/>
              <w:left w:w="50" w:type="dxa"/>
              <w:bottom w:w="50" w:type="dxa"/>
              <w:right w:w="50" w:type="dxa"/>
            </w:tcMar>
            <w:vAlign w:val="center"/>
          </w:tcPr>
          <w:p w14:paraId="52B147AC">
            <w:pPr>
              <w:pStyle w:val="84"/>
            </w:pPr>
          </w:p>
        </w:tc>
        <w:tc>
          <w:tcPr>
            <w:tcW w:w="221" w:type="pct"/>
            <w:vMerge w:val="continue"/>
            <w:tcBorders>
              <w:tl2br w:val="nil"/>
              <w:tr2bl w:val="nil"/>
            </w:tcBorders>
            <w:tcMar>
              <w:top w:w="50" w:type="dxa"/>
              <w:left w:w="50" w:type="dxa"/>
              <w:bottom w:w="50" w:type="dxa"/>
              <w:right w:w="50" w:type="dxa"/>
            </w:tcMar>
            <w:vAlign w:val="center"/>
          </w:tcPr>
          <w:p w14:paraId="761766F9">
            <w:pPr>
              <w:pStyle w:val="84"/>
            </w:pPr>
          </w:p>
        </w:tc>
        <w:tc>
          <w:tcPr>
            <w:tcW w:w="246" w:type="pct"/>
            <w:vMerge w:val="continue"/>
            <w:tcBorders>
              <w:tl2br w:val="nil"/>
              <w:tr2bl w:val="nil"/>
            </w:tcBorders>
            <w:tcMar>
              <w:top w:w="50" w:type="dxa"/>
              <w:left w:w="50" w:type="dxa"/>
              <w:bottom w:w="50" w:type="dxa"/>
              <w:right w:w="50" w:type="dxa"/>
            </w:tcMar>
            <w:vAlign w:val="center"/>
          </w:tcPr>
          <w:p w14:paraId="7AD66852">
            <w:pPr>
              <w:pStyle w:val="84"/>
            </w:pPr>
          </w:p>
        </w:tc>
        <w:tc>
          <w:tcPr>
            <w:tcW w:w="242" w:type="pct"/>
            <w:vMerge w:val="continue"/>
            <w:tcBorders>
              <w:tl2br w:val="nil"/>
              <w:tr2bl w:val="nil"/>
            </w:tcBorders>
            <w:tcMar>
              <w:top w:w="50" w:type="dxa"/>
              <w:left w:w="50" w:type="dxa"/>
              <w:bottom w:w="50" w:type="dxa"/>
              <w:right w:w="50" w:type="dxa"/>
            </w:tcMar>
            <w:vAlign w:val="center"/>
          </w:tcPr>
          <w:p w14:paraId="0E6D1A63">
            <w:pPr>
              <w:pStyle w:val="84"/>
            </w:pPr>
          </w:p>
        </w:tc>
        <w:tc>
          <w:tcPr>
            <w:tcW w:w="362" w:type="pct"/>
            <w:tcBorders>
              <w:tl2br w:val="nil"/>
              <w:tr2bl w:val="nil"/>
            </w:tcBorders>
            <w:tcMar>
              <w:top w:w="50" w:type="dxa"/>
              <w:left w:w="50" w:type="dxa"/>
              <w:bottom w:w="50" w:type="dxa"/>
              <w:right w:w="50" w:type="dxa"/>
            </w:tcMar>
            <w:vAlign w:val="center"/>
          </w:tcPr>
          <w:p w14:paraId="0A9A008A">
            <w:pPr>
              <w:pStyle w:val="84"/>
            </w:pPr>
            <w:r>
              <w:rPr>
                <w:rFonts w:hint="eastAsia"/>
              </w:rPr>
              <w:t>环境风险防控</w:t>
            </w:r>
          </w:p>
        </w:tc>
        <w:tc>
          <w:tcPr>
            <w:tcW w:w="1719" w:type="pct"/>
            <w:tcBorders>
              <w:tl2br w:val="nil"/>
              <w:tr2bl w:val="nil"/>
            </w:tcBorders>
            <w:tcMar>
              <w:top w:w="50" w:type="dxa"/>
              <w:left w:w="50" w:type="dxa"/>
              <w:bottom w:w="50" w:type="dxa"/>
              <w:right w:w="50" w:type="dxa"/>
            </w:tcMar>
            <w:vAlign w:val="center"/>
          </w:tcPr>
          <w:p w14:paraId="511366EE">
            <w:pPr>
              <w:pStyle w:val="84"/>
            </w:pPr>
            <w:r>
              <w:t>/</w:t>
            </w:r>
          </w:p>
        </w:tc>
        <w:tc>
          <w:tcPr>
            <w:tcW w:w="1066" w:type="pct"/>
            <w:tcBorders>
              <w:tl2br w:val="nil"/>
              <w:tr2bl w:val="nil"/>
            </w:tcBorders>
            <w:tcMar>
              <w:top w:w="50" w:type="dxa"/>
              <w:left w:w="50" w:type="dxa"/>
              <w:bottom w:w="50" w:type="dxa"/>
              <w:right w:w="50" w:type="dxa"/>
            </w:tcMar>
            <w:vAlign w:val="center"/>
          </w:tcPr>
          <w:p w14:paraId="70608629">
            <w:pPr>
              <w:pStyle w:val="84"/>
            </w:pPr>
            <w:r>
              <w:t>/</w:t>
            </w:r>
          </w:p>
        </w:tc>
        <w:tc>
          <w:tcPr>
            <w:tcW w:w="261" w:type="pct"/>
            <w:tcBorders>
              <w:tl2br w:val="nil"/>
              <w:tr2bl w:val="nil"/>
            </w:tcBorders>
            <w:tcMar>
              <w:top w:w="50" w:type="dxa"/>
              <w:left w:w="50" w:type="dxa"/>
              <w:bottom w:w="50" w:type="dxa"/>
              <w:right w:w="50" w:type="dxa"/>
            </w:tcMar>
            <w:vAlign w:val="center"/>
          </w:tcPr>
          <w:p w14:paraId="4207BA98">
            <w:pPr>
              <w:pStyle w:val="84"/>
            </w:pPr>
            <w:r>
              <w:t>/</w:t>
            </w:r>
          </w:p>
        </w:tc>
      </w:tr>
      <w:tr w14:paraId="123DA9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c>
          <w:tcPr>
            <w:tcW w:w="274" w:type="pct"/>
            <w:vMerge w:val="continue"/>
            <w:tcBorders>
              <w:tl2br w:val="nil"/>
              <w:tr2bl w:val="nil"/>
            </w:tcBorders>
            <w:tcMar>
              <w:top w:w="50" w:type="dxa"/>
              <w:left w:w="50" w:type="dxa"/>
              <w:bottom w:w="50" w:type="dxa"/>
              <w:right w:w="50" w:type="dxa"/>
            </w:tcMar>
            <w:vAlign w:val="center"/>
          </w:tcPr>
          <w:p w14:paraId="15887E42">
            <w:pPr>
              <w:pStyle w:val="84"/>
            </w:pPr>
          </w:p>
        </w:tc>
        <w:tc>
          <w:tcPr>
            <w:tcW w:w="332" w:type="pct"/>
            <w:vMerge w:val="continue"/>
            <w:tcBorders>
              <w:tl2br w:val="nil"/>
              <w:tr2bl w:val="nil"/>
            </w:tcBorders>
            <w:tcMar>
              <w:top w:w="50" w:type="dxa"/>
              <w:left w:w="50" w:type="dxa"/>
              <w:bottom w:w="50" w:type="dxa"/>
              <w:right w:w="50" w:type="dxa"/>
            </w:tcMar>
            <w:vAlign w:val="center"/>
          </w:tcPr>
          <w:p w14:paraId="306070C9">
            <w:pPr>
              <w:pStyle w:val="84"/>
            </w:pPr>
          </w:p>
        </w:tc>
        <w:tc>
          <w:tcPr>
            <w:tcW w:w="271" w:type="pct"/>
            <w:vMerge w:val="continue"/>
            <w:tcBorders>
              <w:tl2br w:val="nil"/>
              <w:tr2bl w:val="nil"/>
            </w:tcBorders>
            <w:tcMar>
              <w:top w:w="50" w:type="dxa"/>
              <w:left w:w="50" w:type="dxa"/>
              <w:bottom w:w="50" w:type="dxa"/>
              <w:right w:w="50" w:type="dxa"/>
            </w:tcMar>
            <w:vAlign w:val="center"/>
          </w:tcPr>
          <w:p w14:paraId="7ED39B71">
            <w:pPr>
              <w:pStyle w:val="84"/>
            </w:pPr>
          </w:p>
        </w:tc>
        <w:tc>
          <w:tcPr>
            <w:tcW w:w="221" w:type="pct"/>
            <w:vMerge w:val="continue"/>
            <w:tcBorders>
              <w:tl2br w:val="nil"/>
              <w:tr2bl w:val="nil"/>
            </w:tcBorders>
            <w:tcMar>
              <w:top w:w="50" w:type="dxa"/>
              <w:left w:w="50" w:type="dxa"/>
              <w:bottom w:w="50" w:type="dxa"/>
              <w:right w:w="50" w:type="dxa"/>
            </w:tcMar>
            <w:vAlign w:val="center"/>
          </w:tcPr>
          <w:p w14:paraId="16FF48BF">
            <w:pPr>
              <w:pStyle w:val="84"/>
            </w:pPr>
          </w:p>
        </w:tc>
        <w:tc>
          <w:tcPr>
            <w:tcW w:w="246" w:type="pct"/>
            <w:vMerge w:val="continue"/>
            <w:tcBorders>
              <w:tl2br w:val="nil"/>
              <w:tr2bl w:val="nil"/>
            </w:tcBorders>
            <w:tcMar>
              <w:top w:w="50" w:type="dxa"/>
              <w:left w:w="50" w:type="dxa"/>
              <w:bottom w:w="50" w:type="dxa"/>
              <w:right w:w="50" w:type="dxa"/>
            </w:tcMar>
            <w:vAlign w:val="center"/>
          </w:tcPr>
          <w:p w14:paraId="5A968341">
            <w:pPr>
              <w:pStyle w:val="84"/>
            </w:pPr>
          </w:p>
        </w:tc>
        <w:tc>
          <w:tcPr>
            <w:tcW w:w="242" w:type="pct"/>
            <w:vMerge w:val="continue"/>
            <w:tcBorders>
              <w:tl2br w:val="nil"/>
              <w:tr2bl w:val="nil"/>
            </w:tcBorders>
            <w:tcMar>
              <w:top w:w="50" w:type="dxa"/>
              <w:left w:w="50" w:type="dxa"/>
              <w:bottom w:w="50" w:type="dxa"/>
              <w:right w:w="50" w:type="dxa"/>
            </w:tcMar>
            <w:vAlign w:val="center"/>
          </w:tcPr>
          <w:p w14:paraId="5B363379">
            <w:pPr>
              <w:pStyle w:val="84"/>
            </w:pPr>
          </w:p>
        </w:tc>
        <w:tc>
          <w:tcPr>
            <w:tcW w:w="362" w:type="pct"/>
            <w:tcBorders>
              <w:tl2br w:val="nil"/>
              <w:tr2bl w:val="nil"/>
            </w:tcBorders>
            <w:tcMar>
              <w:top w:w="50" w:type="dxa"/>
              <w:left w:w="50" w:type="dxa"/>
              <w:bottom w:w="50" w:type="dxa"/>
              <w:right w:w="50" w:type="dxa"/>
            </w:tcMar>
            <w:vAlign w:val="center"/>
          </w:tcPr>
          <w:p w14:paraId="49618126">
            <w:pPr>
              <w:pStyle w:val="84"/>
            </w:pPr>
            <w:r>
              <w:rPr>
                <w:rFonts w:hint="eastAsia"/>
              </w:rPr>
              <w:t>资源开发利用效率要求</w:t>
            </w:r>
          </w:p>
        </w:tc>
        <w:tc>
          <w:tcPr>
            <w:tcW w:w="1719" w:type="pct"/>
            <w:tcBorders>
              <w:tl2br w:val="nil"/>
              <w:tr2bl w:val="nil"/>
            </w:tcBorders>
            <w:tcMar>
              <w:top w:w="50" w:type="dxa"/>
              <w:left w:w="50" w:type="dxa"/>
              <w:bottom w:w="50" w:type="dxa"/>
              <w:right w:w="50" w:type="dxa"/>
            </w:tcMar>
            <w:vAlign w:val="center"/>
          </w:tcPr>
          <w:p w14:paraId="3CA460A0">
            <w:pPr>
              <w:pStyle w:val="84"/>
            </w:pPr>
            <w:r>
              <w:t>/</w:t>
            </w:r>
          </w:p>
        </w:tc>
        <w:tc>
          <w:tcPr>
            <w:tcW w:w="1066" w:type="pct"/>
            <w:tcBorders>
              <w:tl2br w:val="nil"/>
              <w:tr2bl w:val="nil"/>
            </w:tcBorders>
            <w:tcMar>
              <w:top w:w="50" w:type="dxa"/>
              <w:left w:w="50" w:type="dxa"/>
              <w:bottom w:w="50" w:type="dxa"/>
              <w:right w:w="50" w:type="dxa"/>
            </w:tcMar>
            <w:vAlign w:val="center"/>
          </w:tcPr>
          <w:p w14:paraId="091BC174">
            <w:pPr>
              <w:pStyle w:val="84"/>
            </w:pPr>
            <w:r>
              <w:t>/</w:t>
            </w:r>
          </w:p>
        </w:tc>
        <w:tc>
          <w:tcPr>
            <w:tcW w:w="261" w:type="pct"/>
            <w:tcBorders>
              <w:tl2br w:val="nil"/>
              <w:tr2bl w:val="nil"/>
            </w:tcBorders>
            <w:tcMar>
              <w:top w:w="50" w:type="dxa"/>
              <w:left w:w="50" w:type="dxa"/>
              <w:bottom w:w="50" w:type="dxa"/>
              <w:right w:w="50" w:type="dxa"/>
            </w:tcMar>
            <w:vAlign w:val="center"/>
          </w:tcPr>
          <w:p w14:paraId="08D94521">
            <w:pPr>
              <w:pStyle w:val="84"/>
            </w:pPr>
            <w:r>
              <w:t>/</w:t>
            </w:r>
          </w:p>
        </w:tc>
      </w:tr>
    </w:tbl>
    <w:p w14:paraId="628E1BEC">
      <w:pPr>
        <w:spacing w:line="360" w:lineRule="auto"/>
        <w:rPr>
          <w:b/>
          <w:sz w:val="28"/>
          <w:szCs w:val="28"/>
        </w:rPr>
        <w:sectPr>
          <w:pgSz w:w="16838" w:h="11906" w:orient="landscape"/>
          <w:pgMar w:top="1080" w:right="1440" w:bottom="1080" w:left="1440" w:header="851" w:footer="992" w:gutter="0"/>
          <w:cols w:space="720" w:num="1"/>
          <w:docGrid w:type="lines" w:linePitch="312" w:charSpace="0"/>
        </w:sect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9059"/>
      </w:tblGrid>
      <w:tr w14:paraId="5047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tcPr>
          <w:p w14:paraId="00D20AC6">
            <w:pPr>
              <w:spacing w:line="360" w:lineRule="auto"/>
              <w:rPr>
                <w:b/>
                <w:sz w:val="28"/>
                <w:szCs w:val="28"/>
              </w:rPr>
            </w:pPr>
          </w:p>
        </w:tc>
        <w:tc>
          <w:tcPr>
            <w:tcW w:w="9270" w:type="dxa"/>
          </w:tcPr>
          <w:p w14:paraId="14F3FFD6">
            <w:pPr>
              <w:spacing w:line="360" w:lineRule="auto"/>
              <w:ind w:firstLine="480" w:firstLineChars="200"/>
            </w:pPr>
            <w:r>
              <w:rPr>
                <w:rFonts w:hint="eastAsia"/>
              </w:rPr>
              <w:t>综上，项目不在生态保护红线内，符合泸定县普适性生态环境准入清单管控要求，符合各环境管控单元准入清单要求，符合各要素管控分区管控要求。</w:t>
            </w:r>
          </w:p>
          <w:p w14:paraId="6FAA672B">
            <w:pPr>
              <w:autoSpaceDE w:val="0"/>
              <w:autoSpaceDN w:val="0"/>
              <w:adjustRightInd w:val="0"/>
              <w:spacing w:line="360" w:lineRule="auto"/>
              <w:ind w:firstLine="482" w:firstLineChars="200"/>
              <w:jc w:val="left"/>
              <w:rPr>
                <w:b/>
                <w:bCs/>
              </w:rPr>
            </w:pPr>
            <w:r>
              <w:rPr>
                <w:rFonts w:hint="eastAsia"/>
                <w:b/>
                <w:bCs/>
              </w:rPr>
              <w:t>4、与《四川海螺沟国家地质公园规划（2013—2025年）》和《四川海螺沟国家森林公园总体规划（2023—2032年）》的符合性分析</w:t>
            </w:r>
          </w:p>
          <w:p w14:paraId="7744CB53">
            <w:pPr>
              <w:pStyle w:val="106"/>
            </w:pPr>
            <w:r>
              <w:rPr>
                <w:rFonts w:hint="eastAsia"/>
              </w:rPr>
              <w:t>本项目涉及穿越四川海螺沟国家地质公园一般控制区，涉及穿越四川海螺沟国家森林公园一般游憩区。</w:t>
            </w:r>
          </w:p>
          <w:p w14:paraId="25392A90">
            <w:pPr>
              <w:pStyle w:val="106"/>
            </w:pPr>
            <w:r>
              <w:rPr>
                <w:rFonts w:hint="eastAsia"/>
              </w:rPr>
              <w:t>2026年2月5日甘孜州海螺沟国家森林公园管理局出具的《关于同意泸定县海螺沟山洪沟（共和村、柏秧坪村段）治理工程在四川海螺沟国家森林公园建设的复函》（甘海森管函〔2026〕1号），详见附件9，其中明确项目建设符合《四川海螺沟国家森林公园总体规划（2023—2032年）》的管控要求，对四川海螺沟国家森林公园影响程度轻微。</w:t>
            </w:r>
          </w:p>
          <w:p w14:paraId="1D229016">
            <w:pPr>
              <w:pStyle w:val="106"/>
            </w:pPr>
            <w:r>
              <w:rPr>
                <w:rFonts w:hint="eastAsia"/>
              </w:rPr>
              <w:t>2026年2月7日甘孜州海螺沟景区管理委员会出具的《关于同意泸定县海螺沟山洪沟（共和村、柏秧坪村段）治理工程在四川海螺沟国家地质公园建设的批复》，详见附件10，其中明确项目建设符合《四川海螺沟国家地质公园规划（2013—2025年）》的管控要求，对四川海螺沟国家地质公园影响程度轻微。</w:t>
            </w:r>
          </w:p>
          <w:p w14:paraId="51FE5131">
            <w:pPr>
              <w:pStyle w:val="106"/>
            </w:pPr>
            <w:r>
              <w:rPr>
                <w:rFonts w:hint="eastAsia"/>
              </w:rPr>
              <w:t>综上，项目的建设符合《四川海螺沟国家地质公园规划（2013—2025年）》和《四川海螺沟国家森林公园总体规划（2023—2032年）》的管控要求。</w:t>
            </w:r>
          </w:p>
          <w:p w14:paraId="247D9D4B">
            <w:pPr>
              <w:autoSpaceDE w:val="0"/>
              <w:autoSpaceDN w:val="0"/>
              <w:adjustRightInd w:val="0"/>
              <w:spacing w:line="360" w:lineRule="auto"/>
              <w:ind w:firstLine="482" w:firstLineChars="200"/>
              <w:jc w:val="left"/>
              <w:rPr>
                <w:b/>
              </w:rPr>
            </w:pPr>
            <w:r>
              <w:rPr>
                <w:rFonts w:hint="eastAsia"/>
                <w:b/>
                <w:bCs/>
              </w:rPr>
              <w:t>5、与</w:t>
            </w:r>
            <w:r>
              <w:rPr>
                <w:rFonts w:hint="eastAsia"/>
                <w:b/>
              </w:rPr>
              <w:t>《四川省、重庆市长江经济带发展负面清单实施细则（试行，2022年版）》（川长江办〔2022〕17号）的符合性分析</w:t>
            </w:r>
          </w:p>
          <w:p w14:paraId="02080D95">
            <w:pPr>
              <w:widowControl/>
              <w:spacing w:line="360" w:lineRule="auto"/>
              <w:ind w:firstLine="480" w:firstLineChars="200"/>
              <w:jc w:val="left"/>
            </w:pPr>
            <w:r>
              <w:rPr>
                <w:rFonts w:hint="eastAsia"/>
              </w:rPr>
              <w:t>项目的建设与《四川省、重庆市长江经济带发展负面清单实施细则（试行，2022年版）》（川长江办〔2022〕17号）符合性分析如下：</w:t>
            </w:r>
          </w:p>
          <w:p w14:paraId="09FDBD9C">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10</w:t>
            </w:r>
            <w:r>
              <w:rPr>
                <w:rFonts w:cs="Times New Roman"/>
              </w:rPr>
              <w:fldChar w:fldCharType="end"/>
            </w:r>
            <w:r>
              <w:rPr>
                <w:rFonts w:hint="eastAsia" w:cs="Times New Roman"/>
              </w:rPr>
              <w:t xml:space="preserve">  本项目与川长江办〔2022〕17号符合性分析</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5446"/>
              <w:gridCol w:w="2228"/>
              <w:gridCol w:w="743"/>
            </w:tblGrid>
            <w:tr w14:paraId="71625E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19" w:type="pct"/>
                  <w:gridSpan w:val="2"/>
                  <w:tcBorders>
                    <w:tl2br w:val="nil"/>
                    <w:tr2bl w:val="nil"/>
                  </w:tcBorders>
                  <w:vAlign w:val="center"/>
                </w:tcPr>
                <w:p w14:paraId="665FD127">
                  <w:pPr>
                    <w:pStyle w:val="40"/>
                    <w:rPr>
                      <w:rFonts w:cs="Times New Roman"/>
                      <w:b/>
                      <w:bCs/>
                    </w:rPr>
                  </w:pPr>
                  <w:r>
                    <w:rPr>
                      <w:rFonts w:hint="eastAsia" w:cs="Times New Roman"/>
                      <w:b/>
                      <w:bCs/>
                    </w:rPr>
                    <w:t>实施细则相关要求</w:t>
                  </w:r>
                </w:p>
              </w:tc>
              <w:tc>
                <w:tcPr>
                  <w:tcW w:w="1260" w:type="pct"/>
                  <w:tcBorders>
                    <w:tl2br w:val="nil"/>
                    <w:tr2bl w:val="nil"/>
                  </w:tcBorders>
                  <w:vAlign w:val="center"/>
                </w:tcPr>
                <w:p w14:paraId="04E7C0F2">
                  <w:pPr>
                    <w:pStyle w:val="40"/>
                    <w:rPr>
                      <w:rFonts w:cs="Times New Roman"/>
                      <w:b/>
                      <w:bCs/>
                    </w:rPr>
                  </w:pPr>
                  <w:r>
                    <w:rPr>
                      <w:rFonts w:hint="eastAsia" w:cs="Times New Roman"/>
                      <w:b/>
                      <w:bCs/>
                    </w:rPr>
                    <w:t>项目情况</w:t>
                  </w:r>
                </w:p>
              </w:tc>
              <w:tc>
                <w:tcPr>
                  <w:tcW w:w="420" w:type="pct"/>
                  <w:tcBorders>
                    <w:tl2br w:val="nil"/>
                    <w:tr2bl w:val="nil"/>
                  </w:tcBorders>
                  <w:vAlign w:val="center"/>
                </w:tcPr>
                <w:p w14:paraId="49E1AACD">
                  <w:pPr>
                    <w:pStyle w:val="40"/>
                    <w:rPr>
                      <w:rFonts w:cs="Times New Roman"/>
                      <w:b/>
                      <w:bCs/>
                    </w:rPr>
                  </w:pPr>
                  <w:r>
                    <w:rPr>
                      <w:rFonts w:hint="eastAsia" w:cs="Times New Roman"/>
                      <w:b/>
                      <w:bCs/>
                    </w:rPr>
                    <w:t>结论</w:t>
                  </w:r>
                </w:p>
              </w:tc>
            </w:tr>
            <w:tr w14:paraId="7C816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65D8E0C2">
                  <w:pPr>
                    <w:pStyle w:val="40"/>
                    <w:rPr>
                      <w:rFonts w:cs="Times New Roman"/>
                    </w:rPr>
                  </w:pPr>
                  <w:r>
                    <w:rPr>
                      <w:rFonts w:cs="Times New Roman"/>
                    </w:rPr>
                    <w:t>1</w:t>
                  </w:r>
                </w:p>
              </w:tc>
              <w:tc>
                <w:tcPr>
                  <w:tcW w:w="3078" w:type="pct"/>
                  <w:tcBorders>
                    <w:tl2br w:val="nil"/>
                    <w:tr2bl w:val="nil"/>
                  </w:tcBorders>
                  <w:vAlign w:val="center"/>
                </w:tcPr>
                <w:p w14:paraId="4C334E90">
                  <w:pPr>
                    <w:pStyle w:val="40"/>
                    <w:jc w:val="both"/>
                    <w:rPr>
                      <w:rFonts w:cs="Times New Roman"/>
                    </w:rPr>
                  </w:pPr>
                  <w:r>
                    <w:rPr>
                      <w:rFonts w:hint="eastAsia" w:cs="Times New Roman"/>
                    </w:rPr>
                    <w:t>第七条 禁止在自然保护区核心区、缓冲区的岸线和河段范围内投资建设旅游和生产经营项目。自然保护区内部未分区的，依照本实施细则核心区和缓冲区的规定管控。</w:t>
                  </w:r>
                </w:p>
              </w:tc>
              <w:tc>
                <w:tcPr>
                  <w:tcW w:w="1260" w:type="pct"/>
                  <w:tcBorders>
                    <w:tl2br w:val="nil"/>
                    <w:tr2bl w:val="nil"/>
                  </w:tcBorders>
                  <w:vAlign w:val="center"/>
                </w:tcPr>
                <w:p w14:paraId="6759CD37">
                  <w:pPr>
                    <w:pStyle w:val="40"/>
                    <w:jc w:val="both"/>
                    <w:rPr>
                      <w:rFonts w:cs="Times New Roman"/>
                    </w:rPr>
                  </w:pPr>
                  <w:r>
                    <w:rPr>
                      <w:rFonts w:hint="eastAsia" w:cs="Times New Roman"/>
                    </w:rPr>
                    <w:t>项目不涉及自然保护区。</w:t>
                  </w:r>
                </w:p>
              </w:tc>
              <w:tc>
                <w:tcPr>
                  <w:tcW w:w="420" w:type="pct"/>
                  <w:tcBorders>
                    <w:tl2br w:val="nil"/>
                    <w:tr2bl w:val="nil"/>
                  </w:tcBorders>
                  <w:vAlign w:val="center"/>
                </w:tcPr>
                <w:p w14:paraId="7B22AE30">
                  <w:pPr>
                    <w:pStyle w:val="40"/>
                    <w:rPr>
                      <w:rFonts w:cs="Times New Roman"/>
                    </w:rPr>
                  </w:pPr>
                  <w:r>
                    <w:rPr>
                      <w:rFonts w:hint="eastAsia" w:cs="Times New Roman"/>
                    </w:rPr>
                    <w:t>符合</w:t>
                  </w:r>
                </w:p>
              </w:tc>
            </w:tr>
            <w:tr w14:paraId="654C13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0B63710D">
                  <w:pPr>
                    <w:pStyle w:val="40"/>
                    <w:rPr>
                      <w:rFonts w:cs="Times New Roman"/>
                    </w:rPr>
                  </w:pPr>
                  <w:r>
                    <w:rPr>
                      <w:rFonts w:cs="Times New Roman"/>
                    </w:rPr>
                    <w:t>2</w:t>
                  </w:r>
                </w:p>
              </w:tc>
              <w:tc>
                <w:tcPr>
                  <w:tcW w:w="3078" w:type="pct"/>
                  <w:tcBorders>
                    <w:tl2br w:val="nil"/>
                    <w:tr2bl w:val="nil"/>
                  </w:tcBorders>
                  <w:vAlign w:val="center"/>
                </w:tcPr>
                <w:p w14:paraId="00F4AF02">
                  <w:pPr>
                    <w:pStyle w:val="40"/>
                    <w:jc w:val="both"/>
                    <w:rPr>
                      <w:rFonts w:cs="Times New Roman"/>
                    </w:rPr>
                  </w:pPr>
                  <w:r>
                    <w:rPr>
                      <w:rFonts w:hint="eastAsia" w:cs="Times New Roman"/>
                    </w:rPr>
                    <w:t>第八条 禁止违反风景名胜区规划﹐在风景名胜区内设立各类开发区。禁止在风景名胜区核心景区的岸线和河段范围内建设宾馆、招待所、培训中心、疗养院以及与风景名胜资源保护无关的项目。</w:t>
                  </w:r>
                </w:p>
              </w:tc>
              <w:tc>
                <w:tcPr>
                  <w:tcW w:w="1260" w:type="pct"/>
                  <w:tcBorders>
                    <w:tl2br w:val="nil"/>
                    <w:tr2bl w:val="nil"/>
                  </w:tcBorders>
                  <w:vAlign w:val="center"/>
                </w:tcPr>
                <w:p w14:paraId="45EA8471">
                  <w:pPr>
                    <w:pStyle w:val="40"/>
                    <w:jc w:val="both"/>
                    <w:rPr>
                      <w:rFonts w:cs="Times New Roman"/>
                    </w:rPr>
                  </w:pPr>
                  <w:r>
                    <w:rPr>
                      <w:rFonts w:hint="eastAsia" w:cs="Times New Roman"/>
                    </w:rPr>
                    <w:t>项目不涉及风景名胜区。</w:t>
                  </w:r>
                </w:p>
              </w:tc>
              <w:tc>
                <w:tcPr>
                  <w:tcW w:w="420" w:type="pct"/>
                  <w:tcBorders>
                    <w:tl2br w:val="nil"/>
                    <w:tr2bl w:val="nil"/>
                  </w:tcBorders>
                  <w:vAlign w:val="center"/>
                </w:tcPr>
                <w:p w14:paraId="50E7BD0A">
                  <w:pPr>
                    <w:pStyle w:val="40"/>
                    <w:rPr>
                      <w:rFonts w:cs="Times New Roman"/>
                    </w:rPr>
                  </w:pPr>
                  <w:r>
                    <w:rPr>
                      <w:rFonts w:hint="eastAsia" w:cs="Times New Roman"/>
                    </w:rPr>
                    <w:t>符合</w:t>
                  </w:r>
                </w:p>
              </w:tc>
            </w:tr>
            <w:tr w14:paraId="69A937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329CCFE3">
                  <w:pPr>
                    <w:pStyle w:val="40"/>
                    <w:rPr>
                      <w:rFonts w:cs="Times New Roman"/>
                    </w:rPr>
                  </w:pPr>
                  <w:r>
                    <w:rPr>
                      <w:rFonts w:cs="Times New Roman"/>
                    </w:rPr>
                    <w:t>3</w:t>
                  </w:r>
                </w:p>
              </w:tc>
              <w:tc>
                <w:tcPr>
                  <w:tcW w:w="3078" w:type="pct"/>
                  <w:tcBorders>
                    <w:tl2br w:val="nil"/>
                    <w:tr2bl w:val="nil"/>
                  </w:tcBorders>
                  <w:vAlign w:val="center"/>
                </w:tcPr>
                <w:p w14:paraId="44DFF5BB">
                  <w:pPr>
                    <w:pStyle w:val="40"/>
                    <w:jc w:val="both"/>
                    <w:rPr>
                      <w:rFonts w:cs="Times New Roman"/>
                    </w:rPr>
                  </w:pPr>
                  <w:r>
                    <w:rPr>
                      <w:rFonts w:hint="eastAsia" w:cs="Times New Roman"/>
                    </w:rPr>
                    <w:t>第九条 禁止在饮用水水源准保护区的岸线和河段范围内新建、扩建对水体污染严重的建设项目，禁止改建增加排污量的建设项目。</w:t>
                  </w:r>
                </w:p>
              </w:tc>
              <w:tc>
                <w:tcPr>
                  <w:tcW w:w="1260" w:type="pct"/>
                  <w:tcBorders>
                    <w:tl2br w:val="nil"/>
                    <w:tr2bl w:val="nil"/>
                  </w:tcBorders>
                  <w:vAlign w:val="center"/>
                </w:tcPr>
                <w:p w14:paraId="5EE2DE99">
                  <w:pPr>
                    <w:pStyle w:val="40"/>
                    <w:jc w:val="both"/>
                    <w:rPr>
                      <w:rFonts w:cs="Times New Roman"/>
                    </w:rPr>
                  </w:pPr>
                  <w:r>
                    <w:rPr>
                      <w:rFonts w:hint="eastAsia" w:cs="Times New Roman"/>
                    </w:rPr>
                    <w:t>项目不涉及集中式饮用水源保护区，项目不设置直排入河排污口。</w:t>
                  </w:r>
                </w:p>
              </w:tc>
              <w:tc>
                <w:tcPr>
                  <w:tcW w:w="420" w:type="pct"/>
                  <w:tcBorders>
                    <w:tl2br w:val="nil"/>
                    <w:tr2bl w:val="nil"/>
                  </w:tcBorders>
                  <w:vAlign w:val="center"/>
                </w:tcPr>
                <w:p w14:paraId="4082815A">
                  <w:pPr>
                    <w:pStyle w:val="40"/>
                    <w:rPr>
                      <w:rFonts w:cs="Times New Roman"/>
                    </w:rPr>
                  </w:pPr>
                  <w:r>
                    <w:rPr>
                      <w:rFonts w:hint="eastAsia" w:cs="Times New Roman"/>
                    </w:rPr>
                    <w:t>符合</w:t>
                  </w:r>
                </w:p>
              </w:tc>
            </w:tr>
            <w:tr w14:paraId="3E2320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1BC33997">
                  <w:pPr>
                    <w:pStyle w:val="40"/>
                    <w:rPr>
                      <w:rFonts w:cs="Times New Roman"/>
                    </w:rPr>
                  </w:pPr>
                  <w:r>
                    <w:rPr>
                      <w:rFonts w:cs="Times New Roman"/>
                    </w:rPr>
                    <w:t>4</w:t>
                  </w:r>
                </w:p>
              </w:tc>
              <w:tc>
                <w:tcPr>
                  <w:tcW w:w="3078" w:type="pct"/>
                  <w:tcBorders>
                    <w:tl2br w:val="nil"/>
                    <w:tr2bl w:val="nil"/>
                  </w:tcBorders>
                  <w:vAlign w:val="center"/>
                </w:tcPr>
                <w:p w14:paraId="2B8514A6">
                  <w:pPr>
                    <w:pStyle w:val="40"/>
                    <w:jc w:val="both"/>
                    <w:rPr>
                      <w:rFonts w:cs="Times New Roman"/>
                    </w:rPr>
                  </w:pPr>
                  <w:r>
                    <w:rPr>
                      <w:rFonts w:hint="eastAsia" w:cs="Times New Roman"/>
                    </w:rPr>
                    <w:t>第十条 饮用水水源二级保护区的岸线和河段范围内，除应遵守准保护区规定外，禁止新建、改建、扩建排放污染物的投资建设项目；禁止从事采石（砂）、对水体有污染的水产养殖等活动。</w:t>
                  </w:r>
                </w:p>
              </w:tc>
              <w:tc>
                <w:tcPr>
                  <w:tcW w:w="1260" w:type="pct"/>
                  <w:tcBorders>
                    <w:tl2br w:val="nil"/>
                    <w:tr2bl w:val="nil"/>
                  </w:tcBorders>
                  <w:vAlign w:val="center"/>
                </w:tcPr>
                <w:p w14:paraId="2B75E006">
                  <w:pPr>
                    <w:pStyle w:val="40"/>
                    <w:jc w:val="both"/>
                    <w:rPr>
                      <w:rFonts w:cs="Times New Roman"/>
                    </w:rPr>
                  </w:pPr>
                  <w:r>
                    <w:rPr>
                      <w:rFonts w:hint="eastAsia" w:cs="Times New Roman"/>
                    </w:rPr>
                    <w:t>项目不涉及集中式饮用水源保护区，项目不设置直排入河排污口。</w:t>
                  </w:r>
                </w:p>
              </w:tc>
              <w:tc>
                <w:tcPr>
                  <w:tcW w:w="420" w:type="pct"/>
                  <w:tcBorders>
                    <w:tl2br w:val="nil"/>
                    <w:tr2bl w:val="nil"/>
                  </w:tcBorders>
                  <w:vAlign w:val="center"/>
                </w:tcPr>
                <w:p w14:paraId="6420171A">
                  <w:pPr>
                    <w:pStyle w:val="40"/>
                    <w:rPr>
                      <w:rFonts w:cs="Times New Roman"/>
                    </w:rPr>
                  </w:pPr>
                  <w:r>
                    <w:rPr>
                      <w:rFonts w:hint="eastAsia" w:cs="Times New Roman"/>
                    </w:rPr>
                    <w:t>符合</w:t>
                  </w:r>
                </w:p>
              </w:tc>
            </w:tr>
            <w:tr w14:paraId="74EDE6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64B128CF">
                  <w:pPr>
                    <w:pStyle w:val="40"/>
                    <w:rPr>
                      <w:rFonts w:cs="Times New Roman"/>
                    </w:rPr>
                  </w:pPr>
                  <w:r>
                    <w:rPr>
                      <w:rFonts w:cs="Times New Roman"/>
                    </w:rPr>
                    <w:t>5</w:t>
                  </w:r>
                </w:p>
              </w:tc>
              <w:tc>
                <w:tcPr>
                  <w:tcW w:w="3078" w:type="pct"/>
                  <w:tcBorders>
                    <w:tl2br w:val="nil"/>
                    <w:tr2bl w:val="nil"/>
                  </w:tcBorders>
                  <w:vAlign w:val="center"/>
                </w:tcPr>
                <w:p w14:paraId="7B777B91">
                  <w:pPr>
                    <w:pStyle w:val="40"/>
                    <w:jc w:val="both"/>
                    <w:rPr>
                      <w:rFonts w:cs="Times New Roman"/>
                    </w:rPr>
                  </w:pPr>
                  <w:r>
                    <w:rPr>
                      <w:rFonts w:hint="eastAsia" w:cs="Times New Roman"/>
                    </w:rPr>
                    <w:t>第十一条 饮用水水源一级保护区的岸线和河段范围内﹐除应遵守二级保护区规定外，禁止新建、改建、扩建与供（取）水设施和保护水源无关的项目，以及网箱养殖、畜禽养殖、旅游等可能污染饮用水水体的投资建设项目。</w:t>
                  </w:r>
                </w:p>
              </w:tc>
              <w:tc>
                <w:tcPr>
                  <w:tcW w:w="1260" w:type="pct"/>
                  <w:tcBorders>
                    <w:tl2br w:val="nil"/>
                    <w:tr2bl w:val="nil"/>
                  </w:tcBorders>
                  <w:vAlign w:val="center"/>
                </w:tcPr>
                <w:p w14:paraId="31CC58DF">
                  <w:pPr>
                    <w:pStyle w:val="40"/>
                    <w:jc w:val="both"/>
                    <w:rPr>
                      <w:rFonts w:cs="Times New Roman"/>
                    </w:rPr>
                  </w:pPr>
                  <w:r>
                    <w:rPr>
                      <w:rFonts w:hint="eastAsia" w:cs="Times New Roman"/>
                    </w:rPr>
                    <w:t>项目不涉及集中式饮用水源保护区，不属于网箱养殖、畜禽养殖、旅游等污染水体项目。</w:t>
                  </w:r>
                </w:p>
              </w:tc>
              <w:tc>
                <w:tcPr>
                  <w:tcW w:w="420" w:type="pct"/>
                  <w:tcBorders>
                    <w:tl2br w:val="nil"/>
                    <w:tr2bl w:val="nil"/>
                  </w:tcBorders>
                  <w:vAlign w:val="center"/>
                </w:tcPr>
                <w:p w14:paraId="077A2BC5">
                  <w:pPr>
                    <w:pStyle w:val="40"/>
                    <w:rPr>
                      <w:rFonts w:cs="Times New Roman"/>
                    </w:rPr>
                  </w:pPr>
                  <w:r>
                    <w:rPr>
                      <w:rFonts w:hint="eastAsia" w:cs="Times New Roman"/>
                    </w:rPr>
                    <w:t>符合</w:t>
                  </w:r>
                </w:p>
              </w:tc>
            </w:tr>
            <w:tr w14:paraId="72474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65AAF6F7">
                  <w:pPr>
                    <w:pStyle w:val="40"/>
                    <w:rPr>
                      <w:rFonts w:cs="Times New Roman"/>
                    </w:rPr>
                  </w:pPr>
                  <w:r>
                    <w:rPr>
                      <w:rFonts w:cs="Times New Roman"/>
                    </w:rPr>
                    <w:t>6</w:t>
                  </w:r>
                </w:p>
              </w:tc>
              <w:tc>
                <w:tcPr>
                  <w:tcW w:w="3078" w:type="pct"/>
                  <w:tcBorders>
                    <w:tl2br w:val="nil"/>
                    <w:tr2bl w:val="nil"/>
                  </w:tcBorders>
                  <w:vAlign w:val="center"/>
                </w:tcPr>
                <w:p w14:paraId="6AD14DB3">
                  <w:pPr>
                    <w:pStyle w:val="40"/>
                    <w:jc w:val="both"/>
                    <w:rPr>
                      <w:rFonts w:cs="Times New Roman"/>
                    </w:rPr>
                  </w:pPr>
                  <w:r>
                    <w:rPr>
                      <w:rFonts w:hint="eastAsia" w:cs="Times New Roman"/>
                    </w:rPr>
                    <w:t>第十二条禁止在水产种质资源保护区岸线和河段范围内新建围湖造田、围湖造地或挖沙采石等投资建设项目。</w:t>
                  </w:r>
                </w:p>
              </w:tc>
              <w:tc>
                <w:tcPr>
                  <w:tcW w:w="1260" w:type="pct"/>
                  <w:tcBorders>
                    <w:tl2br w:val="nil"/>
                    <w:tr2bl w:val="nil"/>
                  </w:tcBorders>
                  <w:vAlign w:val="center"/>
                </w:tcPr>
                <w:p w14:paraId="7A9EC269">
                  <w:pPr>
                    <w:pStyle w:val="40"/>
                    <w:jc w:val="both"/>
                    <w:rPr>
                      <w:rFonts w:cs="Times New Roman"/>
                    </w:rPr>
                  </w:pPr>
                  <w:r>
                    <w:rPr>
                      <w:rFonts w:hint="eastAsia" w:cs="Times New Roman"/>
                    </w:rPr>
                    <w:t>项目为防洪除涝工程，不属于围湖造田、围湖造地或挖沙采石等项目。</w:t>
                  </w:r>
                </w:p>
              </w:tc>
              <w:tc>
                <w:tcPr>
                  <w:tcW w:w="420" w:type="pct"/>
                  <w:tcBorders>
                    <w:tl2br w:val="nil"/>
                    <w:tr2bl w:val="nil"/>
                  </w:tcBorders>
                  <w:vAlign w:val="center"/>
                </w:tcPr>
                <w:p w14:paraId="3795360C">
                  <w:pPr>
                    <w:pStyle w:val="40"/>
                    <w:rPr>
                      <w:rFonts w:cs="Times New Roman"/>
                    </w:rPr>
                  </w:pPr>
                  <w:r>
                    <w:rPr>
                      <w:rFonts w:hint="eastAsia" w:cs="Times New Roman"/>
                    </w:rPr>
                    <w:t>符合</w:t>
                  </w:r>
                </w:p>
              </w:tc>
            </w:tr>
            <w:tr w14:paraId="60768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336C2610">
                  <w:pPr>
                    <w:pStyle w:val="40"/>
                    <w:rPr>
                      <w:rFonts w:cs="Times New Roman"/>
                    </w:rPr>
                  </w:pPr>
                  <w:r>
                    <w:rPr>
                      <w:rFonts w:cs="Times New Roman"/>
                    </w:rPr>
                    <w:t>7</w:t>
                  </w:r>
                </w:p>
              </w:tc>
              <w:tc>
                <w:tcPr>
                  <w:tcW w:w="3078" w:type="pct"/>
                  <w:tcBorders>
                    <w:tl2br w:val="nil"/>
                    <w:tr2bl w:val="nil"/>
                  </w:tcBorders>
                  <w:vAlign w:val="center"/>
                </w:tcPr>
                <w:p w14:paraId="56FCFC91">
                  <w:pPr>
                    <w:pStyle w:val="40"/>
                    <w:jc w:val="both"/>
                    <w:rPr>
                      <w:rFonts w:cs="Times New Roman"/>
                    </w:rPr>
                  </w:pPr>
                  <w:r>
                    <w:rPr>
                      <w:rFonts w:hint="eastAsia" w:cs="Times New Roman"/>
                    </w:rPr>
                    <w:t>第十三条禁止在国家湿地公园的岸线和河段范围内开（围）垦、填埋或者排干湿地，截断湿地水源，挖沙、采矿，倾倒有毒有害物质、废弃物、垃圾，从事房地产、度假村、高尔夫球场、风力发电、光伏发电等任何不符合主体功能定位的建设项目和开发活动，破坏野生动物栖息地和迁徙通道、鱼类洄游通道。</w:t>
                  </w:r>
                </w:p>
              </w:tc>
              <w:tc>
                <w:tcPr>
                  <w:tcW w:w="1260" w:type="pct"/>
                  <w:tcBorders>
                    <w:tl2br w:val="nil"/>
                    <w:tr2bl w:val="nil"/>
                  </w:tcBorders>
                  <w:vAlign w:val="center"/>
                </w:tcPr>
                <w:p w14:paraId="42722ED4">
                  <w:pPr>
                    <w:pStyle w:val="40"/>
                    <w:jc w:val="both"/>
                    <w:rPr>
                      <w:rFonts w:cs="Times New Roman"/>
                    </w:rPr>
                  </w:pPr>
                  <w:r>
                    <w:rPr>
                      <w:rFonts w:hint="eastAsia" w:cs="Times New Roman"/>
                    </w:rPr>
                    <w:t>项目为海螺沟段的防洪除涝工程，本项目不在禁止的国家湿地、公园和河段范围内。</w:t>
                  </w:r>
                </w:p>
              </w:tc>
              <w:tc>
                <w:tcPr>
                  <w:tcW w:w="420" w:type="pct"/>
                  <w:tcBorders>
                    <w:tl2br w:val="nil"/>
                    <w:tr2bl w:val="nil"/>
                  </w:tcBorders>
                  <w:vAlign w:val="center"/>
                </w:tcPr>
                <w:p w14:paraId="317B40ED">
                  <w:pPr>
                    <w:pStyle w:val="40"/>
                    <w:rPr>
                      <w:rFonts w:cs="Times New Roman"/>
                    </w:rPr>
                  </w:pPr>
                  <w:r>
                    <w:rPr>
                      <w:rFonts w:hint="eastAsia" w:cs="Times New Roman"/>
                    </w:rPr>
                    <w:t>符合</w:t>
                  </w:r>
                </w:p>
              </w:tc>
            </w:tr>
            <w:tr w14:paraId="6C0A7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3E8AD4E8">
                  <w:pPr>
                    <w:pStyle w:val="40"/>
                    <w:rPr>
                      <w:rFonts w:cs="Times New Roman"/>
                    </w:rPr>
                  </w:pPr>
                  <w:r>
                    <w:rPr>
                      <w:rFonts w:cs="Times New Roman"/>
                    </w:rPr>
                    <w:t>8</w:t>
                  </w:r>
                </w:p>
              </w:tc>
              <w:tc>
                <w:tcPr>
                  <w:tcW w:w="3078" w:type="pct"/>
                  <w:tcBorders>
                    <w:tl2br w:val="nil"/>
                    <w:tr2bl w:val="nil"/>
                  </w:tcBorders>
                  <w:vAlign w:val="center"/>
                </w:tcPr>
                <w:p w14:paraId="6F16A5F0">
                  <w:pPr>
                    <w:pStyle w:val="40"/>
                    <w:jc w:val="both"/>
                    <w:rPr>
                      <w:rFonts w:cs="Times New Roman"/>
                    </w:rPr>
                  </w:pPr>
                  <w:r>
                    <w:rPr>
                      <w:rFonts w:hint="eastAsia" w:cs="Times New Roman"/>
                    </w:rPr>
                    <w:t>第十四条﹐禁止违法利用、占用长江流域河湖岸线。禁止在《长江岸线保护和开发利用总体规划》划定的岸线保护区和岸线保留区内投资建设除事关公共安全及公众利益的防洪护岸、河道治理、供水、生态环境保护、航道整治、国家重要基础设施以外的项目。</w:t>
                  </w:r>
                </w:p>
              </w:tc>
              <w:tc>
                <w:tcPr>
                  <w:tcW w:w="1260" w:type="pct"/>
                  <w:tcBorders>
                    <w:tl2br w:val="nil"/>
                    <w:tr2bl w:val="nil"/>
                  </w:tcBorders>
                  <w:vAlign w:val="center"/>
                </w:tcPr>
                <w:p w14:paraId="52E8EA56">
                  <w:pPr>
                    <w:pStyle w:val="40"/>
                    <w:jc w:val="both"/>
                    <w:rPr>
                      <w:rFonts w:cs="Times New Roman"/>
                    </w:rPr>
                  </w:pPr>
                  <w:r>
                    <w:rPr>
                      <w:rFonts w:hint="eastAsia" w:cs="Times New Roman"/>
                    </w:rPr>
                    <w:t>项目对照《长江岸线保护和开发利用总体规划》中“规划区域岸线功能区”可知，项目不在规划划定的岸线保护区和保留区。</w:t>
                  </w:r>
                </w:p>
              </w:tc>
              <w:tc>
                <w:tcPr>
                  <w:tcW w:w="420" w:type="pct"/>
                  <w:tcBorders>
                    <w:tl2br w:val="nil"/>
                    <w:tr2bl w:val="nil"/>
                  </w:tcBorders>
                  <w:vAlign w:val="center"/>
                </w:tcPr>
                <w:p w14:paraId="4C72D2B6">
                  <w:pPr>
                    <w:pStyle w:val="40"/>
                    <w:rPr>
                      <w:rFonts w:cs="Times New Roman"/>
                    </w:rPr>
                  </w:pPr>
                  <w:r>
                    <w:rPr>
                      <w:rFonts w:hint="eastAsia" w:cs="Times New Roman"/>
                    </w:rPr>
                    <w:t>符合</w:t>
                  </w:r>
                </w:p>
              </w:tc>
            </w:tr>
            <w:tr w14:paraId="5ABAB9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68BA74B7">
                  <w:pPr>
                    <w:pStyle w:val="40"/>
                    <w:rPr>
                      <w:rFonts w:cs="Times New Roman"/>
                    </w:rPr>
                  </w:pPr>
                  <w:r>
                    <w:rPr>
                      <w:rFonts w:cs="Times New Roman"/>
                    </w:rPr>
                    <w:t>9</w:t>
                  </w:r>
                </w:p>
              </w:tc>
              <w:tc>
                <w:tcPr>
                  <w:tcW w:w="3078" w:type="pct"/>
                  <w:tcBorders>
                    <w:tl2br w:val="nil"/>
                    <w:tr2bl w:val="nil"/>
                  </w:tcBorders>
                  <w:vAlign w:val="center"/>
                </w:tcPr>
                <w:p w14:paraId="541C7436">
                  <w:pPr>
                    <w:pStyle w:val="40"/>
                    <w:jc w:val="both"/>
                    <w:rPr>
                      <w:rFonts w:cs="Times New Roman"/>
                    </w:rPr>
                  </w:pPr>
                  <w:r>
                    <w:rPr>
                      <w:rFonts w:hint="eastAsia" w:cs="Times New Roman"/>
                    </w:rPr>
                    <w:t>第十五条禁止在《全国重要江河湖泊水功能区划》划定的河段及湖泊保护区、保留区内投资建设不利于水资源及自然生态保护的项目。</w:t>
                  </w:r>
                </w:p>
              </w:tc>
              <w:tc>
                <w:tcPr>
                  <w:tcW w:w="1260" w:type="pct"/>
                  <w:tcBorders>
                    <w:tl2br w:val="nil"/>
                    <w:tr2bl w:val="nil"/>
                  </w:tcBorders>
                  <w:vAlign w:val="center"/>
                </w:tcPr>
                <w:p w14:paraId="62A30C63">
                  <w:pPr>
                    <w:pStyle w:val="40"/>
                    <w:jc w:val="both"/>
                    <w:rPr>
                      <w:rFonts w:cs="Times New Roman"/>
                    </w:rPr>
                  </w:pPr>
                  <w:r>
                    <w:rPr>
                      <w:rFonts w:hint="eastAsia" w:cs="Times New Roman"/>
                    </w:rPr>
                    <w:t>对照《全国重要江河湖泊水功能区划》中水功能区划可知，项目不在该规划划定的保护区、保留区内。</w:t>
                  </w:r>
                </w:p>
              </w:tc>
              <w:tc>
                <w:tcPr>
                  <w:tcW w:w="420" w:type="pct"/>
                  <w:tcBorders>
                    <w:tl2br w:val="nil"/>
                    <w:tr2bl w:val="nil"/>
                  </w:tcBorders>
                  <w:vAlign w:val="center"/>
                </w:tcPr>
                <w:p w14:paraId="241F2AD4">
                  <w:pPr>
                    <w:pStyle w:val="40"/>
                    <w:rPr>
                      <w:rFonts w:cs="Times New Roman"/>
                    </w:rPr>
                  </w:pPr>
                  <w:r>
                    <w:rPr>
                      <w:rFonts w:hint="eastAsia" w:cs="Times New Roman"/>
                    </w:rPr>
                    <w:t>符合</w:t>
                  </w:r>
                </w:p>
              </w:tc>
            </w:tr>
            <w:tr w14:paraId="42074F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487D265A">
                  <w:pPr>
                    <w:pStyle w:val="40"/>
                    <w:rPr>
                      <w:rFonts w:cs="Times New Roman"/>
                    </w:rPr>
                  </w:pPr>
                  <w:r>
                    <w:rPr>
                      <w:rFonts w:cs="Times New Roman"/>
                    </w:rPr>
                    <w:t>10</w:t>
                  </w:r>
                </w:p>
              </w:tc>
              <w:tc>
                <w:tcPr>
                  <w:tcW w:w="3078" w:type="pct"/>
                  <w:tcBorders>
                    <w:tl2br w:val="nil"/>
                    <w:tr2bl w:val="nil"/>
                  </w:tcBorders>
                  <w:vAlign w:val="center"/>
                </w:tcPr>
                <w:p w14:paraId="04351A93">
                  <w:pPr>
                    <w:pStyle w:val="40"/>
                    <w:jc w:val="both"/>
                    <w:rPr>
                      <w:rFonts w:cs="Times New Roman"/>
                    </w:rPr>
                  </w:pPr>
                  <w:r>
                    <w:rPr>
                      <w:rFonts w:hint="eastAsia" w:cs="Times New Roman"/>
                    </w:rPr>
                    <w:t>第十六条禁止在长江流域江河、湖泊新设、改设或者扩大排污口，经有管辖权的生态环境主管部门或者长江流域生态环境监督管理机构同意的除外。</w:t>
                  </w:r>
                </w:p>
              </w:tc>
              <w:tc>
                <w:tcPr>
                  <w:tcW w:w="1260" w:type="pct"/>
                  <w:tcBorders>
                    <w:tl2br w:val="nil"/>
                    <w:tr2bl w:val="nil"/>
                  </w:tcBorders>
                  <w:vAlign w:val="center"/>
                </w:tcPr>
                <w:p w14:paraId="04491EA5">
                  <w:pPr>
                    <w:pStyle w:val="40"/>
                    <w:jc w:val="both"/>
                    <w:rPr>
                      <w:rFonts w:cs="Times New Roman"/>
                    </w:rPr>
                  </w:pPr>
                  <w:r>
                    <w:rPr>
                      <w:rFonts w:hint="eastAsia" w:cs="Times New Roman"/>
                    </w:rPr>
                    <w:t>项目不设置排污口。</w:t>
                  </w:r>
                </w:p>
              </w:tc>
              <w:tc>
                <w:tcPr>
                  <w:tcW w:w="420" w:type="pct"/>
                  <w:tcBorders>
                    <w:tl2br w:val="nil"/>
                    <w:tr2bl w:val="nil"/>
                  </w:tcBorders>
                  <w:vAlign w:val="center"/>
                </w:tcPr>
                <w:p w14:paraId="04295DFC">
                  <w:pPr>
                    <w:pStyle w:val="40"/>
                    <w:rPr>
                      <w:rFonts w:cs="Times New Roman"/>
                    </w:rPr>
                  </w:pPr>
                  <w:r>
                    <w:rPr>
                      <w:rFonts w:hint="eastAsia" w:cs="Times New Roman"/>
                    </w:rPr>
                    <w:t>符合</w:t>
                  </w:r>
                </w:p>
              </w:tc>
            </w:tr>
            <w:tr w14:paraId="0CA7F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2D7A5D78">
                  <w:pPr>
                    <w:pStyle w:val="40"/>
                    <w:rPr>
                      <w:rFonts w:cs="Times New Roman"/>
                    </w:rPr>
                  </w:pPr>
                  <w:r>
                    <w:rPr>
                      <w:rFonts w:cs="Times New Roman"/>
                    </w:rPr>
                    <w:t>11</w:t>
                  </w:r>
                </w:p>
              </w:tc>
              <w:tc>
                <w:tcPr>
                  <w:tcW w:w="3078" w:type="pct"/>
                  <w:tcBorders>
                    <w:tl2br w:val="nil"/>
                    <w:tr2bl w:val="nil"/>
                  </w:tcBorders>
                  <w:vAlign w:val="center"/>
                </w:tcPr>
                <w:p w14:paraId="4A60A148">
                  <w:pPr>
                    <w:pStyle w:val="40"/>
                    <w:jc w:val="both"/>
                    <w:rPr>
                      <w:rFonts w:cs="Times New Roman"/>
                    </w:rPr>
                  </w:pPr>
                  <w:r>
                    <w:rPr>
                      <w:rFonts w:hint="eastAsia" w:cs="Times New Roman"/>
                    </w:rPr>
                    <w:t>第十八条禁止在长江干支流、重要湖泊岸线一公里范围内新建、扩建化工园区和化工项目。</w:t>
                  </w:r>
                </w:p>
              </w:tc>
              <w:tc>
                <w:tcPr>
                  <w:tcW w:w="1260" w:type="pct"/>
                  <w:tcBorders>
                    <w:tl2br w:val="nil"/>
                    <w:tr2bl w:val="nil"/>
                  </w:tcBorders>
                  <w:vAlign w:val="center"/>
                </w:tcPr>
                <w:p w14:paraId="78181514">
                  <w:pPr>
                    <w:pStyle w:val="40"/>
                    <w:jc w:val="both"/>
                    <w:rPr>
                      <w:rFonts w:cs="Times New Roman"/>
                    </w:rPr>
                  </w:pPr>
                  <w:r>
                    <w:rPr>
                      <w:rFonts w:hint="eastAsia" w:cs="Times New Roman"/>
                    </w:rPr>
                    <w:t>项目为防洪除涝工程，不属于化工项目</w:t>
                  </w:r>
                </w:p>
              </w:tc>
              <w:tc>
                <w:tcPr>
                  <w:tcW w:w="420" w:type="pct"/>
                  <w:tcBorders>
                    <w:tl2br w:val="nil"/>
                    <w:tr2bl w:val="nil"/>
                  </w:tcBorders>
                  <w:vAlign w:val="center"/>
                </w:tcPr>
                <w:p w14:paraId="4EED9CDF">
                  <w:pPr>
                    <w:pStyle w:val="40"/>
                    <w:rPr>
                      <w:rFonts w:cs="Times New Roman"/>
                    </w:rPr>
                  </w:pPr>
                  <w:r>
                    <w:rPr>
                      <w:rFonts w:hint="eastAsia" w:cs="Times New Roman"/>
                    </w:rPr>
                    <w:t>符合</w:t>
                  </w:r>
                </w:p>
              </w:tc>
            </w:tr>
            <w:tr w14:paraId="26436F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22372837">
                  <w:pPr>
                    <w:pStyle w:val="40"/>
                    <w:rPr>
                      <w:rFonts w:cs="Times New Roman"/>
                    </w:rPr>
                  </w:pPr>
                  <w:r>
                    <w:rPr>
                      <w:rFonts w:cs="Times New Roman"/>
                    </w:rPr>
                    <w:t>12</w:t>
                  </w:r>
                </w:p>
              </w:tc>
              <w:tc>
                <w:tcPr>
                  <w:tcW w:w="3078" w:type="pct"/>
                  <w:tcBorders>
                    <w:tl2br w:val="nil"/>
                    <w:tr2bl w:val="nil"/>
                  </w:tcBorders>
                  <w:vAlign w:val="center"/>
                </w:tcPr>
                <w:p w14:paraId="390E7E1A">
                  <w:pPr>
                    <w:pStyle w:val="40"/>
                    <w:jc w:val="both"/>
                    <w:rPr>
                      <w:rFonts w:cs="Times New Roman"/>
                    </w:rPr>
                  </w:pPr>
                  <w:r>
                    <w:rPr>
                      <w:rFonts w:hint="eastAsia" w:cs="Times New Roman"/>
                    </w:rPr>
                    <w:t>第十九条禁止在长江干流岸线三公里范围内和重要支流岸线一公里范围内新建、改建、扩建尾矿库、冶炼渣库、磷石膏库，以提升安全、生态环境保护水平为目的的改建除外。</w:t>
                  </w:r>
                </w:p>
              </w:tc>
              <w:tc>
                <w:tcPr>
                  <w:tcW w:w="1260" w:type="pct"/>
                  <w:tcBorders>
                    <w:tl2br w:val="nil"/>
                    <w:tr2bl w:val="nil"/>
                  </w:tcBorders>
                  <w:vAlign w:val="center"/>
                </w:tcPr>
                <w:p w14:paraId="7C088727">
                  <w:pPr>
                    <w:pStyle w:val="40"/>
                    <w:jc w:val="both"/>
                    <w:rPr>
                      <w:rFonts w:cs="Times New Roman"/>
                    </w:rPr>
                  </w:pPr>
                  <w:r>
                    <w:rPr>
                      <w:rFonts w:hint="eastAsia" w:cs="Times New Roman"/>
                    </w:rPr>
                    <w:t>项目为防洪除涝工程，不属于尾矿库、冶炼渣库、磷石膏库等。</w:t>
                  </w:r>
                </w:p>
              </w:tc>
              <w:tc>
                <w:tcPr>
                  <w:tcW w:w="420" w:type="pct"/>
                  <w:tcBorders>
                    <w:tl2br w:val="nil"/>
                    <w:tr2bl w:val="nil"/>
                  </w:tcBorders>
                  <w:vAlign w:val="center"/>
                </w:tcPr>
                <w:p w14:paraId="6E35EFF5">
                  <w:pPr>
                    <w:pStyle w:val="40"/>
                    <w:rPr>
                      <w:rFonts w:cs="Times New Roman"/>
                    </w:rPr>
                  </w:pPr>
                  <w:r>
                    <w:rPr>
                      <w:rFonts w:hint="eastAsia" w:cs="Times New Roman"/>
                    </w:rPr>
                    <w:t>符合</w:t>
                  </w:r>
                </w:p>
              </w:tc>
            </w:tr>
            <w:tr w14:paraId="05E92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041A930B">
                  <w:pPr>
                    <w:pStyle w:val="40"/>
                    <w:rPr>
                      <w:rFonts w:cs="Times New Roman"/>
                    </w:rPr>
                  </w:pPr>
                  <w:r>
                    <w:rPr>
                      <w:rFonts w:cs="Times New Roman"/>
                    </w:rPr>
                    <w:t>13</w:t>
                  </w:r>
                </w:p>
              </w:tc>
              <w:tc>
                <w:tcPr>
                  <w:tcW w:w="3078" w:type="pct"/>
                  <w:tcBorders>
                    <w:tl2br w:val="nil"/>
                    <w:tr2bl w:val="nil"/>
                  </w:tcBorders>
                  <w:vAlign w:val="center"/>
                </w:tcPr>
                <w:p w14:paraId="0A87D049">
                  <w:pPr>
                    <w:pStyle w:val="40"/>
                    <w:jc w:val="both"/>
                    <w:rPr>
                      <w:rFonts w:cs="Times New Roman"/>
                    </w:rPr>
                  </w:pPr>
                  <w:r>
                    <w:rPr>
                      <w:rFonts w:hint="eastAsia" w:cs="Times New Roman"/>
                    </w:rPr>
                    <w:t>第二十条禁止在生态保护红线区域、永久基</w:t>
                  </w:r>
                </w:p>
                <w:p w14:paraId="174E3858">
                  <w:pPr>
                    <w:pStyle w:val="40"/>
                    <w:jc w:val="both"/>
                    <w:rPr>
                      <w:rFonts w:cs="Times New Roman"/>
                    </w:rPr>
                  </w:pPr>
                  <w:r>
                    <w:rPr>
                      <w:rFonts w:hint="eastAsia" w:cs="Times New Roman"/>
                    </w:rPr>
                    <w:t>本农田集中区域和其他需要特别保护的区</w:t>
                  </w:r>
                </w:p>
                <w:p w14:paraId="2ED447CF">
                  <w:pPr>
                    <w:pStyle w:val="40"/>
                    <w:jc w:val="both"/>
                    <w:rPr>
                      <w:rFonts w:cs="Times New Roman"/>
                    </w:rPr>
                  </w:pPr>
                  <w:r>
                    <w:rPr>
                      <w:rFonts w:hint="eastAsia" w:cs="Times New Roman"/>
                    </w:rPr>
                    <w:t>域内选址建设尾矿库、冶炼渣库、磷石膏库。</w:t>
                  </w:r>
                </w:p>
              </w:tc>
              <w:tc>
                <w:tcPr>
                  <w:tcW w:w="1260" w:type="pct"/>
                  <w:tcBorders>
                    <w:tl2br w:val="nil"/>
                    <w:tr2bl w:val="nil"/>
                  </w:tcBorders>
                  <w:vAlign w:val="center"/>
                </w:tcPr>
                <w:p w14:paraId="20D3A0C0">
                  <w:pPr>
                    <w:pStyle w:val="40"/>
                    <w:jc w:val="both"/>
                    <w:rPr>
                      <w:rFonts w:cs="Times New Roman"/>
                    </w:rPr>
                  </w:pPr>
                  <w:r>
                    <w:rPr>
                      <w:rFonts w:hint="eastAsia" w:cs="Times New Roman"/>
                    </w:rPr>
                    <w:t>项目为防洪除涝工程，不属于尾矿库、冶炼渣库、磷石膏库等。</w:t>
                  </w:r>
                </w:p>
              </w:tc>
              <w:tc>
                <w:tcPr>
                  <w:tcW w:w="420" w:type="pct"/>
                  <w:tcBorders>
                    <w:tl2br w:val="nil"/>
                    <w:tr2bl w:val="nil"/>
                  </w:tcBorders>
                  <w:vAlign w:val="center"/>
                </w:tcPr>
                <w:p w14:paraId="71CAA357">
                  <w:pPr>
                    <w:pStyle w:val="40"/>
                    <w:rPr>
                      <w:rFonts w:cs="Times New Roman"/>
                    </w:rPr>
                  </w:pPr>
                  <w:r>
                    <w:rPr>
                      <w:rFonts w:hint="eastAsia" w:cs="Times New Roman"/>
                    </w:rPr>
                    <w:t>符合</w:t>
                  </w:r>
                </w:p>
              </w:tc>
            </w:tr>
            <w:tr w14:paraId="26CF4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5C6E84BA">
                  <w:pPr>
                    <w:pStyle w:val="40"/>
                    <w:rPr>
                      <w:rFonts w:cs="Times New Roman"/>
                    </w:rPr>
                  </w:pPr>
                  <w:r>
                    <w:rPr>
                      <w:rFonts w:cs="Times New Roman"/>
                    </w:rPr>
                    <w:t>14</w:t>
                  </w:r>
                </w:p>
              </w:tc>
              <w:tc>
                <w:tcPr>
                  <w:tcW w:w="3078" w:type="pct"/>
                  <w:tcBorders>
                    <w:tl2br w:val="nil"/>
                    <w:tr2bl w:val="nil"/>
                  </w:tcBorders>
                  <w:vAlign w:val="center"/>
                </w:tcPr>
                <w:p w14:paraId="16E6B4FB">
                  <w:pPr>
                    <w:pStyle w:val="40"/>
                    <w:jc w:val="both"/>
                    <w:rPr>
                      <w:rFonts w:cs="Times New Roman"/>
                    </w:rPr>
                  </w:pPr>
                  <w:r>
                    <w:rPr>
                      <w:rFonts w:hint="eastAsia" w:cs="Times New Roman"/>
                    </w:rPr>
                    <w:t>第二十一条禁止在合规园区外新建、扩建钢铁、石化、化工、焦化、建材、有色、制浆造纸等高污染项目。</w:t>
                  </w:r>
                </w:p>
              </w:tc>
              <w:tc>
                <w:tcPr>
                  <w:tcW w:w="1260" w:type="pct"/>
                  <w:tcBorders>
                    <w:tl2br w:val="nil"/>
                    <w:tr2bl w:val="nil"/>
                  </w:tcBorders>
                  <w:vAlign w:val="center"/>
                </w:tcPr>
                <w:p w14:paraId="2BB9B9C2">
                  <w:pPr>
                    <w:pStyle w:val="40"/>
                    <w:jc w:val="both"/>
                    <w:rPr>
                      <w:rFonts w:cs="Times New Roman"/>
                    </w:rPr>
                  </w:pPr>
                  <w:r>
                    <w:rPr>
                      <w:rFonts w:hint="eastAsia" w:cs="Times New Roman"/>
                    </w:rPr>
                    <w:t>项目为防洪除涝工程，不属于钢铁、石化、化工、焦化、建材、有色、制浆造纸等高污染项目。</w:t>
                  </w:r>
                </w:p>
              </w:tc>
              <w:tc>
                <w:tcPr>
                  <w:tcW w:w="420" w:type="pct"/>
                  <w:tcBorders>
                    <w:tl2br w:val="nil"/>
                    <w:tr2bl w:val="nil"/>
                  </w:tcBorders>
                  <w:vAlign w:val="center"/>
                </w:tcPr>
                <w:p w14:paraId="0F180047">
                  <w:pPr>
                    <w:pStyle w:val="40"/>
                    <w:rPr>
                      <w:rFonts w:cs="Times New Roman"/>
                    </w:rPr>
                  </w:pPr>
                  <w:r>
                    <w:rPr>
                      <w:rFonts w:hint="eastAsia" w:cs="Times New Roman"/>
                    </w:rPr>
                    <w:t>符合</w:t>
                  </w:r>
                </w:p>
              </w:tc>
            </w:tr>
            <w:tr w14:paraId="02DC7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798218B0">
                  <w:pPr>
                    <w:pStyle w:val="40"/>
                    <w:rPr>
                      <w:rFonts w:cs="Times New Roman"/>
                    </w:rPr>
                  </w:pPr>
                  <w:r>
                    <w:rPr>
                      <w:rFonts w:cs="Times New Roman"/>
                    </w:rPr>
                    <w:t>15</w:t>
                  </w:r>
                </w:p>
              </w:tc>
              <w:tc>
                <w:tcPr>
                  <w:tcW w:w="3078" w:type="pct"/>
                  <w:tcBorders>
                    <w:tl2br w:val="nil"/>
                    <w:tr2bl w:val="nil"/>
                  </w:tcBorders>
                  <w:vAlign w:val="center"/>
                </w:tcPr>
                <w:p w14:paraId="0EFA00C4">
                  <w:pPr>
                    <w:pStyle w:val="40"/>
                    <w:jc w:val="both"/>
                    <w:rPr>
                      <w:rFonts w:cs="Times New Roman"/>
                    </w:rPr>
                  </w:pPr>
                  <w:r>
                    <w:rPr>
                      <w:rFonts w:hint="eastAsia" w:cs="Times New Roman"/>
                    </w:rPr>
                    <w:t>第二十三条禁止新建、扩建法律法规和相关政策明令禁止的落后产能项目。对《产业结构调整指导目录》中淘汰类项目，禁止投资；限制类的新建项目，禁止投资，对属于限制类的现有生产能力，允许企业在一定期限内采取措施改造升级。</w:t>
                  </w:r>
                </w:p>
              </w:tc>
              <w:tc>
                <w:tcPr>
                  <w:tcW w:w="1260" w:type="pct"/>
                  <w:tcBorders>
                    <w:tl2br w:val="nil"/>
                    <w:tr2bl w:val="nil"/>
                  </w:tcBorders>
                  <w:vAlign w:val="center"/>
                </w:tcPr>
                <w:p w14:paraId="27FC172D">
                  <w:pPr>
                    <w:pStyle w:val="40"/>
                    <w:jc w:val="both"/>
                    <w:rPr>
                      <w:rFonts w:cs="Times New Roman"/>
                    </w:rPr>
                  </w:pPr>
                  <w:r>
                    <w:rPr>
                      <w:rFonts w:hint="eastAsia" w:cs="Times New Roman"/>
                    </w:rPr>
                    <w:t>项目为防洪除涝工程，属于“允许类”项目，不属于淘汰类、限制类和禁止类项目。</w:t>
                  </w:r>
                </w:p>
              </w:tc>
              <w:tc>
                <w:tcPr>
                  <w:tcW w:w="420" w:type="pct"/>
                  <w:tcBorders>
                    <w:tl2br w:val="nil"/>
                    <w:tr2bl w:val="nil"/>
                  </w:tcBorders>
                  <w:vAlign w:val="center"/>
                </w:tcPr>
                <w:p w14:paraId="0D11E720">
                  <w:pPr>
                    <w:pStyle w:val="40"/>
                    <w:rPr>
                      <w:rFonts w:cs="Times New Roman"/>
                    </w:rPr>
                  </w:pPr>
                  <w:r>
                    <w:rPr>
                      <w:rFonts w:hint="eastAsia" w:cs="Times New Roman"/>
                    </w:rPr>
                    <w:t>符合</w:t>
                  </w:r>
                </w:p>
              </w:tc>
            </w:tr>
            <w:tr w14:paraId="767EEB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5FFE552A">
                  <w:pPr>
                    <w:pStyle w:val="40"/>
                    <w:rPr>
                      <w:rFonts w:cs="Times New Roman"/>
                    </w:rPr>
                  </w:pPr>
                  <w:r>
                    <w:rPr>
                      <w:rFonts w:cs="Times New Roman"/>
                    </w:rPr>
                    <w:t>16</w:t>
                  </w:r>
                </w:p>
              </w:tc>
              <w:tc>
                <w:tcPr>
                  <w:tcW w:w="3078" w:type="pct"/>
                  <w:tcBorders>
                    <w:tl2br w:val="nil"/>
                    <w:tr2bl w:val="nil"/>
                  </w:tcBorders>
                  <w:vAlign w:val="center"/>
                </w:tcPr>
                <w:p w14:paraId="3B160AE5">
                  <w:pPr>
                    <w:pStyle w:val="40"/>
                    <w:jc w:val="both"/>
                    <w:rPr>
                      <w:rFonts w:cs="Times New Roman"/>
                    </w:rPr>
                  </w:pPr>
                  <w:r>
                    <w:rPr>
                      <w:rFonts w:hint="eastAsia" w:cs="Times New Roman"/>
                    </w:rPr>
                    <w:t>第二十四条禁止新建、扩建不符合国家产能置换要求的严重过剩产能行业的项目。对于不符合国家产能置换要求的严重过剩产能行业，不得以其他任何名义、任何方式备案新增产能项目。</w:t>
                  </w:r>
                </w:p>
              </w:tc>
              <w:tc>
                <w:tcPr>
                  <w:tcW w:w="1260" w:type="pct"/>
                  <w:tcBorders>
                    <w:tl2br w:val="nil"/>
                    <w:tr2bl w:val="nil"/>
                  </w:tcBorders>
                  <w:vAlign w:val="center"/>
                </w:tcPr>
                <w:p w14:paraId="57ACCD7B">
                  <w:pPr>
                    <w:pStyle w:val="40"/>
                    <w:jc w:val="both"/>
                    <w:rPr>
                      <w:rFonts w:cs="Times New Roman"/>
                    </w:rPr>
                  </w:pPr>
                  <w:r>
                    <w:rPr>
                      <w:rFonts w:hint="eastAsia" w:cs="Times New Roman"/>
                    </w:rPr>
                    <w:t>项目为防洪除涝工程，不属于过剩产能行业。</w:t>
                  </w:r>
                </w:p>
              </w:tc>
              <w:tc>
                <w:tcPr>
                  <w:tcW w:w="420" w:type="pct"/>
                  <w:tcBorders>
                    <w:tl2br w:val="nil"/>
                    <w:tr2bl w:val="nil"/>
                  </w:tcBorders>
                  <w:vAlign w:val="center"/>
                </w:tcPr>
                <w:p w14:paraId="1B53BCCE">
                  <w:pPr>
                    <w:pStyle w:val="40"/>
                    <w:rPr>
                      <w:rFonts w:cs="Times New Roman"/>
                    </w:rPr>
                  </w:pPr>
                  <w:r>
                    <w:rPr>
                      <w:rFonts w:hint="eastAsia" w:cs="Times New Roman"/>
                    </w:rPr>
                    <w:t>符合</w:t>
                  </w:r>
                </w:p>
              </w:tc>
            </w:tr>
            <w:tr w14:paraId="619F8E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 w:type="pct"/>
                  <w:tcBorders>
                    <w:tl2br w:val="nil"/>
                    <w:tr2bl w:val="nil"/>
                  </w:tcBorders>
                  <w:vAlign w:val="center"/>
                </w:tcPr>
                <w:p w14:paraId="7E1D5DF8">
                  <w:pPr>
                    <w:pStyle w:val="40"/>
                    <w:rPr>
                      <w:rFonts w:cs="Times New Roman"/>
                    </w:rPr>
                  </w:pPr>
                  <w:r>
                    <w:rPr>
                      <w:rFonts w:cs="Times New Roman"/>
                    </w:rPr>
                    <w:t>17</w:t>
                  </w:r>
                </w:p>
              </w:tc>
              <w:tc>
                <w:tcPr>
                  <w:tcW w:w="3078" w:type="pct"/>
                  <w:tcBorders>
                    <w:tl2br w:val="nil"/>
                    <w:tr2bl w:val="nil"/>
                  </w:tcBorders>
                  <w:vAlign w:val="center"/>
                </w:tcPr>
                <w:p w14:paraId="47AAF698">
                  <w:pPr>
                    <w:pStyle w:val="40"/>
                    <w:jc w:val="both"/>
                    <w:rPr>
                      <w:rFonts w:cs="Times New Roman"/>
                    </w:rPr>
                  </w:pPr>
                  <w:r>
                    <w:rPr>
                      <w:rFonts w:hint="eastAsia" w:cs="Times New Roman"/>
                    </w:rPr>
                    <w:t>第二十六条禁止新建、扩建不符合要求的高耗能、高排放、低水平项目。</w:t>
                  </w:r>
                </w:p>
              </w:tc>
              <w:tc>
                <w:tcPr>
                  <w:tcW w:w="1260" w:type="pct"/>
                  <w:tcBorders>
                    <w:tl2br w:val="nil"/>
                    <w:tr2bl w:val="nil"/>
                  </w:tcBorders>
                  <w:vAlign w:val="center"/>
                </w:tcPr>
                <w:p w14:paraId="04C2F6AB">
                  <w:pPr>
                    <w:pStyle w:val="40"/>
                    <w:jc w:val="both"/>
                    <w:rPr>
                      <w:rFonts w:cs="Times New Roman"/>
                    </w:rPr>
                  </w:pPr>
                  <w:r>
                    <w:rPr>
                      <w:rFonts w:hint="eastAsia" w:cs="Times New Roman"/>
                    </w:rPr>
                    <w:t>项目为防洪除涝工程，不属于高耗能、高排放和低水平项目。</w:t>
                  </w:r>
                </w:p>
              </w:tc>
              <w:tc>
                <w:tcPr>
                  <w:tcW w:w="420" w:type="pct"/>
                  <w:tcBorders>
                    <w:tl2br w:val="nil"/>
                    <w:tr2bl w:val="nil"/>
                  </w:tcBorders>
                  <w:vAlign w:val="center"/>
                </w:tcPr>
                <w:p w14:paraId="467DC29B">
                  <w:pPr>
                    <w:pStyle w:val="40"/>
                    <w:rPr>
                      <w:rFonts w:cs="Times New Roman"/>
                    </w:rPr>
                  </w:pPr>
                  <w:r>
                    <w:rPr>
                      <w:rFonts w:hint="eastAsia" w:cs="Times New Roman"/>
                    </w:rPr>
                    <w:t>符合</w:t>
                  </w:r>
                </w:p>
              </w:tc>
            </w:tr>
          </w:tbl>
          <w:p w14:paraId="4139D82F">
            <w:pPr>
              <w:spacing w:before="156" w:beforeLines="50" w:line="360" w:lineRule="auto"/>
              <w:ind w:firstLine="480" w:firstLineChars="200"/>
              <w:rPr>
                <w:b/>
              </w:rPr>
            </w:pPr>
            <w:r>
              <w:rPr>
                <w:rFonts w:hint="eastAsia"/>
              </w:rPr>
              <w:t>综上，项目建设满足《四川省、重庆市长江经济带发展负面清单实施细则（试行，2022年版）》（川长江办〔2022〕17号）的相应要求。</w:t>
            </w:r>
          </w:p>
          <w:p w14:paraId="6327599D">
            <w:pPr>
              <w:autoSpaceDE w:val="0"/>
              <w:autoSpaceDN w:val="0"/>
              <w:adjustRightInd w:val="0"/>
              <w:spacing w:line="360" w:lineRule="auto"/>
              <w:ind w:firstLine="482" w:firstLineChars="200"/>
              <w:jc w:val="left"/>
              <w:rPr>
                <w:b/>
              </w:rPr>
            </w:pPr>
            <w:r>
              <w:rPr>
                <w:rFonts w:hint="eastAsia"/>
                <w:b/>
              </w:rPr>
              <w:t>6、与《水利建设项目（河湖整治与防洪除涝工程）环境影响评价文件审批原则》（环办环评</w:t>
            </w:r>
            <w:r>
              <w:rPr>
                <w:rFonts w:hint="eastAsia"/>
                <w:b/>
                <w:bCs/>
              </w:rPr>
              <w:t>〔2018〕2号</w:t>
            </w:r>
            <w:r>
              <w:rPr>
                <w:rFonts w:hint="eastAsia"/>
                <w:b/>
              </w:rPr>
              <w:t>）的符合性分析</w:t>
            </w:r>
          </w:p>
          <w:p w14:paraId="77A5D45E">
            <w:pPr>
              <w:spacing w:line="360" w:lineRule="auto"/>
              <w:ind w:firstLine="480" w:firstLineChars="200"/>
              <w:rPr>
                <w:kern w:val="0"/>
                <w:lang w:bidi="ar"/>
              </w:rPr>
            </w:pPr>
            <w:r>
              <w:rPr>
                <w:rFonts w:hint="eastAsia"/>
              </w:rPr>
              <w:t>根据2018年1月4日生态环境部（原环境保护部）办公厅《关于印发机场、港口、水利（河湖整治与防洪除涝工程）三个行业建设项目环境影响评价文件审批原则的通知》（环办环评〔2018〕2号）规定。本工程属于规定中的堤防建设工程，</w:t>
            </w:r>
            <w:r>
              <w:rPr>
                <w:rFonts w:hint="eastAsia"/>
                <w:kern w:val="0"/>
                <w:lang w:bidi="ar"/>
              </w:rPr>
              <w:t>本项目与《</w:t>
            </w:r>
            <w:r>
              <w:rPr>
                <w:rFonts w:hint="eastAsia"/>
              </w:rPr>
              <w:t>水利建设项目（河湖整治与防洪除涝工程）环境影响评价文件审批原则》</w:t>
            </w:r>
            <w:r>
              <w:rPr>
                <w:rFonts w:hint="eastAsia"/>
                <w:kern w:val="0"/>
                <w:lang w:bidi="ar"/>
              </w:rPr>
              <w:t>相符性分析见下表。</w:t>
            </w:r>
          </w:p>
          <w:p w14:paraId="2FD10F6A">
            <w:pPr>
              <w:pStyle w:val="7"/>
              <w:rPr>
                <w:rFonts w:cs="Times New Roman"/>
              </w:rPr>
            </w:pPr>
            <w:r>
              <w:rPr>
                <w:rFonts w:hint="eastAsia" w:cs="Times New Roman"/>
              </w:rPr>
              <w:t xml:space="preserve">表1- </w:t>
            </w:r>
            <w:r>
              <w:rPr>
                <w:rFonts w:cs="Times New Roman"/>
              </w:rPr>
              <w:fldChar w:fldCharType="begin"/>
            </w:r>
            <w:r>
              <w:rPr>
                <w:rFonts w:hint="eastAsia" w:cs="Times New Roman"/>
              </w:rPr>
              <w:instrText xml:space="preserve"> SEQ 表1- \* ARABIC </w:instrText>
            </w:r>
            <w:r>
              <w:rPr>
                <w:rFonts w:cs="Times New Roman"/>
              </w:rPr>
              <w:fldChar w:fldCharType="separate"/>
            </w:r>
            <w:r>
              <w:rPr>
                <w:rFonts w:cs="Times New Roman"/>
              </w:rPr>
              <w:t>11</w:t>
            </w:r>
            <w:r>
              <w:rPr>
                <w:rFonts w:cs="Times New Roman"/>
              </w:rPr>
              <w:fldChar w:fldCharType="end"/>
            </w:r>
            <w:r>
              <w:rPr>
                <w:rFonts w:hint="eastAsia" w:cs="Times New Roman"/>
              </w:rPr>
              <w:t xml:space="preserve">  本项目与环办环评〔2018〕2号符合性对比表</w:t>
            </w:r>
          </w:p>
          <w:tbl>
            <w:tblPr>
              <w:tblStyle w:val="49"/>
              <w:tblW w:w="500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6337"/>
              <w:gridCol w:w="1860"/>
              <w:gridCol w:w="646"/>
            </w:tblGrid>
            <w:tr w14:paraId="6F769B8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02491354">
                  <w:pPr>
                    <w:pStyle w:val="40"/>
                    <w:rPr>
                      <w:rFonts w:cs="Times New Roman"/>
                      <w:b/>
                      <w:bCs/>
                    </w:rPr>
                  </w:pPr>
                  <w:r>
                    <w:rPr>
                      <w:rFonts w:hint="eastAsia" w:cs="Times New Roman"/>
                      <w:b/>
                      <w:bCs/>
                    </w:rPr>
                    <w:t>审批原则</w:t>
                  </w:r>
                </w:p>
              </w:tc>
              <w:tc>
                <w:tcPr>
                  <w:tcW w:w="1860" w:type="dxa"/>
                  <w:tcBorders>
                    <w:tl2br w:val="nil"/>
                    <w:tr2bl w:val="nil"/>
                  </w:tcBorders>
                  <w:vAlign w:val="center"/>
                </w:tcPr>
                <w:p w14:paraId="48772B5F">
                  <w:pPr>
                    <w:pStyle w:val="59"/>
                    <w:ind w:left="120" w:leftChars="50" w:right="120" w:rightChars="50"/>
                    <w:rPr>
                      <w:rFonts w:cs="Times New Roman"/>
                    </w:rPr>
                  </w:pPr>
                  <w:r>
                    <w:rPr>
                      <w:rFonts w:hint="eastAsia" w:cs="Times New Roman"/>
                      <w:b/>
                      <w:bCs/>
                    </w:rPr>
                    <w:t>本项目情况</w:t>
                  </w:r>
                </w:p>
              </w:tc>
              <w:tc>
                <w:tcPr>
                  <w:tcW w:w="646" w:type="dxa"/>
                  <w:tcBorders>
                    <w:tl2br w:val="nil"/>
                    <w:tr2bl w:val="nil"/>
                  </w:tcBorders>
                  <w:vAlign w:val="center"/>
                </w:tcPr>
                <w:p w14:paraId="1EC7BBA6">
                  <w:pPr>
                    <w:pStyle w:val="40"/>
                    <w:rPr>
                      <w:rFonts w:cs="Times New Roman"/>
                      <w:b/>
                      <w:bCs/>
                    </w:rPr>
                  </w:pPr>
                  <w:r>
                    <w:rPr>
                      <w:rFonts w:hint="eastAsia" w:cs="Times New Roman"/>
                      <w:b/>
                      <w:bCs/>
                    </w:rPr>
                    <w:t>符合性</w:t>
                  </w:r>
                </w:p>
              </w:tc>
            </w:tr>
            <w:tr w14:paraId="57092BE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343899A7">
                  <w:pPr>
                    <w:pStyle w:val="40"/>
                    <w:jc w:val="both"/>
                    <w:rPr>
                      <w:rFonts w:cs="Times New Roman"/>
                    </w:rPr>
                  </w:pPr>
                  <w:r>
                    <w:rPr>
                      <w:rFonts w:hint="eastAsia" w:cs="Times New Roman"/>
                    </w:rPr>
                    <w:t>第一条、本原则适用于河湖整治与防洪除涝工程环境影响评价文件的审批，工程建设内容包括疏浚、堤防建设、闸坝闸站建设、岸线治理、水系连通、蓄（滞）洪区建设、排涝治理等（引调水、防洪水库等水利枢纽工程除外）。其他类似工程可参照执行。</w:t>
                  </w:r>
                </w:p>
              </w:tc>
              <w:tc>
                <w:tcPr>
                  <w:tcW w:w="1860" w:type="dxa"/>
                  <w:tcBorders>
                    <w:tl2br w:val="nil"/>
                    <w:tr2bl w:val="nil"/>
                  </w:tcBorders>
                  <w:vAlign w:val="center"/>
                </w:tcPr>
                <w:p w14:paraId="7A6B63D2">
                  <w:pPr>
                    <w:pStyle w:val="40"/>
                    <w:jc w:val="both"/>
                    <w:rPr>
                      <w:rFonts w:cs="Times New Roman"/>
                    </w:rPr>
                  </w:pPr>
                  <w:r>
                    <w:rPr>
                      <w:rFonts w:hint="eastAsia" w:cs="Times New Roman"/>
                    </w:rPr>
                    <w:t>本项目属于防洪除涝建设工程。</w:t>
                  </w:r>
                </w:p>
              </w:tc>
              <w:tc>
                <w:tcPr>
                  <w:tcW w:w="646" w:type="dxa"/>
                  <w:tcBorders>
                    <w:tl2br w:val="nil"/>
                    <w:tr2bl w:val="nil"/>
                  </w:tcBorders>
                  <w:vAlign w:val="center"/>
                </w:tcPr>
                <w:p w14:paraId="04E16C6C">
                  <w:pPr>
                    <w:pStyle w:val="40"/>
                    <w:rPr>
                      <w:rFonts w:cs="Times New Roman"/>
                    </w:rPr>
                  </w:pPr>
                  <w:r>
                    <w:rPr>
                      <w:rFonts w:hint="eastAsia" w:cs="Times New Roman"/>
                    </w:rPr>
                    <w:t>符合</w:t>
                  </w:r>
                </w:p>
              </w:tc>
            </w:tr>
            <w:tr w14:paraId="2A75AC3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15E5E708">
                  <w:pPr>
                    <w:pStyle w:val="40"/>
                    <w:jc w:val="both"/>
                    <w:rPr>
                      <w:rFonts w:cs="Times New Roman"/>
                    </w:rPr>
                  </w:pPr>
                  <w:r>
                    <w:rPr>
                      <w:rFonts w:hint="eastAsia" w:cs="Times New Roman"/>
                    </w:rPr>
                    <w:t>第二条、项目符合环境保护相关法律法规和政策要求，与主体功能区规划、生态功能区划、水环境功能区划、水功能区划、生态环境保护规划、流域综合规划、防洪规划等相协调，满足相关规划环评要求。工程涉及岸线调整（治导线变化）、裁弯取直、围垦水面和占用河湖滩地等建设内容的，充分论证了方案环境可行性，最大程度保持了河湖自然形态，最大限度维护了河湖健康、生态系统功能和生物多样性。</w:t>
                  </w:r>
                </w:p>
              </w:tc>
              <w:tc>
                <w:tcPr>
                  <w:tcW w:w="1860" w:type="dxa"/>
                  <w:tcBorders>
                    <w:tl2br w:val="nil"/>
                    <w:tr2bl w:val="nil"/>
                  </w:tcBorders>
                  <w:vAlign w:val="center"/>
                </w:tcPr>
                <w:p w14:paraId="2FDCD488">
                  <w:pPr>
                    <w:pStyle w:val="40"/>
                    <w:jc w:val="both"/>
                    <w:rPr>
                      <w:rFonts w:cs="Times New Roman"/>
                    </w:rPr>
                  </w:pPr>
                  <w:r>
                    <w:rPr>
                      <w:rFonts w:hint="eastAsia" w:cs="Times New Roman"/>
                    </w:rPr>
                    <w:t>本工程符合环境保护相关法律法规和规划要求，项目的实施有利于增加沟道行洪能力，改善沟段水流条件。</w:t>
                  </w:r>
                </w:p>
              </w:tc>
              <w:tc>
                <w:tcPr>
                  <w:tcW w:w="646" w:type="dxa"/>
                  <w:tcBorders>
                    <w:tl2br w:val="nil"/>
                    <w:tr2bl w:val="nil"/>
                  </w:tcBorders>
                  <w:vAlign w:val="center"/>
                </w:tcPr>
                <w:p w14:paraId="45D228D7">
                  <w:pPr>
                    <w:pStyle w:val="40"/>
                    <w:rPr>
                      <w:rFonts w:cs="Times New Roman"/>
                    </w:rPr>
                  </w:pPr>
                  <w:r>
                    <w:rPr>
                      <w:rFonts w:hint="eastAsia" w:cs="Times New Roman"/>
                    </w:rPr>
                    <w:t>符合</w:t>
                  </w:r>
                </w:p>
              </w:tc>
            </w:tr>
            <w:tr w14:paraId="53D7812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327" w:hRule="atLeast"/>
                <w:jc w:val="center"/>
              </w:trPr>
              <w:tc>
                <w:tcPr>
                  <w:tcW w:w="6337" w:type="dxa"/>
                  <w:tcBorders>
                    <w:tl2br w:val="nil"/>
                    <w:tr2bl w:val="nil"/>
                  </w:tcBorders>
                  <w:vAlign w:val="center"/>
                </w:tcPr>
                <w:p w14:paraId="7F5D0B07">
                  <w:pPr>
                    <w:pStyle w:val="40"/>
                    <w:jc w:val="both"/>
                    <w:rPr>
                      <w:rFonts w:cs="Times New Roman"/>
                    </w:rPr>
                  </w:pPr>
                  <w:r>
                    <w:rPr>
                      <w:rFonts w:hint="eastAsia" w:cs="Times New Roman"/>
                    </w:rPr>
                    <w:t>第三条、工程选址选线、施工布置原则上不占用自然保护区、风景名胜区、世界文化和自然遗产地以及其他生态保护红线等环境敏感区中法律法规禁止占用的区域，并与饮用水水源保护区的保护要求相协调。法律法规、政策另有规定的从其规定。</w:t>
                  </w:r>
                </w:p>
              </w:tc>
              <w:tc>
                <w:tcPr>
                  <w:tcW w:w="1860" w:type="dxa"/>
                  <w:tcBorders>
                    <w:tl2br w:val="nil"/>
                    <w:tr2bl w:val="nil"/>
                  </w:tcBorders>
                  <w:vAlign w:val="center"/>
                </w:tcPr>
                <w:p w14:paraId="2F7D0334">
                  <w:pPr>
                    <w:pStyle w:val="40"/>
                    <w:jc w:val="both"/>
                    <w:rPr>
                      <w:rFonts w:cs="Times New Roman"/>
                    </w:rPr>
                  </w:pPr>
                  <w:r>
                    <w:rPr>
                      <w:rFonts w:hint="eastAsia" w:cs="Times New Roman"/>
                    </w:rPr>
                    <w:t>本工程不涉及自然保护区等环境敏感区，项目实施增加沟道行洪能力。</w:t>
                  </w:r>
                </w:p>
              </w:tc>
              <w:tc>
                <w:tcPr>
                  <w:tcW w:w="646" w:type="dxa"/>
                  <w:tcBorders>
                    <w:tl2br w:val="nil"/>
                    <w:tr2bl w:val="nil"/>
                  </w:tcBorders>
                  <w:vAlign w:val="center"/>
                </w:tcPr>
                <w:p w14:paraId="69F0BEE0">
                  <w:pPr>
                    <w:pStyle w:val="40"/>
                    <w:rPr>
                      <w:rFonts w:cs="Times New Roman"/>
                    </w:rPr>
                  </w:pPr>
                  <w:r>
                    <w:rPr>
                      <w:rFonts w:hint="eastAsia" w:cs="Times New Roman"/>
                    </w:rPr>
                    <w:t>符合</w:t>
                  </w:r>
                </w:p>
              </w:tc>
            </w:tr>
            <w:tr w14:paraId="2FF80F3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0D83611C">
                  <w:pPr>
                    <w:pStyle w:val="40"/>
                    <w:jc w:val="both"/>
                    <w:rPr>
                      <w:rFonts w:cs="Times New Roman"/>
                    </w:rPr>
                  </w:pPr>
                  <w:r>
                    <w:rPr>
                      <w:rFonts w:hint="eastAsia" w:cs="Times New Roman"/>
                    </w:rPr>
                    <w:t>第四条、项目实施改变水动力条件或水文过程且对水质产生不利影响的，提出了工程优化调整、科学调度、实施区域流域水污染防治等措施。对地下水环境产生不利影响或次生环境影响的，提出了优化工程设计、导排、防护等针对性的防治措施。</w:t>
                  </w:r>
                </w:p>
              </w:tc>
              <w:tc>
                <w:tcPr>
                  <w:tcW w:w="1860" w:type="dxa"/>
                  <w:tcBorders>
                    <w:tl2br w:val="nil"/>
                    <w:tr2bl w:val="nil"/>
                  </w:tcBorders>
                  <w:vAlign w:val="center"/>
                </w:tcPr>
                <w:p w14:paraId="043126C6">
                  <w:pPr>
                    <w:pStyle w:val="40"/>
                    <w:jc w:val="both"/>
                    <w:rPr>
                      <w:rFonts w:cs="Times New Roman"/>
                    </w:rPr>
                  </w:pPr>
                  <w:r>
                    <w:rPr>
                      <w:rFonts w:hint="eastAsia" w:cs="Times New Roman"/>
                    </w:rPr>
                    <w:t>本工程的实施有利于增加沟道行洪能力，运营过程不会对地下水产生影响。</w:t>
                  </w:r>
                </w:p>
              </w:tc>
              <w:tc>
                <w:tcPr>
                  <w:tcW w:w="646" w:type="dxa"/>
                  <w:tcBorders>
                    <w:tl2br w:val="nil"/>
                    <w:tr2bl w:val="nil"/>
                  </w:tcBorders>
                  <w:vAlign w:val="center"/>
                </w:tcPr>
                <w:p w14:paraId="6CA924DC">
                  <w:pPr>
                    <w:pStyle w:val="40"/>
                    <w:rPr>
                      <w:rFonts w:cs="Times New Roman"/>
                    </w:rPr>
                  </w:pPr>
                  <w:r>
                    <w:rPr>
                      <w:rFonts w:hint="eastAsia" w:cs="Times New Roman"/>
                    </w:rPr>
                    <w:t>符合</w:t>
                  </w:r>
                </w:p>
              </w:tc>
            </w:tr>
            <w:tr w14:paraId="3A79930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5A6BD3FE">
                  <w:pPr>
                    <w:pStyle w:val="40"/>
                    <w:jc w:val="both"/>
                    <w:rPr>
                      <w:rFonts w:cs="Times New Roman"/>
                    </w:rPr>
                  </w:pPr>
                  <w:r>
                    <w:rPr>
                      <w:rFonts w:hint="eastAsia" w:cs="Times New Roman"/>
                    </w:rPr>
                    <w:t>第五条、项目对鱼类等水生生物的洄游通道及“三场”等重要生境、物种多样性及资源量等产生不利影响的，提出了下泄生态流量、恢复鱼类洄游通道、采用生态友好型护岸（坡、底）、生态修复、增殖放流等措施。</w:t>
                  </w:r>
                </w:p>
              </w:tc>
              <w:tc>
                <w:tcPr>
                  <w:tcW w:w="1860" w:type="dxa"/>
                  <w:tcBorders>
                    <w:tl2br w:val="nil"/>
                    <w:tr2bl w:val="nil"/>
                  </w:tcBorders>
                  <w:vAlign w:val="center"/>
                </w:tcPr>
                <w:p w14:paraId="75B0A783">
                  <w:pPr>
                    <w:pStyle w:val="40"/>
                    <w:jc w:val="both"/>
                    <w:rPr>
                      <w:rFonts w:cs="Times New Roman"/>
                    </w:rPr>
                  </w:pPr>
                  <w:r>
                    <w:rPr>
                      <w:rFonts w:hint="eastAsia" w:cs="Times New Roman"/>
                    </w:rPr>
                    <w:t>根据《泸定县海螺沟山洪沟（共和村、柏秧坪村段）治理工程对水生生物影响及补救措施专题评价报告》中鱼类“三场一通道”调查情况，本项目不涉及鱼类洄游通道及“三场”等重要生境。</w:t>
                  </w:r>
                </w:p>
              </w:tc>
              <w:tc>
                <w:tcPr>
                  <w:tcW w:w="646" w:type="dxa"/>
                  <w:tcBorders>
                    <w:tl2br w:val="nil"/>
                    <w:tr2bl w:val="nil"/>
                  </w:tcBorders>
                  <w:vAlign w:val="center"/>
                </w:tcPr>
                <w:p w14:paraId="1517508B">
                  <w:pPr>
                    <w:pStyle w:val="40"/>
                    <w:rPr>
                      <w:rFonts w:cs="Times New Roman"/>
                    </w:rPr>
                  </w:pPr>
                  <w:r>
                    <w:rPr>
                      <w:rFonts w:hint="eastAsia" w:cs="Times New Roman"/>
                    </w:rPr>
                    <w:t>符合</w:t>
                  </w:r>
                </w:p>
              </w:tc>
            </w:tr>
            <w:tr w14:paraId="67E709A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650A45AA">
                  <w:pPr>
                    <w:pStyle w:val="40"/>
                    <w:jc w:val="both"/>
                    <w:rPr>
                      <w:rFonts w:cs="Times New Roman"/>
                    </w:rPr>
                  </w:pPr>
                  <w:r>
                    <w:rPr>
                      <w:rFonts w:hint="eastAsia" w:cs="Times New Roman"/>
                    </w:rPr>
                    <w:t>第六条、项目对湿地生态系统结构和功能、河湖生态缓冲带造成不利影响的，提出了优化工程设计及调度运行方案、生态修复等措施。对珍稀濒危保护植物造成不利影响的，提出了避让、原位防护、移栽等措施。对陆生珍稀濒危保护动物及其生境造成不利影响的，提出了避让、救护、迁徙廊道构建、生境再造等措施。对景观产生不利影响的，提出了避让、优化设计、景观塑造等措施。</w:t>
                  </w:r>
                </w:p>
              </w:tc>
              <w:tc>
                <w:tcPr>
                  <w:tcW w:w="1860" w:type="dxa"/>
                  <w:tcBorders>
                    <w:tl2br w:val="nil"/>
                    <w:tr2bl w:val="nil"/>
                  </w:tcBorders>
                  <w:vAlign w:val="center"/>
                </w:tcPr>
                <w:p w14:paraId="561F6798">
                  <w:pPr>
                    <w:pStyle w:val="40"/>
                    <w:jc w:val="both"/>
                    <w:rPr>
                      <w:rFonts w:cs="Times New Roman"/>
                    </w:rPr>
                  </w:pPr>
                  <w:r>
                    <w:rPr>
                      <w:rFonts w:hint="eastAsia" w:cs="Times New Roman"/>
                    </w:rPr>
                    <w:t>根据现场踏勘，项目不涉及珍稀濒危动植物。</w:t>
                  </w:r>
                </w:p>
              </w:tc>
              <w:tc>
                <w:tcPr>
                  <w:tcW w:w="646" w:type="dxa"/>
                  <w:tcBorders>
                    <w:tl2br w:val="nil"/>
                    <w:tr2bl w:val="nil"/>
                  </w:tcBorders>
                  <w:vAlign w:val="center"/>
                </w:tcPr>
                <w:p w14:paraId="0DD60E16">
                  <w:pPr>
                    <w:pStyle w:val="40"/>
                    <w:rPr>
                      <w:rFonts w:cs="Times New Roman"/>
                    </w:rPr>
                  </w:pPr>
                  <w:r>
                    <w:rPr>
                      <w:rFonts w:hint="eastAsia" w:cs="Times New Roman"/>
                    </w:rPr>
                    <w:t>符合</w:t>
                  </w:r>
                </w:p>
              </w:tc>
            </w:tr>
            <w:tr w14:paraId="015B315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256942B3">
                  <w:pPr>
                    <w:pStyle w:val="40"/>
                    <w:jc w:val="both"/>
                    <w:rPr>
                      <w:rFonts w:cs="Times New Roman"/>
                    </w:rPr>
                  </w:pPr>
                  <w:r>
                    <w:rPr>
                      <w:rFonts w:hint="eastAsia" w:cs="Times New Roman"/>
                    </w:rPr>
                    <w:t>第七条、项目施工组织方案具有环境合理性，对料场、弃土（渣）场等施工场地提出了水土流失防治和生态修复等措施。根据环境保护相关标准和要求，对施工期各类废（污）水、扬尘、废气、噪声、固体废物等提出了防治或处置措施。其中，涉水施工涉及饮用水水源保护区或取水口并可能对水质造成不利影响的，提出了避让、施工方案优化、污染物控制等措施，涉水施工对鱼类等水生生物及其重要生境造成不利影响的，提出了避让、施工方案优化、控制施工噪声等措施，针对清淤、疏浚等产生的淤泥，提出了符合相关规定的处置或综合利用方案。</w:t>
                  </w:r>
                </w:p>
              </w:tc>
              <w:tc>
                <w:tcPr>
                  <w:tcW w:w="1860" w:type="dxa"/>
                  <w:tcBorders>
                    <w:tl2br w:val="nil"/>
                    <w:tr2bl w:val="nil"/>
                  </w:tcBorders>
                  <w:vAlign w:val="center"/>
                </w:tcPr>
                <w:p w14:paraId="5230A55E">
                  <w:pPr>
                    <w:pStyle w:val="40"/>
                    <w:jc w:val="both"/>
                    <w:rPr>
                      <w:rFonts w:cs="Times New Roman"/>
                    </w:rPr>
                  </w:pPr>
                  <w:r>
                    <w:rPr>
                      <w:rFonts w:hint="eastAsia" w:cs="Times New Roman"/>
                    </w:rPr>
                    <w:t>本项目对工程实施出现的环境问题提出了相应环境保护措施。土石方全部用于堤防工程回填。工程涉及疏浚，但疏浚仅为河床淤积砂卵石的局部清理，疏浚料随挖随运、按粒径分类后全部回用，不涉及淤泥，无淤泥产生，无需另设淤泥处置或综合利用方案。</w:t>
                  </w:r>
                </w:p>
              </w:tc>
              <w:tc>
                <w:tcPr>
                  <w:tcW w:w="646" w:type="dxa"/>
                  <w:tcBorders>
                    <w:tl2br w:val="nil"/>
                    <w:tr2bl w:val="nil"/>
                  </w:tcBorders>
                  <w:vAlign w:val="center"/>
                </w:tcPr>
                <w:p w14:paraId="2F44E6E8">
                  <w:pPr>
                    <w:pStyle w:val="40"/>
                    <w:rPr>
                      <w:rFonts w:cs="Times New Roman"/>
                    </w:rPr>
                  </w:pPr>
                  <w:r>
                    <w:rPr>
                      <w:rFonts w:hint="eastAsia" w:cs="Times New Roman"/>
                    </w:rPr>
                    <w:t>符合</w:t>
                  </w:r>
                </w:p>
              </w:tc>
            </w:tr>
            <w:tr w14:paraId="3797ECF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2281A9E2">
                  <w:pPr>
                    <w:pStyle w:val="40"/>
                    <w:jc w:val="both"/>
                    <w:rPr>
                      <w:rFonts w:cs="Times New Roman"/>
                    </w:rPr>
                  </w:pPr>
                  <w:r>
                    <w:rPr>
                      <w:rFonts w:hint="eastAsia" w:cs="Times New Roman"/>
                    </w:rPr>
                    <w:t>第八条、项目移民安置的选址和建设方式具有环境合理性，提出了生态保护、污水处理、固体废物处置等措施。针对蓄滞洪区的环境污染、新增占地涉及污染场地等，提出了环境管理对策建议。</w:t>
                  </w:r>
                </w:p>
              </w:tc>
              <w:tc>
                <w:tcPr>
                  <w:tcW w:w="1860" w:type="dxa"/>
                  <w:tcBorders>
                    <w:tl2br w:val="nil"/>
                    <w:tr2bl w:val="nil"/>
                  </w:tcBorders>
                  <w:vAlign w:val="center"/>
                </w:tcPr>
                <w:p w14:paraId="635F088F">
                  <w:pPr>
                    <w:pStyle w:val="40"/>
                    <w:jc w:val="both"/>
                    <w:rPr>
                      <w:rFonts w:cs="Times New Roman"/>
                    </w:rPr>
                  </w:pPr>
                  <w:r>
                    <w:rPr>
                      <w:rFonts w:hint="eastAsia" w:cs="Times New Roman"/>
                    </w:rPr>
                    <w:t>本项目不涉及搬迁户。</w:t>
                  </w:r>
                </w:p>
              </w:tc>
              <w:tc>
                <w:tcPr>
                  <w:tcW w:w="646" w:type="dxa"/>
                  <w:tcBorders>
                    <w:tl2br w:val="nil"/>
                    <w:tr2bl w:val="nil"/>
                  </w:tcBorders>
                  <w:vAlign w:val="center"/>
                </w:tcPr>
                <w:p w14:paraId="4FD849E6">
                  <w:pPr>
                    <w:pStyle w:val="40"/>
                    <w:rPr>
                      <w:rFonts w:cs="Times New Roman"/>
                    </w:rPr>
                  </w:pPr>
                  <w:r>
                    <w:rPr>
                      <w:rFonts w:hint="eastAsia" w:cs="Times New Roman"/>
                    </w:rPr>
                    <w:t>符合</w:t>
                  </w:r>
                </w:p>
              </w:tc>
            </w:tr>
            <w:tr w14:paraId="5CCA343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5A69EB6F">
                  <w:pPr>
                    <w:pStyle w:val="40"/>
                    <w:jc w:val="both"/>
                    <w:rPr>
                      <w:rFonts w:cs="Times New Roman"/>
                    </w:rPr>
                  </w:pPr>
                  <w:r>
                    <w:rPr>
                      <w:rFonts w:hint="eastAsia" w:cs="Times New Roman"/>
                    </w:rPr>
                    <w:t>第九条、项目存在河湖水质污染、富营养化或外来物种入侵等环境风险的，提出了针对性的风险防范措施以及环境应急预案编制、建立必要的应急联动机制等要求。</w:t>
                  </w:r>
                </w:p>
              </w:tc>
              <w:tc>
                <w:tcPr>
                  <w:tcW w:w="1860" w:type="dxa"/>
                  <w:tcBorders>
                    <w:tl2br w:val="nil"/>
                    <w:tr2bl w:val="nil"/>
                  </w:tcBorders>
                  <w:vAlign w:val="center"/>
                </w:tcPr>
                <w:p w14:paraId="2C79F444">
                  <w:pPr>
                    <w:pStyle w:val="40"/>
                    <w:jc w:val="both"/>
                    <w:rPr>
                      <w:rFonts w:cs="Times New Roman"/>
                    </w:rPr>
                  </w:pPr>
                  <w:r>
                    <w:rPr>
                      <w:rFonts w:hint="eastAsia" w:cs="Times New Roman"/>
                    </w:rPr>
                    <w:t>已提出针对性的风险防范措施和环境风险应急预案等内容。</w:t>
                  </w:r>
                </w:p>
              </w:tc>
              <w:tc>
                <w:tcPr>
                  <w:tcW w:w="646" w:type="dxa"/>
                  <w:tcBorders>
                    <w:tl2br w:val="nil"/>
                    <w:tr2bl w:val="nil"/>
                  </w:tcBorders>
                  <w:vAlign w:val="center"/>
                </w:tcPr>
                <w:p w14:paraId="5D9CA09B">
                  <w:pPr>
                    <w:pStyle w:val="40"/>
                    <w:rPr>
                      <w:rFonts w:cs="Times New Roman"/>
                    </w:rPr>
                  </w:pPr>
                  <w:r>
                    <w:rPr>
                      <w:rFonts w:hint="eastAsia" w:cs="Times New Roman"/>
                    </w:rPr>
                    <w:t>符合</w:t>
                  </w:r>
                </w:p>
              </w:tc>
            </w:tr>
            <w:tr w14:paraId="6AC5031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6337" w:type="dxa"/>
                  <w:tcBorders>
                    <w:tl2br w:val="nil"/>
                    <w:tr2bl w:val="nil"/>
                  </w:tcBorders>
                  <w:vAlign w:val="center"/>
                </w:tcPr>
                <w:p w14:paraId="54424759">
                  <w:pPr>
                    <w:pStyle w:val="40"/>
                    <w:jc w:val="both"/>
                    <w:rPr>
                      <w:rFonts w:cs="Times New Roman"/>
                    </w:rPr>
                  </w:pPr>
                  <w:r>
                    <w:rPr>
                      <w:rFonts w:hint="eastAsia" w:cs="Times New Roman"/>
                    </w:rPr>
                    <w:t>第十一条、按相关导则及规定要求，制定了水环境、生态等环境监测计划，明确了监测网点、因子、频次等有关要求，提出了开展环境影响后评价及根据监测评估结果优化环境保护措施的要求。根据需要和相关规定，提出了环境保护设计、开展相关科学研究、环境管理等要求。</w:t>
                  </w:r>
                </w:p>
              </w:tc>
              <w:tc>
                <w:tcPr>
                  <w:tcW w:w="1860" w:type="dxa"/>
                  <w:tcBorders>
                    <w:tl2br w:val="nil"/>
                    <w:tr2bl w:val="nil"/>
                  </w:tcBorders>
                  <w:vAlign w:val="center"/>
                </w:tcPr>
                <w:p w14:paraId="0DB7F69B">
                  <w:pPr>
                    <w:pStyle w:val="40"/>
                    <w:jc w:val="both"/>
                    <w:rPr>
                      <w:rFonts w:cs="Times New Roman"/>
                    </w:rPr>
                  </w:pPr>
                  <w:r>
                    <w:rPr>
                      <w:rFonts w:hint="eastAsia" w:cs="Times New Roman"/>
                    </w:rPr>
                    <w:t>按相关导则及规定要求，制定了水环境、生态等环境监测计划。根据工程情况提出环境保护设计、环境管理要求。</w:t>
                  </w:r>
                </w:p>
              </w:tc>
              <w:tc>
                <w:tcPr>
                  <w:tcW w:w="646" w:type="dxa"/>
                  <w:tcBorders>
                    <w:tl2br w:val="nil"/>
                    <w:tr2bl w:val="nil"/>
                  </w:tcBorders>
                  <w:vAlign w:val="center"/>
                </w:tcPr>
                <w:p w14:paraId="657C408B">
                  <w:pPr>
                    <w:pStyle w:val="40"/>
                    <w:rPr>
                      <w:rFonts w:cs="Times New Roman"/>
                    </w:rPr>
                  </w:pPr>
                  <w:r>
                    <w:rPr>
                      <w:rFonts w:hint="eastAsia" w:cs="Times New Roman"/>
                    </w:rPr>
                    <w:t>符合</w:t>
                  </w:r>
                </w:p>
              </w:tc>
            </w:tr>
          </w:tbl>
          <w:p w14:paraId="23146718">
            <w:pPr>
              <w:widowControl/>
              <w:spacing w:before="156" w:beforeLines="50" w:line="360" w:lineRule="auto"/>
              <w:ind w:firstLine="480" w:firstLineChars="200"/>
            </w:pPr>
            <w:r>
              <w:rPr>
                <w:rFonts w:hint="eastAsia"/>
              </w:rPr>
              <w:t>综上，本项目符合《水利建设项目（河湖整治与防洪除涝工程）环境影响评价文件审批原则》（环办环评〔2018〕2号）相关要求。</w:t>
            </w:r>
          </w:p>
          <w:p w14:paraId="60C3C02F">
            <w:pPr>
              <w:widowControl/>
              <w:spacing w:before="156" w:beforeLines="50" w:line="360" w:lineRule="auto"/>
              <w:ind w:firstLine="480" w:firstLineChars="200"/>
            </w:pPr>
          </w:p>
          <w:p w14:paraId="50B0BB51">
            <w:pPr>
              <w:widowControl/>
              <w:spacing w:before="156" w:beforeLines="50" w:line="360" w:lineRule="auto"/>
              <w:ind w:firstLine="480" w:firstLineChars="200"/>
            </w:pPr>
          </w:p>
          <w:p w14:paraId="270EF003">
            <w:pPr>
              <w:widowControl/>
              <w:spacing w:before="156" w:beforeLines="50" w:line="360" w:lineRule="auto"/>
              <w:ind w:firstLine="480" w:firstLineChars="200"/>
            </w:pPr>
          </w:p>
          <w:p w14:paraId="031A77EA">
            <w:pPr>
              <w:widowControl/>
              <w:spacing w:before="156" w:beforeLines="50" w:line="360" w:lineRule="auto"/>
              <w:ind w:firstLine="480" w:firstLineChars="200"/>
            </w:pPr>
          </w:p>
          <w:p w14:paraId="2976F0CD">
            <w:pPr>
              <w:widowControl/>
              <w:spacing w:before="156" w:beforeLines="50" w:line="360" w:lineRule="auto"/>
              <w:ind w:firstLine="480" w:firstLineChars="200"/>
            </w:pPr>
          </w:p>
          <w:p w14:paraId="5300A311">
            <w:pPr>
              <w:widowControl/>
              <w:spacing w:before="156" w:beforeLines="50" w:line="360" w:lineRule="auto"/>
              <w:ind w:firstLine="480" w:firstLineChars="200"/>
            </w:pPr>
          </w:p>
          <w:p w14:paraId="5A7CB5AA">
            <w:pPr>
              <w:widowControl/>
              <w:spacing w:before="156" w:beforeLines="50" w:line="360" w:lineRule="auto"/>
              <w:ind w:firstLine="480" w:firstLineChars="200"/>
            </w:pPr>
          </w:p>
          <w:p w14:paraId="7D522993">
            <w:pPr>
              <w:widowControl/>
              <w:spacing w:before="156" w:beforeLines="50" w:line="360" w:lineRule="auto"/>
              <w:ind w:firstLine="480" w:firstLineChars="200"/>
            </w:pPr>
          </w:p>
          <w:p w14:paraId="5411DF0B">
            <w:pPr>
              <w:widowControl/>
              <w:spacing w:before="156" w:beforeLines="50" w:line="360" w:lineRule="auto"/>
              <w:ind w:firstLine="480" w:firstLineChars="200"/>
            </w:pPr>
          </w:p>
          <w:p w14:paraId="4CA67F8A">
            <w:pPr>
              <w:widowControl/>
              <w:spacing w:before="156" w:beforeLines="50" w:line="360" w:lineRule="auto"/>
              <w:ind w:firstLine="480" w:firstLineChars="200"/>
            </w:pPr>
          </w:p>
          <w:p w14:paraId="2A77A31B">
            <w:pPr>
              <w:widowControl/>
              <w:spacing w:before="156" w:beforeLines="50" w:line="360" w:lineRule="auto"/>
              <w:ind w:firstLine="480" w:firstLineChars="200"/>
            </w:pPr>
          </w:p>
          <w:p w14:paraId="4AB911B5">
            <w:pPr>
              <w:widowControl/>
              <w:spacing w:before="156" w:beforeLines="50" w:line="360" w:lineRule="auto"/>
              <w:ind w:firstLine="480" w:firstLineChars="200"/>
            </w:pPr>
          </w:p>
          <w:p w14:paraId="38E930DC">
            <w:pPr>
              <w:widowControl/>
              <w:spacing w:before="156" w:beforeLines="50" w:line="360" w:lineRule="auto"/>
              <w:ind w:firstLine="480" w:firstLineChars="200"/>
            </w:pPr>
          </w:p>
          <w:p w14:paraId="6504352C">
            <w:pPr>
              <w:widowControl/>
              <w:spacing w:before="156" w:beforeLines="50" w:line="360" w:lineRule="auto"/>
              <w:ind w:firstLine="480" w:firstLineChars="200"/>
            </w:pPr>
          </w:p>
          <w:p w14:paraId="6D78BD3C">
            <w:pPr>
              <w:widowControl/>
              <w:spacing w:before="156" w:beforeLines="50" w:line="360" w:lineRule="auto"/>
              <w:ind w:firstLine="480" w:firstLineChars="200"/>
            </w:pPr>
          </w:p>
          <w:p w14:paraId="4C00A859">
            <w:pPr>
              <w:widowControl/>
              <w:spacing w:before="156" w:beforeLines="50" w:line="360" w:lineRule="auto"/>
              <w:ind w:firstLine="480" w:firstLineChars="200"/>
            </w:pPr>
          </w:p>
        </w:tc>
      </w:tr>
    </w:tbl>
    <w:p w14:paraId="5798FDC6">
      <w:pPr>
        <w:spacing w:line="360" w:lineRule="auto"/>
        <w:rPr>
          <w:b/>
          <w:sz w:val="28"/>
          <w:szCs w:val="28"/>
        </w:rPr>
        <w:sectPr>
          <w:pgSz w:w="11906" w:h="16838"/>
          <w:pgMar w:top="1440" w:right="1080" w:bottom="1440" w:left="1080" w:header="851" w:footer="992" w:gutter="0"/>
          <w:cols w:space="720" w:num="1"/>
          <w:docGrid w:type="lines" w:linePitch="312" w:charSpace="0"/>
        </w:sectPr>
      </w:pPr>
    </w:p>
    <w:p w14:paraId="234C8C25">
      <w:pPr>
        <w:pStyle w:val="52"/>
        <w:jc w:val="center"/>
        <w:rPr>
          <w:rFonts w:eastAsia="黑体"/>
          <w:b w:val="0"/>
          <w:sz w:val="30"/>
          <w:szCs w:val="30"/>
        </w:rPr>
      </w:pPr>
      <w:bookmarkStart w:id="1" w:name="_Toc16035"/>
      <w:r>
        <w:rPr>
          <w:rFonts w:hint="eastAsia" w:eastAsia="黑体"/>
          <w:b w:val="0"/>
          <w:sz w:val="30"/>
          <w:szCs w:val="30"/>
        </w:rPr>
        <w:t>二、建设内容</w:t>
      </w:r>
      <w:bookmarkEnd w:id="1"/>
    </w:p>
    <w:tbl>
      <w:tblPr>
        <w:tblStyle w:val="28"/>
        <w:tblW w:w="9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9343"/>
      </w:tblGrid>
      <w:tr w14:paraId="0BB5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dxa"/>
            <w:vAlign w:val="center"/>
          </w:tcPr>
          <w:p w14:paraId="4AA91A8B">
            <w:pPr>
              <w:spacing w:line="360" w:lineRule="auto"/>
              <w:jc w:val="center"/>
              <w:rPr>
                <w:b/>
                <w:bCs/>
              </w:rPr>
            </w:pPr>
            <w:r>
              <w:rPr>
                <w:rFonts w:hint="eastAsia"/>
                <w:b/>
                <w:bCs/>
              </w:rPr>
              <w:t>地理位置</w:t>
            </w:r>
          </w:p>
        </w:tc>
        <w:tc>
          <w:tcPr>
            <w:tcW w:w="9343" w:type="dxa"/>
            <w:vAlign w:val="center"/>
          </w:tcPr>
          <w:p w14:paraId="546C1BB0">
            <w:pPr>
              <w:spacing w:line="360" w:lineRule="auto"/>
              <w:ind w:firstLine="480" w:firstLineChars="200"/>
              <w:rPr>
                <w:bCs/>
              </w:rPr>
            </w:pPr>
            <w:r>
              <w:rPr>
                <w:rFonts w:hint="eastAsia"/>
                <w:bCs/>
              </w:rPr>
              <w:t>本项目位于</w:t>
            </w:r>
            <w:r>
              <w:rPr>
                <w:rFonts w:hint="eastAsia"/>
              </w:rPr>
              <w:t>甘孜州泸定县磨西镇柏秧坪村</w:t>
            </w:r>
            <w:r>
              <w:rPr>
                <w:rFonts w:hint="eastAsia"/>
                <w:bCs/>
              </w:rPr>
              <w:t>境内，建设区有S211省道经过，项目右岸紧邻贡嘎神汤温泉酒店，本项目周边交通情况良好。</w:t>
            </w:r>
          </w:p>
          <w:p w14:paraId="526F1CEE">
            <w:pPr>
              <w:spacing w:line="360" w:lineRule="auto"/>
              <w:ind w:firstLine="480" w:firstLineChars="200"/>
              <w:rPr>
                <w:kern w:val="24"/>
              </w:rPr>
            </w:pPr>
            <w:r>
              <w:rPr>
                <w:rFonts w:hint="eastAsia"/>
                <w:bCs/>
              </w:rPr>
              <w:t>本项目属于建设类新建项目，工程综合治理海螺沟冰川河河道长684.20m，治理起点位于柏秧坪村二台子沟和海螺沟交汇口上游100m处桥（起点坐标：东经102°06'42.7936"、北纬29°36'33.7643"），治理终点位于共和电站取水口拦河坝（终点坐标：东经102°06'42.7936"、北纬29°36'33.7643"）</w:t>
            </w:r>
            <w:r>
              <w:rPr>
                <w:rFonts w:hint="eastAsia"/>
              </w:rPr>
              <w:t>。本</w:t>
            </w:r>
            <w:r>
              <w:rPr>
                <w:rFonts w:hint="eastAsia"/>
                <w:kern w:val="0"/>
              </w:rPr>
              <w:t>项目地理位置见附图1。</w:t>
            </w:r>
          </w:p>
        </w:tc>
      </w:tr>
      <w:tr w14:paraId="739C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dxa"/>
            <w:vAlign w:val="center"/>
          </w:tcPr>
          <w:p w14:paraId="57F3A0B5">
            <w:pPr>
              <w:spacing w:line="360" w:lineRule="auto"/>
              <w:jc w:val="center"/>
              <w:rPr>
                <w:b/>
                <w:bCs/>
              </w:rPr>
            </w:pPr>
            <w:r>
              <w:rPr>
                <w:rFonts w:hint="eastAsia"/>
                <w:b/>
                <w:bCs/>
              </w:rPr>
              <w:t>项目组成及规模</w:t>
            </w:r>
          </w:p>
        </w:tc>
        <w:tc>
          <w:tcPr>
            <w:tcW w:w="9343" w:type="dxa"/>
            <w:vAlign w:val="center"/>
          </w:tcPr>
          <w:p w14:paraId="38692608">
            <w:pPr>
              <w:spacing w:line="360" w:lineRule="auto"/>
              <w:rPr>
                <w:b/>
              </w:rPr>
            </w:pPr>
            <w:r>
              <w:rPr>
                <w:rFonts w:hint="eastAsia"/>
                <w:b/>
              </w:rPr>
              <w:t>一、项目概况</w:t>
            </w:r>
          </w:p>
          <w:p w14:paraId="34E4D86C">
            <w:pPr>
              <w:spacing w:line="360" w:lineRule="auto"/>
              <w:ind w:firstLine="482" w:firstLineChars="200"/>
              <w:rPr>
                <w:b/>
              </w:rPr>
            </w:pPr>
            <w:r>
              <w:rPr>
                <w:rFonts w:hint="eastAsia"/>
                <w:b/>
              </w:rPr>
              <w:t>1、项目由来</w:t>
            </w:r>
          </w:p>
          <w:p w14:paraId="4A4F8711">
            <w:pPr>
              <w:spacing w:line="360" w:lineRule="auto"/>
              <w:ind w:firstLine="480" w:firstLineChars="200"/>
            </w:pPr>
            <w:r>
              <w:rPr>
                <w:rFonts w:hint="eastAsia"/>
              </w:rPr>
              <w:t>2023年8月20日凌晨，二台子沟爆发特大型泥石流灾害，沟道上游的沟道堆积物源和部分滑坡物源启动，泥石流堆积体完全淤满了二台子沟下游沟道，泥石流堆积体堵塞了海螺沟，导致河水改道海螺沟左岸，造成河岸大型酒店（神汤温泉酒店）受损被泥石流淹没，同时柏秧坪村贡嘎神汤段河堤受损，给当地居民及企业造成了严重的经济损失。</w:t>
            </w:r>
          </w:p>
          <w:p w14:paraId="67FD7D3A">
            <w:pPr>
              <w:spacing w:line="360" w:lineRule="auto"/>
              <w:ind w:firstLine="480" w:firstLineChars="200"/>
            </w:pPr>
            <w:r>
              <w:rPr>
                <w:rFonts w:hint="eastAsia"/>
              </w:rPr>
              <w:t>甘孜州海螺沟冰川实业有限公司2024年实施了海螺沟冰川河（贡嘎神汤段灾后重建）小流域治理工程，后由于海螺沟爆发山洪，海螺沟冰川河（贡嘎神汤段灾后重建）小流域治理工程实施的左岸部分护坡被冲毁，右岸已建混凝土挡墙局部被破坏，导致治理段左岸现状河坎较低，冰川河左岸为进冰川景区道路、居民区，对冰川河进行治理，保护进冰川景区道路和居民区已迫在眉睫。工程河道由于河堤损毁、护坡冲刷，河道防洪断面不足，本次对工程河段进行综合治理，工程完工后可确保河道行洪通畅、保障当地居民的生命财产安全，以及为酒店后续的运营提供安全保障。</w:t>
            </w:r>
          </w:p>
          <w:p w14:paraId="02BA030D">
            <w:pPr>
              <w:spacing w:line="360" w:lineRule="auto"/>
              <w:ind w:firstLine="480" w:firstLineChars="200"/>
            </w:pPr>
            <w:r>
              <w:rPr>
                <w:rFonts w:hint="eastAsia"/>
              </w:rPr>
              <w:t>因此，本项目的建设是必要的、迫切的。</w:t>
            </w:r>
          </w:p>
          <w:p w14:paraId="3513A932">
            <w:pPr>
              <w:spacing w:line="360" w:lineRule="auto"/>
              <w:ind w:firstLine="480" w:firstLineChars="200"/>
            </w:pPr>
            <w:r>
              <w:rPr>
                <w:rFonts w:hint="eastAsia"/>
              </w:rPr>
              <w:t>为厘清本项目与工程河段其他工程的关系，现将工程河段已建、未建工程内容及时间节点列表说明如下：</w:t>
            </w:r>
          </w:p>
          <w:p w14:paraId="4E4EA1BB">
            <w:pPr>
              <w:numPr>
                <w:ilvl w:val="0"/>
                <w:numId w:val="13"/>
              </w:numPr>
              <w:spacing w:line="360" w:lineRule="auto"/>
              <w:ind w:firstLine="480" w:firstLineChars="200"/>
            </w:pPr>
            <w:r>
              <w:rPr>
                <w:rFonts w:hint="eastAsia"/>
              </w:rPr>
              <w:t>已建工程（本项目主体工程）：2025年9月开工，2025年12月主体工程完工，主要建设内容为新建护脚堤防697.9m（左岸贴坡式护脚堤防401.47m、重力式护脚堤防259.71m，右岸贴坡式护脚堤防36.72m）、右岸新建钢筋混凝土贴坡式护脚173.71m、C25F100混凝土丁坝2座、重力式钢筋混凝土结构固床梁4座。</w:t>
            </w:r>
          </w:p>
          <w:p w14:paraId="399F671D">
            <w:pPr>
              <w:numPr>
                <w:ilvl w:val="0"/>
                <w:numId w:val="13"/>
              </w:numPr>
              <w:spacing w:line="360" w:lineRule="auto"/>
              <w:ind w:firstLine="480" w:firstLineChars="200"/>
            </w:pPr>
            <w:r>
              <w:rPr>
                <w:rFonts w:hint="eastAsia"/>
              </w:rPr>
              <w:t>未建工程：左K0+000～左K0+074.81、左K0+115.4～左K0+152.4、左K0+588.1～左K0+605.6三段钢筋石笼护脚。根据建设单位未完工情况说明，该三段因按原设计实施会改变河道水流形态、增大洪水对右岸的冲刷力度，或河床存在大块原生岩石、破除后形成河床空洞难以恢复原抗冲刷能力等原因，不具备原方案施工条件；经向建设单位核实，上述三段工程不再建设。本次评价按上述实际建设内容进行。</w:t>
            </w:r>
          </w:p>
          <w:p w14:paraId="334397C1">
            <w:pPr>
              <w:spacing w:line="360" w:lineRule="auto"/>
              <w:ind w:firstLine="480" w:firstLineChars="200"/>
            </w:pPr>
            <w:r>
              <w:rPr>
                <w:rFonts w:hint="eastAsia"/>
              </w:rPr>
              <w:t>按照《中华人民共和国生态环境法典》以及国务院令第682号《建设项目环境保护管理条例》的要求，本项目需进行环境影响评价。依据《建设项目环境影响评价分类管理名录（2021年版）》中“五十一、水利——127防洪除涝工程——其他（小型沟渠的护坡除外；城镇排涝河流水闸、排涝泵站除外）”的划分，项目环境影响评价形式为报告表。为此，甘孜州海螺沟冰川实业有限公司特委托四川中辰全过程咨询有限公司进行环境影响评价工作。我公司接受委托后，即派相关技术人员到项目现场进行实地踏勘和资料收集，并按照有关技术规范，编制该项目环境影响报告表，供生态环境主管部门审查。</w:t>
            </w:r>
          </w:p>
          <w:p w14:paraId="4321A73F">
            <w:pPr>
              <w:pStyle w:val="7"/>
              <w:rPr>
                <w:rFonts w:cs="Times New Roman"/>
              </w:rPr>
            </w:pPr>
            <w:r>
              <w:rPr>
                <w:rFonts w:cs="Times New Roman"/>
              </w:rPr>
              <w:drawing>
                <wp:inline distT="0" distB="0" distL="0" distR="0">
                  <wp:extent cx="5632450" cy="3982085"/>
                  <wp:effectExtent l="0" t="0" r="635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632565" cy="3982286"/>
                          </a:xfrm>
                          <a:prstGeom prst="rect">
                            <a:avLst/>
                          </a:prstGeom>
                        </pic:spPr>
                      </pic:pic>
                    </a:graphicData>
                  </a:graphic>
                </wp:inline>
              </w:drawing>
            </w:r>
          </w:p>
          <w:p w14:paraId="7D19F772">
            <w:pPr>
              <w:pStyle w:val="7"/>
              <w:rPr>
                <w:rFonts w:cs="Times New Roman"/>
              </w:rPr>
            </w:pPr>
            <w:r>
              <w:rPr>
                <w:rFonts w:hint="eastAsia" w:cs="Times New Roman"/>
              </w:rPr>
              <w:t xml:space="preserve">图2- </w:t>
            </w:r>
            <w:r>
              <w:rPr>
                <w:rFonts w:cs="Times New Roman"/>
              </w:rPr>
              <w:fldChar w:fldCharType="begin"/>
            </w:r>
            <w:r>
              <w:rPr>
                <w:rFonts w:hint="eastAsia" w:cs="Times New Roman"/>
              </w:rPr>
              <w:instrText xml:space="preserve"> SEQ 图2- \* ARABIC </w:instrText>
            </w:r>
            <w:r>
              <w:rPr>
                <w:rFonts w:cs="Times New Roman"/>
              </w:rPr>
              <w:fldChar w:fldCharType="separate"/>
            </w:r>
            <w:r>
              <w:rPr>
                <w:rFonts w:hint="eastAsia" w:cs="Times New Roman"/>
              </w:rPr>
              <w:t>1</w:t>
            </w:r>
            <w:r>
              <w:rPr>
                <w:rFonts w:cs="Times New Roman"/>
              </w:rPr>
              <w:fldChar w:fldCharType="end"/>
            </w:r>
            <w:r>
              <w:rPr>
                <w:rFonts w:hint="eastAsia" w:cs="Times New Roman"/>
              </w:rPr>
              <w:t>工程已建、未建情况图</w:t>
            </w:r>
          </w:p>
          <w:p w14:paraId="6836CF44">
            <w:pPr>
              <w:spacing w:line="360" w:lineRule="auto"/>
              <w:ind w:firstLine="482" w:firstLineChars="200"/>
              <w:rPr>
                <w:b/>
              </w:rPr>
            </w:pPr>
            <w:r>
              <w:rPr>
                <w:rFonts w:hint="eastAsia"/>
                <w:b/>
              </w:rPr>
              <w:t>2、项目基本情况</w:t>
            </w:r>
          </w:p>
          <w:p w14:paraId="19BA517A">
            <w:pPr>
              <w:spacing w:line="360" w:lineRule="auto"/>
              <w:ind w:firstLine="482" w:firstLineChars="200"/>
            </w:pPr>
            <w:r>
              <w:rPr>
                <w:rFonts w:hint="eastAsia"/>
                <w:b/>
                <w:bCs/>
              </w:rPr>
              <w:t>项目名称：</w:t>
            </w:r>
            <w:r>
              <w:rPr>
                <w:rFonts w:hint="eastAsia"/>
                <w:bCs/>
              </w:rPr>
              <w:t>泸定县海螺沟山洪沟（共和村、柏秧坪村段）治理工程</w:t>
            </w:r>
          </w:p>
          <w:p w14:paraId="1BD46CC5">
            <w:pPr>
              <w:spacing w:line="360" w:lineRule="auto"/>
              <w:ind w:firstLine="482" w:firstLineChars="200"/>
            </w:pPr>
            <w:r>
              <w:rPr>
                <w:rFonts w:hint="eastAsia"/>
                <w:b/>
                <w:bCs/>
              </w:rPr>
              <w:t>建设单位：</w:t>
            </w:r>
            <w:r>
              <w:rPr>
                <w:rFonts w:hint="eastAsia"/>
              </w:rPr>
              <w:t>甘孜州海螺沟冰川实业有限公司</w:t>
            </w:r>
          </w:p>
          <w:p w14:paraId="3F5D84ED">
            <w:pPr>
              <w:spacing w:line="360" w:lineRule="auto"/>
              <w:ind w:firstLine="482" w:firstLineChars="200"/>
            </w:pPr>
            <w:r>
              <w:rPr>
                <w:rFonts w:hint="eastAsia"/>
                <w:b/>
                <w:bCs/>
              </w:rPr>
              <w:t>建设地点：</w:t>
            </w:r>
            <w:r>
              <w:rPr>
                <w:rFonts w:hint="eastAsia"/>
              </w:rPr>
              <w:t>四川省甘孜藏族自治州泸定县磨西镇柏秧坪村</w:t>
            </w:r>
          </w:p>
          <w:p w14:paraId="01C15D41">
            <w:pPr>
              <w:spacing w:line="360" w:lineRule="auto"/>
              <w:ind w:firstLine="482" w:firstLineChars="200"/>
            </w:pPr>
            <w:r>
              <w:rPr>
                <w:rFonts w:hint="eastAsia"/>
                <w:b/>
                <w:bCs/>
              </w:rPr>
              <w:t>建设性质：</w:t>
            </w:r>
            <w:r>
              <w:rPr>
                <w:rFonts w:hint="eastAsia"/>
              </w:rPr>
              <w:t>新建</w:t>
            </w:r>
          </w:p>
          <w:p w14:paraId="72234254">
            <w:pPr>
              <w:spacing w:line="360" w:lineRule="auto"/>
              <w:ind w:firstLine="482" w:firstLineChars="200"/>
            </w:pPr>
            <w:r>
              <w:rPr>
                <w:rFonts w:hint="eastAsia"/>
                <w:b/>
                <w:bCs/>
              </w:rPr>
              <w:t>项目投资：</w:t>
            </w:r>
            <w:r>
              <w:rPr>
                <w:rFonts w:hint="eastAsia"/>
              </w:rPr>
              <w:t>总投资1199.83万元</w:t>
            </w:r>
          </w:p>
          <w:p w14:paraId="4DB487CE">
            <w:pPr>
              <w:spacing w:line="360" w:lineRule="auto"/>
              <w:ind w:firstLine="482" w:firstLineChars="200"/>
              <w:rPr>
                <w:b/>
                <w:bCs/>
              </w:rPr>
            </w:pPr>
            <w:r>
              <w:rPr>
                <w:rFonts w:hint="eastAsia"/>
                <w:b/>
                <w:bCs/>
              </w:rPr>
              <w:t>工程等级及标准：</w:t>
            </w:r>
            <w:r>
              <w:rPr>
                <w:rFonts w:hint="eastAsia"/>
              </w:rPr>
              <w:t>本项目工程防洪标准为20年一遇，排涝标准采用10年一遇，工程等级为Ⅳ级，堤防及主要建筑物按4级设计，次要及临时建筑物按5级设计。</w:t>
            </w:r>
          </w:p>
          <w:p w14:paraId="21CABAFC">
            <w:pPr>
              <w:spacing w:line="360" w:lineRule="auto"/>
              <w:ind w:firstLine="482" w:firstLineChars="200"/>
              <w:rPr>
                <w:b/>
                <w:bCs/>
              </w:rPr>
            </w:pPr>
            <w:r>
              <w:rPr>
                <w:rFonts w:hint="eastAsia"/>
                <w:b/>
                <w:bCs/>
              </w:rPr>
              <w:t>3、项目建设内容</w:t>
            </w:r>
          </w:p>
          <w:p w14:paraId="79742485">
            <w:pPr>
              <w:spacing w:line="360" w:lineRule="auto"/>
              <w:ind w:firstLine="482" w:firstLineChars="200"/>
              <w:rPr>
                <w:b/>
                <w:bCs/>
              </w:rPr>
            </w:pPr>
            <w:r>
              <w:rPr>
                <w:rFonts w:hint="eastAsia"/>
                <w:b/>
                <w:bCs/>
              </w:rPr>
              <w:t>（1）建设内容</w:t>
            </w:r>
          </w:p>
          <w:p w14:paraId="77A9ED63">
            <w:pPr>
              <w:snapToGrid w:val="0"/>
              <w:spacing w:line="360" w:lineRule="auto"/>
              <w:ind w:firstLine="480" w:firstLineChars="200"/>
              <w:rPr>
                <w:bCs/>
              </w:rPr>
            </w:pPr>
            <w:r>
              <w:rPr>
                <w:rFonts w:hint="eastAsia"/>
                <w:bCs/>
              </w:rPr>
              <w:t>本项目综合治理长度为684.20m，治理起点位于柏秧坪村二台子沟和海螺沟交汇口上游100m处桥（起点坐标：东经102°06'42.7936"、北纬29°36'33.7643"），治理终点位于共和电站取水口拦河坝（终点坐标：东经102°06'42.7936"、北纬29°36'33.7643"），对现状河道堤防、护岸新建护脚并新建固床梁，新建护脚堤防697.9m（左岸新建贴坡式护脚堤防401.47m、重力式护脚堤防259.71m，右岸新建贴坡式护脚堤防36.72m），右岸新建钢筋混凝土贴坡式护脚173.71m，右岸新建重力式混凝土结构丁坝2座，河道内新建重力式钢筋混凝土结构固床梁4座。</w:t>
            </w:r>
          </w:p>
          <w:p w14:paraId="4D04DE88">
            <w:pPr>
              <w:snapToGrid w:val="0"/>
              <w:spacing w:line="360" w:lineRule="auto"/>
              <w:ind w:firstLine="480" w:firstLineChars="200"/>
              <w:rPr>
                <w:bCs/>
              </w:rPr>
            </w:pPr>
            <w:r>
              <w:rPr>
                <w:rFonts w:hint="eastAsia"/>
                <w:bCs/>
              </w:rPr>
              <w:t>工程为未批先建项目，主体工程于2025年9月开始施工，2025年12月主体工程完工，甘孜州生态环境局已出具责令改正违法行为决定书甘环责改〔2026〕39号，当前建设单位正在补办环评手续。本项目属防洪治理工程，需在汛期到来前完成河道内砂砾石开挖及堤防护脚建设，方能保障沿岸居民及设施防洪安全；受工期制约，建设单位为使工程在洪期前完工，在环评审批手续未办结的情况下先行开工建设，导致未批先建。</w:t>
            </w:r>
          </w:p>
          <w:p w14:paraId="4ED9F314">
            <w:pPr>
              <w:snapToGrid w:val="0"/>
              <w:spacing w:line="360" w:lineRule="auto"/>
              <w:ind w:firstLine="482" w:firstLineChars="200"/>
              <w:rPr>
                <w:b/>
              </w:rPr>
            </w:pPr>
            <w:r>
              <w:rPr>
                <w:rFonts w:hint="eastAsia"/>
                <w:b/>
              </w:rPr>
              <w:t>（2）项目组成及主要环境问题</w:t>
            </w:r>
          </w:p>
          <w:p w14:paraId="1A4F20C8">
            <w:pPr>
              <w:pStyle w:val="106"/>
            </w:pPr>
            <w:r>
              <w:rPr>
                <w:rFonts w:hint="eastAsia"/>
              </w:rPr>
              <w:t>本项目组成及主要环境问题见下表。</w:t>
            </w:r>
          </w:p>
          <w:p w14:paraId="68A95C50">
            <w:pPr>
              <w:pStyle w:val="7"/>
              <w:rPr>
                <w:rFonts w:cs="Times New Roman"/>
              </w:rPr>
            </w:pPr>
            <w:r>
              <w:rPr>
                <w:rFonts w:hint="eastAsia" w:cs="Times New Roman"/>
              </w:rPr>
              <w:t xml:space="preserve">表2- </w:t>
            </w:r>
            <w:r>
              <w:rPr>
                <w:rFonts w:cs="Times New Roman"/>
              </w:rPr>
              <w:fldChar w:fldCharType="begin"/>
            </w:r>
            <w:r>
              <w:rPr>
                <w:rFonts w:hint="eastAsia" w:cs="Times New Roman"/>
              </w:rPr>
              <w:instrText xml:space="preserve"> SEQ 表2- \* ARABIC </w:instrText>
            </w:r>
            <w:r>
              <w:rPr>
                <w:rFonts w:cs="Times New Roman"/>
              </w:rPr>
              <w:fldChar w:fldCharType="separate"/>
            </w:r>
            <w:r>
              <w:rPr>
                <w:rFonts w:cs="Times New Roman"/>
              </w:rPr>
              <w:t>1</w:t>
            </w:r>
            <w:r>
              <w:rPr>
                <w:rFonts w:cs="Times New Roman"/>
              </w:rPr>
              <w:fldChar w:fldCharType="end"/>
            </w:r>
            <w:r>
              <w:rPr>
                <w:rFonts w:hint="eastAsia" w:cs="Times New Roman"/>
              </w:rPr>
              <w:t xml:space="preserve">  项目组成及主要环境问题</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8"/>
              <w:gridCol w:w="717"/>
              <w:gridCol w:w="4489"/>
              <w:gridCol w:w="1165"/>
              <w:gridCol w:w="960"/>
              <w:gridCol w:w="1048"/>
            </w:tblGrid>
            <w:tr w14:paraId="0D64F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tcBorders>
                    <w:tl2br w:val="nil"/>
                    <w:tr2bl w:val="nil"/>
                  </w:tcBorders>
                  <w:vAlign w:val="center"/>
                </w:tcPr>
                <w:p w14:paraId="44476A17">
                  <w:pPr>
                    <w:pStyle w:val="27"/>
                    <w:spacing w:after="0"/>
                    <w:ind w:left="0" w:leftChars="0" w:firstLine="0" w:firstLineChars="0"/>
                    <w:jc w:val="center"/>
                    <w:rPr>
                      <w:b/>
                      <w:bCs/>
                      <w:sz w:val="21"/>
                      <w:szCs w:val="21"/>
                    </w:rPr>
                  </w:pPr>
                  <w:r>
                    <w:rPr>
                      <w:rFonts w:hint="eastAsia"/>
                      <w:b/>
                      <w:bCs/>
                      <w:sz w:val="21"/>
                      <w:szCs w:val="21"/>
                    </w:rPr>
                    <w:t>工程类别</w:t>
                  </w:r>
                </w:p>
              </w:tc>
              <w:tc>
                <w:tcPr>
                  <w:tcW w:w="2850" w:type="pct"/>
                  <w:gridSpan w:val="2"/>
                  <w:vMerge w:val="restart"/>
                  <w:tcBorders>
                    <w:tl2br w:val="nil"/>
                    <w:tr2bl w:val="nil"/>
                  </w:tcBorders>
                  <w:vAlign w:val="center"/>
                </w:tcPr>
                <w:p w14:paraId="02BDC5F5">
                  <w:pPr>
                    <w:pStyle w:val="27"/>
                    <w:spacing w:after="0"/>
                    <w:ind w:left="0" w:leftChars="0" w:firstLine="0" w:firstLineChars="0"/>
                    <w:jc w:val="center"/>
                    <w:rPr>
                      <w:b/>
                      <w:bCs/>
                      <w:sz w:val="21"/>
                      <w:szCs w:val="21"/>
                    </w:rPr>
                  </w:pPr>
                  <w:r>
                    <w:rPr>
                      <w:rFonts w:hint="eastAsia"/>
                      <w:b/>
                      <w:bCs/>
                      <w:sz w:val="21"/>
                      <w:szCs w:val="21"/>
                    </w:rPr>
                    <w:t>建设内容及规模</w:t>
                  </w:r>
                </w:p>
              </w:tc>
              <w:tc>
                <w:tcPr>
                  <w:tcW w:w="1164" w:type="pct"/>
                  <w:gridSpan w:val="2"/>
                  <w:tcBorders>
                    <w:tl2br w:val="nil"/>
                    <w:tr2bl w:val="nil"/>
                  </w:tcBorders>
                  <w:vAlign w:val="center"/>
                </w:tcPr>
                <w:p w14:paraId="455FF410">
                  <w:pPr>
                    <w:pStyle w:val="27"/>
                    <w:spacing w:after="0"/>
                    <w:ind w:left="0" w:leftChars="0" w:firstLine="0" w:firstLineChars="0"/>
                    <w:jc w:val="center"/>
                    <w:rPr>
                      <w:b/>
                      <w:bCs/>
                      <w:sz w:val="21"/>
                      <w:szCs w:val="21"/>
                    </w:rPr>
                  </w:pPr>
                  <w:r>
                    <w:rPr>
                      <w:rFonts w:hint="eastAsia"/>
                      <w:b/>
                      <w:bCs/>
                      <w:sz w:val="21"/>
                      <w:szCs w:val="21"/>
                    </w:rPr>
                    <w:t>可能产生的环境问题</w:t>
                  </w:r>
                </w:p>
              </w:tc>
              <w:tc>
                <w:tcPr>
                  <w:tcW w:w="574" w:type="pct"/>
                  <w:vMerge w:val="restart"/>
                  <w:tcBorders>
                    <w:tl2br w:val="nil"/>
                    <w:tr2bl w:val="nil"/>
                  </w:tcBorders>
                  <w:vAlign w:val="center"/>
                </w:tcPr>
                <w:p w14:paraId="0D22DC2A">
                  <w:pPr>
                    <w:pStyle w:val="27"/>
                    <w:spacing w:after="0"/>
                    <w:ind w:left="0" w:leftChars="0" w:firstLine="0" w:firstLineChars="0"/>
                    <w:jc w:val="center"/>
                    <w:rPr>
                      <w:b/>
                      <w:bCs/>
                      <w:sz w:val="21"/>
                      <w:szCs w:val="21"/>
                    </w:rPr>
                  </w:pPr>
                  <w:r>
                    <w:rPr>
                      <w:rFonts w:hint="eastAsia"/>
                      <w:b/>
                      <w:bCs/>
                      <w:sz w:val="21"/>
                      <w:szCs w:val="21"/>
                    </w:rPr>
                    <w:t>备注</w:t>
                  </w:r>
                </w:p>
              </w:tc>
            </w:tr>
            <w:tr w14:paraId="0F9C96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vMerge w:val="continue"/>
                  <w:tcBorders>
                    <w:tl2br w:val="nil"/>
                    <w:tr2bl w:val="nil"/>
                  </w:tcBorders>
                  <w:vAlign w:val="center"/>
                </w:tcPr>
                <w:p w14:paraId="74D5B139">
                  <w:pPr>
                    <w:pStyle w:val="27"/>
                    <w:spacing w:after="0"/>
                    <w:ind w:left="0" w:leftChars="0" w:firstLine="0" w:firstLineChars="0"/>
                    <w:jc w:val="center"/>
                    <w:rPr>
                      <w:sz w:val="21"/>
                      <w:szCs w:val="21"/>
                    </w:rPr>
                  </w:pPr>
                </w:p>
              </w:tc>
              <w:tc>
                <w:tcPr>
                  <w:tcW w:w="2850" w:type="pct"/>
                  <w:gridSpan w:val="2"/>
                  <w:vMerge w:val="continue"/>
                  <w:tcBorders>
                    <w:tl2br w:val="nil"/>
                    <w:tr2bl w:val="nil"/>
                  </w:tcBorders>
                  <w:vAlign w:val="center"/>
                </w:tcPr>
                <w:p w14:paraId="44FCCE05">
                  <w:pPr>
                    <w:pStyle w:val="27"/>
                    <w:spacing w:after="0"/>
                    <w:ind w:left="0" w:leftChars="0" w:firstLine="0" w:firstLineChars="0"/>
                    <w:jc w:val="center"/>
                    <w:rPr>
                      <w:sz w:val="21"/>
                      <w:szCs w:val="21"/>
                    </w:rPr>
                  </w:pPr>
                </w:p>
              </w:tc>
              <w:tc>
                <w:tcPr>
                  <w:tcW w:w="638" w:type="pct"/>
                  <w:tcBorders>
                    <w:tl2br w:val="nil"/>
                    <w:tr2bl w:val="nil"/>
                  </w:tcBorders>
                  <w:vAlign w:val="center"/>
                </w:tcPr>
                <w:p w14:paraId="31786877">
                  <w:pPr>
                    <w:pStyle w:val="27"/>
                    <w:spacing w:after="0"/>
                    <w:ind w:left="0" w:leftChars="0" w:firstLine="0" w:firstLineChars="0"/>
                    <w:jc w:val="center"/>
                    <w:rPr>
                      <w:b/>
                      <w:bCs/>
                      <w:sz w:val="21"/>
                      <w:szCs w:val="21"/>
                    </w:rPr>
                  </w:pPr>
                  <w:r>
                    <w:rPr>
                      <w:rFonts w:hint="eastAsia"/>
                      <w:b/>
                      <w:bCs/>
                      <w:sz w:val="21"/>
                      <w:szCs w:val="21"/>
                    </w:rPr>
                    <w:t>施工期</w:t>
                  </w:r>
                </w:p>
              </w:tc>
              <w:tc>
                <w:tcPr>
                  <w:tcW w:w="525" w:type="pct"/>
                  <w:tcBorders>
                    <w:tl2br w:val="nil"/>
                    <w:tr2bl w:val="nil"/>
                  </w:tcBorders>
                  <w:vAlign w:val="center"/>
                </w:tcPr>
                <w:p w14:paraId="734C5E1E">
                  <w:pPr>
                    <w:pStyle w:val="27"/>
                    <w:spacing w:after="0"/>
                    <w:ind w:left="0" w:leftChars="0" w:firstLine="0" w:firstLineChars="0"/>
                    <w:jc w:val="center"/>
                    <w:rPr>
                      <w:b/>
                      <w:bCs/>
                      <w:sz w:val="21"/>
                      <w:szCs w:val="21"/>
                    </w:rPr>
                  </w:pPr>
                  <w:r>
                    <w:rPr>
                      <w:rFonts w:hint="eastAsia"/>
                      <w:b/>
                      <w:bCs/>
                      <w:sz w:val="21"/>
                      <w:szCs w:val="21"/>
                    </w:rPr>
                    <w:t>营运期</w:t>
                  </w:r>
                </w:p>
              </w:tc>
              <w:tc>
                <w:tcPr>
                  <w:tcW w:w="574" w:type="pct"/>
                  <w:vMerge w:val="continue"/>
                  <w:tcBorders>
                    <w:tl2br w:val="nil"/>
                    <w:tr2bl w:val="nil"/>
                  </w:tcBorders>
                  <w:vAlign w:val="center"/>
                </w:tcPr>
                <w:p w14:paraId="53C38A47">
                  <w:pPr>
                    <w:pStyle w:val="27"/>
                    <w:spacing w:after="0"/>
                    <w:ind w:left="0" w:leftChars="0" w:firstLine="0" w:firstLineChars="0"/>
                    <w:jc w:val="center"/>
                    <w:rPr>
                      <w:b/>
                      <w:bCs/>
                      <w:sz w:val="21"/>
                      <w:szCs w:val="21"/>
                    </w:rPr>
                  </w:pPr>
                </w:p>
              </w:tc>
            </w:tr>
            <w:tr w14:paraId="7CCC9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tcBorders>
                    <w:tl2br w:val="nil"/>
                    <w:tr2bl w:val="nil"/>
                  </w:tcBorders>
                  <w:vAlign w:val="center"/>
                </w:tcPr>
                <w:p w14:paraId="05462B4E">
                  <w:pPr>
                    <w:pStyle w:val="27"/>
                    <w:spacing w:after="0"/>
                    <w:ind w:left="0" w:leftChars="0" w:firstLine="0" w:firstLineChars="0"/>
                    <w:jc w:val="center"/>
                    <w:rPr>
                      <w:sz w:val="21"/>
                      <w:szCs w:val="21"/>
                    </w:rPr>
                  </w:pPr>
                  <w:r>
                    <w:rPr>
                      <w:rFonts w:hint="eastAsia"/>
                      <w:sz w:val="21"/>
                      <w:szCs w:val="21"/>
                    </w:rPr>
                    <w:t>主体工程</w:t>
                  </w:r>
                </w:p>
              </w:tc>
              <w:tc>
                <w:tcPr>
                  <w:tcW w:w="392" w:type="pct"/>
                  <w:tcBorders>
                    <w:tl2br w:val="nil"/>
                    <w:tr2bl w:val="nil"/>
                  </w:tcBorders>
                  <w:vAlign w:val="center"/>
                </w:tcPr>
                <w:p w14:paraId="6FF80668">
                  <w:pPr>
                    <w:jc w:val="center"/>
                    <w:rPr>
                      <w:sz w:val="21"/>
                      <w:szCs w:val="21"/>
                    </w:rPr>
                  </w:pPr>
                  <w:r>
                    <w:rPr>
                      <w:rFonts w:hint="eastAsia"/>
                      <w:sz w:val="21"/>
                      <w:szCs w:val="21"/>
                    </w:rPr>
                    <w:t>堤防工程</w:t>
                  </w:r>
                </w:p>
              </w:tc>
              <w:tc>
                <w:tcPr>
                  <w:tcW w:w="2458" w:type="pct"/>
                  <w:tcBorders>
                    <w:tl2br w:val="nil"/>
                    <w:tr2bl w:val="nil"/>
                  </w:tcBorders>
                  <w:vAlign w:val="center"/>
                </w:tcPr>
                <w:p w14:paraId="191AB108">
                  <w:pPr>
                    <w:adjustRightInd w:val="0"/>
                    <w:snapToGrid w:val="0"/>
                    <w:rPr>
                      <w:sz w:val="21"/>
                      <w:szCs w:val="21"/>
                    </w:rPr>
                  </w:pPr>
                  <w:r>
                    <w:rPr>
                      <w:rFonts w:hint="eastAsia"/>
                      <w:sz w:val="21"/>
                      <w:szCs w:val="21"/>
                    </w:rPr>
                    <w:t>本工程治理河段位于磨西镇共和村、柏秧坪村段，治理河段长度684.2m。</w:t>
                  </w:r>
                </w:p>
                <w:p w14:paraId="30062D17">
                  <w:pPr>
                    <w:adjustRightInd w:val="0"/>
                    <w:snapToGrid w:val="0"/>
                    <w:rPr>
                      <w:sz w:val="21"/>
                      <w:szCs w:val="21"/>
                    </w:rPr>
                  </w:pPr>
                  <w:r>
                    <w:rPr>
                      <w:rFonts w:hint="eastAsia"/>
                      <w:sz w:val="21"/>
                      <w:szCs w:val="21"/>
                    </w:rPr>
                    <w:t>（1）左岸挡墙治理起点位于柏秧坪村二台子沟和海螺沟交汇口上游100m处桥（桩号K0+000），治理终点位于共和电站取水口拦河坝（桩号K0+684.2），新建护脚堤防684.2m，其中贴坡式护脚堤防401.47m，重力式护脚堤防259.71m，在重力式护脚堤防挡墙后采用土石料压实回填，回填后设置钢筋石笼护岸。</w:t>
                  </w:r>
                </w:p>
                <w:p w14:paraId="77FC9322">
                  <w:pPr>
                    <w:adjustRightInd w:val="0"/>
                    <w:snapToGrid w:val="0"/>
                    <w:rPr>
                      <w:sz w:val="21"/>
                      <w:szCs w:val="21"/>
                    </w:rPr>
                  </w:pPr>
                  <w:r>
                    <w:rPr>
                      <w:rFonts w:hint="eastAsia"/>
                      <w:sz w:val="21"/>
                      <w:szCs w:val="21"/>
                    </w:rPr>
                    <w:t>（2）右岸治理起点位于柏秧坪村二台子沟和海螺沟交汇口上游100m处桥（桩号K0+000），右岸为居民区，部分河堤已建，靠交汇口处河堤为土质河堤。本次将土质河堤新建挡墙，新建贴坡式护脚堤防36.72m。新建钢筋混凝土贴坡式护脚173.71m。</w:t>
                  </w:r>
                </w:p>
                <w:p w14:paraId="2FA58001">
                  <w:pPr>
                    <w:adjustRightInd w:val="0"/>
                    <w:snapToGrid w:val="0"/>
                    <w:rPr>
                      <w:sz w:val="21"/>
                      <w:szCs w:val="21"/>
                    </w:rPr>
                  </w:pPr>
                  <w:r>
                    <w:rPr>
                      <w:rFonts w:hint="eastAsia"/>
                      <w:sz w:val="21"/>
                      <w:szCs w:val="21"/>
                    </w:rPr>
                    <w:t>（3）右岸右1段0+0.081.69～右1段0+124.85处设C25F100混凝土丁坝2座。</w:t>
                  </w:r>
                </w:p>
                <w:p w14:paraId="7B2C7B8E">
                  <w:pPr>
                    <w:adjustRightInd w:val="0"/>
                    <w:snapToGrid w:val="0"/>
                  </w:pPr>
                  <w:r>
                    <w:rPr>
                      <w:rFonts w:hint="eastAsia"/>
                      <w:sz w:val="21"/>
                      <w:szCs w:val="21"/>
                    </w:rPr>
                    <w:t>（4）河道内（桩号右2段0+033.71、右2段0+140.34、右2段0+247.43、右2段0+365.00）新建重力式C25钢筋混凝土F100结构固床梁4座。</w:t>
                  </w:r>
                </w:p>
              </w:tc>
              <w:tc>
                <w:tcPr>
                  <w:tcW w:w="638" w:type="pct"/>
                  <w:vMerge w:val="restart"/>
                  <w:tcBorders>
                    <w:tl2br w:val="nil"/>
                    <w:tr2bl w:val="nil"/>
                  </w:tcBorders>
                  <w:vAlign w:val="center"/>
                </w:tcPr>
                <w:p w14:paraId="748CE494">
                  <w:pPr>
                    <w:pStyle w:val="27"/>
                    <w:spacing w:after="0"/>
                    <w:ind w:left="0" w:leftChars="0" w:firstLine="0" w:firstLineChars="0"/>
                    <w:jc w:val="center"/>
                    <w:rPr>
                      <w:sz w:val="21"/>
                      <w:szCs w:val="21"/>
                    </w:rPr>
                  </w:pPr>
                  <w:r>
                    <w:rPr>
                      <w:rFonts w:hint="eastAsia"/>
                      <w:sz w:val="21"/>
                      <w:szCs w:val="21"/>
                    </w:rPr>
                    <w:t>施工扬尘、施工废水、施工噪声、施工弃渣、水土流失</w:t>
                  </w:r>
                </w:p>
              </w:tc>
              <w:tc>
                <w:tcPr>
                  <w:tcW w:w="525" w:type="pct"/>
                  <w:tcBorders>
                    <w:tl2br w:val="nil"/>
                    <w:tr2bl w:val="nil"/>
                  </w:tcBorders>
                  <w:vAlign w:val="center"/>
                </w:tcPr>
                <w:p w14:paraId="5C29F47B">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5094F01E">
                  <w:pPr>
                    <w:pStyle w:val="27"/>
                    <w:spacing w:after="0"/>
                    <w:ind w:left="0" w:leftChars="0" w:firstLine="0" w:firstLineChars="0"/>
                    <w:jc w:val="center"/>
                    <w:rPr>
                      <w:sz w:val="21"/>
                      <w:szCs w:val="21"/>
                    </w:rPr>
                  </w:pPr>
                  <w:r>
                    <w:rPr>
                      <w:rFonts w:hint="eastAsia"/>
                      <w:sz w:val="21"/>
                      <w:szCs w:val="21"/>
                    </w:rPr>
                    <w:t>已建设完成</w:t>
                  </w:r>
                </w:p>
              </w:tc>
            </w:tr>
            <w:tr w14:paraId="2B1CB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tcBorders>
                    <w:tl2br w:val="nil"/>
                    <w:tr2bl w:val="nil"/>
                  </w:tcBorders>
                  <w:vAlign w:val="center"/>
                </w:tcPr>
                <w:p w14:paraId="508F0AD6">
                  <w:pPr>
                    <w:pStyle w:val="27"/>
                    <w:spacing w:after="0"/>
                    <w:ind w:left="0" w:leftChars="0" w:firstLine="0" w:firstLineChars="0"/>
                    <w:jc w:val="center"/>
                    <w:rPr>
                      <w:sz w:val="21"/>
                      <w:szCs w:val="21"/>
                    </w:rPr>
                  </w:pPr>
                  <w:r>
                    <w:rPr>
                      <w:rFonts w:hint="eastAsia"/>
                      <w:sz w:val="21"/>
                      <w:szCs w:val="21"/>
                    </w:rPr>
                    <w:t>辅助工程</w:t>
                  </w:r>
                </w:p>
              </w:tc>
              <w:tc>
                <w:tcPr>
                  <w:tcW w:w="392" w:type="pct"/>
                  <w:tcBorders>
                    <w:tl2br w:val="nil"/>
                    <w:tr2bl w:val="nil"/>
                  </w:tcBorders>
                  <w:vAlign w:val="center"/>
                </w:tcPr>
                <w:p w14:paraId="1A9F9407">
                  <w:pPr>
                    <w:pStyle w:val="27"/>
                    <w:spacing w:after="0"/>
                    <w:ind w:left="0" w:leftChars="0" w:firstLine="0" w:firstLineChars="0"/>
                    <w:jc w:val="center"/>
                    <w:rPr>
                      <w:sz w:val="21"/>
                      <w:szCs w:val="21"/>
                    </w:rPr>
                  </w:pPr>
                  <w:r>
                    <w:rPr>
                      <w:rFonts w:hint="eastAsia"/>
                      <w:sz w:val="21"/>
                      <w:szCs w:val="21"/>
                    </w:rPr>
                    <w:t>施工导流</w:t>
                  </w:r>
                </w:p>
              </w:tc>
              <w:tc>
                <w:tcPr>
                  <w:tcW w:w="2458" w:type="pct"/>
                  <w:tcBorders>
                    <w:tl2br w:val="nil"/>
                    <w:tr2bl w:val="nil"/>
                  </w:tcBorders>
                  <w:vAlign w:val="center"/>
                </w:tcPr>
                <w:p w14:paraId="76FE93AD">
                  <w:pPr>
                    <w:pStyle w:val="27"/>
                    <w:spacing w:after="0"/>
                    <w:ind w:left="0" w:leftChars="0" w:firstLine="0" w:firstLineChars="0"/>
                    <w:jc w:val="both"/>
                    <w:rPr>
                      <w:sz w:val="21"/>
                      <w:szCs w:val="21"/>
                    </w:rPr>
                  </w:pPr>
                  <w:r>
                    <w:rPr>
                      <w:rFonts w:hint="eastAsia"/>
                      <w:sz w:val="21"/>
                      <w:szCs w:val="21"/>
                    </w:rPr>
                    <w:t>导流时段为9月-1月，导流流量为16.6m³/s。施工导流采用土石围堰导流，施工期采取分段纵向围堰进行导流，同时辅以基坑经常性排水。根据水力计算及施工期洪水水面线，施工导流方式采用束窄河床，分段施工导流，沿河道修建纵向围堰，保证河道干地施工。</w:t>
                  </w:r>
                </w:p>
                <w:p w14:paraId="1F744A76">
                  <w:pPr>
                    <w:pStyle w:val="27"/>
                    <w:spacing w:after="0"/>
                    <w:ind w:left="0" w:leftChars="0" w:firstLine="0" w:firstLineChars="0"/>
                    <w:jc w:val="both"/>
                    <w:rPr>
                      <w:sz w:val="21"/>
                      <w:szCs w:val="21"/>
                    </w:rPr>
                  </w:pPr>
                  <w:r>
                    <w:rPr>
                      <w:rFonts w:hint="eastAsia"/>
                      <w:sz w:val="21"/>
                      <w:szCs w:val="21"/>
                    </w:rPr>
                    <w:t>堤防基础开挖前先填筑好围堰，待主体工程水下部分完工后，即可拆除，拆除料部分用于堤脚砂卵石回填外，其余部分堆放至临时堆场。</w:t>
                  </w:r>
                </w:p>
                <w:p w14:paraId="4B595906">
                  <w:pPr>
                    <w:pStyle w:val="27"/>
                    <w:spacing w:after="0"/>
                    <w:ind w:left="0" w:leftChars="0" w:firstLine="0" w:firstLineChars="0"/>
                    <w:jc w:val="both"/>
                    <w:rPr>
                      <w:sz w:val="21"/>
                      <w:szCs w:val="21"/>
                    </w:rPr>
                  </w:pPr>
                  <w:r>
                    <w:rPr>
                      <w:rFonts w:hint="eastAsia"/>
                      <w:sz w:val="21"/>
                      <w:szCs w:val="21"/>
                    </w:rPr>
                    <w:t>项目围堰分两期建设，一期围堰总长673m，二期围堰总长212m。</w:t>
                  </w:r>
                </w:p>
              </w:tc>
              <w:tc>
                <w:tcPr>
                  <w:tcW w:w="638" w:type="pct"/>
                  <w:vMerge w:val="continue"/>
                  <w:tcBorders>
                    <w:tl2br w:val="nil"/>
                    <w:tr2bl w:val="nil"/>
                  </w:tcBorders>
                  <w:vAlign w:val="center"/>
                </w:tcPr>
                <w:p w14:paraId="3DB911F2">
                  <w:pPr>
                    <w:pStyle w:val="27"/>
                    <w:spacing w:after="0"/>
                    <w:ind w:left="0" w:leftChars="0" w:firstLine="0" w:firstLineChars="0"/>
                    <w:jc w:val="center"/>
                    <w:rPr>
                      <w:sz w:val="21"/>
                      <w:szCs w:val="21"/>
                    </w:rPr>
                  </w:pPr>
                </w:p>
              </w:tc>
              <w:tc>
                <w:tcPr>
                  <w:tcW w:w="525" w:type="pct"/>
                  <w:tcBorders>
                    <w:tl2br w:val="nil"/>
                    <w:tr2bl w:val="nil"/>
                  </w:tcBorders>
                  <w:vAlign w:val="center"/>
                </w:tcPr>
                <w:p w14:paraId="7FF257C9">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0F1EC949">
                  <w:pPr>
                    <w:pStyle w:val="27"/>
                    <w:spacing w:after="0"/>
                    <w:ind w:left="0" w:leftChars="0" w:firstLine="0" w:firstLineChars="0"/>
                    <w:jc w:val="center"/>
                    <w:rPr>
                      <w:sz w:val="21"/>
                      <w:szCs w:val="21"/>
                    </w:rPr>
                  </w:pPr>
                  <w:r>
                    <w:rPr>
                      <w:rFonts w:hint="eastAsia"/>
                      <w:sz w:val="21"/>
                      <w:szCs w:val="21"/>
                    </w:rPr>
                    <w:t>已拆除</w:t>
                  </w:r>
                </w:p>
              </w:tc>
            </w:tr>
            <w:tr w14:paraId="233F6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tcBorders>
                    <w:tl2br w:val="nil"/>
                    <w:tr2bl w:val="nil"/>
                  </w:tcBorders>
                  <w:vAlign w:val="center"/>
                </w:tcPr>
                <w:p w14:paraId="0740FCA8">
                  <w:pPr>
                    <w:pStyle w:val="27"/>
                    <w:spacing w:after="0"/>
                    <w:ind w:left="0" w:leftChars="0" w:firstLine="0" w:firstLineChars="0"/>
                    <w:jc w:val="center"/>
                    <w:rPr>
                      <w:sz w:val="21"/>
                      <w:szCs w:val="21"/>
                    </w:rPr>
                  </w:pPr>
                  <w:r>
                    <w:rPr>
                      <w:rFonts w:hint="eastAsia"/>
                      <w:sz w:val="21"/>
                      <w:szCs w:val="21"/>
                    </w:rPr>
                    <w:t>临时工程</w:t>
                  </w:r>
                </w:p>
              </w:tc>
              <w:tc>
                <w:tcPr>
                  <w:tcW w:w="392" w:type="pct"/>
                  <w:tcBorders>
                    <w:tl2br w:val="nil"/>
                    <w:tr2bl w:val="nil"/>
                  </w:tcBorders>
                  <w:vAlign w:val="center"/>
                </w:tcPr>
                <w:p w14:paraId="63295F78">
                  <w:pPr>
                    <w:pStyle w:val="27"/>
                    <w:spacing w:after="0"/>
                    <w:ind w:left="0" w:leftChars="0" w:firstLine="0" w:firstLineChars="0"/>
                    <w:jc w:val="center"/>
                    <w:rPr>
                      <w:sz w:val="21"/>
                      <w:szCs w:val="21"/>
                    </w:rPr>
                  </w:pPr>
                  <w:r>
                    <w:rPr>
                      <w:rFonts w:hint="eastAsia"/>
                      <w:sz w:val="21"/>
                      <w:szCs w:val="21"/>
                    </w:rPr>
                    <w:t>施工营地</w:t>
                  </w:r>
                </w:p>
              </w:tc>
              <w:tc>
                <w:tcPr>
                  <w:tcW w:w="2458" w:type="pct"/>
                  <w:tcBorders>
                    <w:tl2br w:val="nil"/>
                    <w:tr2bl w:val="nil"/>
                  </w:tcBorders>
                  <w:vAlign w:val="center"/>
                </w:tcPr>
                <w:p w14:paraId="45405F67">
                  <w:pPr>
                    <w:pStyle w:val="27"/>
                    <w:spacing w:after="0"/>
                    <w:ind w:left="0" w:leftChars="0" w:firstLine="0" w:firstLineChars="0"/>
                    <w:jc w:val="both"/>
                    <w:rPr>
                      <w:b/>
                      <w:bCs/>
                      <w:sz w:val="21"/>
                      <w:szCs w:val="21"/>
                    </w:rPr>
                  </w:pPr>
                  <w:r>
                    <w:rPr>
                      <w:rFonts w:hint="eastAsia"/>
                      <w:kern w:val="0"/>
                      <w:sz w:val="21"/>
                      <w:szCs w:val="21"/>
                      <w:lang w:bidi="ar"/>
                    </w:rPr>
                    <w:t>项目施工期间施工项目部、办公生活用房直接租用附近民房布置，不单独新增占地设置临时办公生活场地。</w:t>
                  </w:r>
                </w:p>
              </w:tc>
              <w:tc>
                <w:tcPr>
                  <w:tcW w:w="638" w:type="pct"/>
                  <w:vMerge w:val="continue"/>
                  <w:tcBorders>
                    <w:tl2br w:val="nil"/>
                    <w:tr2bl w:val="nil"/>
                  </w:tcBorders>
                  <w:vAlign w:val="center"/>
                </w:tcPr>
                <w:p w14:paraId="5198BFF8">
                  <w:pPr>
                    <w:pStyle w:val="27"/>
                    <w:spacing w:after="0"/>
                    <w:ind w:left="0" w:leftChars="0" w:firstLine="0" w:firstLineChars="0"/>
                    <w:jc w:val="center"/>
                    <w:rPr>
                      <w:sz w:val="21"/>
                      <w:szCs w:val="21"/>
                    </w:rPr>
                  </w:pPr>
                </w:p>
              </w:tc>
              <w:tc>
                <w:tcPr>
                  <w:tcW w:w="525" w:type="pct"/>
                  <w:tcBorders>
                    <w:tl2br w:val="nil"/>
                    <w:tr2bl w:val="nil"/>
                  </w:tcBorders>
                  <w:vAlign w:val="center"/>
                </w:tcPr>
                <w:p w14:paraId="6C0966DB">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3FBBD0A0">
                  <w:pPr>
                    <w:pStyle w:val="27"/>
                    <w:spacing w:after="0"/>
                    <w:ind w:left="0" w:leftChars="0" w:firstLine="0" w:firstLineChars="0"/>
                    <w:jc w:val="center"/>
                    <w:rPr>
                      <w:sz w:val="21"/>
                      <w:szCs w:val="21"/>
                    </w:rPr>
                  </w:pPr>
                  <w:r>
                    <w:rPr>
                      <w:rFonts w:hint="eastAsia"/>
                      <w:sz w:val="21"/>
                      <w:szCs w:val="21"/>
                    </w:rPr>
                    <w:t>已停止租用</w:t>
                  </w:r>
                </w:p>
              </w:tc>
            </w:tr>
            <w:tr w14:paraId="018C5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527A85EF">
                  <w:pPr>
                    <w:pStyle w:val="27"/>
                    <w:spacing w:after="0"/>
                    <w:ind w:left="0" w:leftChars="0" w:firstLine="0" w:firstLineChars="0"/>
                    <w:jc w:val="center"/>
                    <w:rPr>
                      <w:sz w:val="21"/>
                      <w:szCs w:val="21"/>
                    </w:rPr>
                  </w:pPr>
                </w:p>
              </w:tc>
              <w:tc>
                <w:tcPr>
                  <w:tcW w:w="392" w:type="pct"/>
                  <w:tcBorders>
                    <w:tl2br w:val="nil"/>
                    <w:tr2bl w:val="nil"/>
                  </w:tcBorders>
                  <w:vAlign w:val="center"/>
                </w:tcPr>
                <w:p w14:paraId="41711357">
                  <w:pPr>
                    <w:pStyle w:val="27"/>
                    <w:spacing w:after="0"/>
                    <w:ind w:left="0" w:leftChars="0" w:firstLine="0" w:firstLineChars="0"/>
                    <w:jc w:val="center"/>
                    <w:rPr>
                      <w:sz w:val="21"/>
                      <w:szCs w:val="21"/>
                    </w:rPr>
                  </w:pPr>
                  <w:r>
                    <w:rPr>
                      <w:rFonts w:hint="eastAsia"/>
                      <w:sz w:val="21"/>
                      <w:szCs w:val="21"/>
                    </w:rPr>
                    <w:t>施工场地</w:t>
                  </w:r>
                </w:p>
              </w:tc>
              <w:tc>
                <w:tcPr>
                  <w:tcW w:w="2458" w:type="pct"/>
                  <w:tcBorders>
                    <w:tl2br w:val="nil"/>
                    <w:tr2bl w:val="nil"/>
                  </w:tcBorders>
                  <w:vAlign w:val="center"/>
                </w:tcPr>
                <w:p w14:paraId="29FFD190">
                  <w:pPr>
                    <w:pStyle w:val="27"/>
                    <w:spacing w:after="0"/>
                    <w:ind w:left="0" w:leftChars="0" w:firstLine="0" w:firstLineChars="0"/>
                    <w:jc w:val="both"/>
                    <w:rPr>
                      <w:b/>
                      <w:bCs/>
                      <w:sz w:val="21"/>
                      <w:szCs w:val="21"/>
                    </w:rPr>
                  </w:pPr>
                  <w:r>
                    <w:rPr>
                      <w:rFonts w:hint="eastAsia"/>
                      <w:sz w:val="21"/>
                      <w:szCs w:val="21"/>
                    </w:rPr>
                    <w:t>本项目设置1个施工场地，主要布置施工现场材料堆场、钢筋加工场、木材加工场等</w:t>
                  </w:r>
                  <w:r>
                    <w:rPr>
                      <w:rFonts w:hint="eastAsia"/>
                      <w:sz w:val="21"/>
                      <w:szCs w:val="21"/>
                      <w:lang w:val="zh-CN"/>
                    </w:rPr>
                    <w:t>，位于堤右0+300外侧的海螺沟贡嘎神汤温泉酒店灾后恢复提升工程占地内，紧邻现状道路和项目建设区进行布置，</w:t>
                  </w:r>
                  <w:r>
                    <w:rPr>
                      <w:rFonts w:hint="eastAsia"/>
                      <w:sz w:val="21"/>
                      <w:szCs w:val="21"/>
                    </w:rPr>
                    <w:t>占地面积约0.1hm²，该处场地位于海螺沟贡嘎神汤温泉酒店灾后恢复提升工程占地内，该工程计划于2025年1月至2027年10月进行建设，因此本项目施工场地使用结束后直接由海螺沟贡嘎神汤温泉酒店灾后恢复提升工程进行施工建设，并由海螺沟贡嘎神汤温泉酒店灾后恢复提升工程进行后期恢复</w:t>
                  </w:r>
                  <w:r>
                    <w:rPr>
                      <w:rFonts w:hint="eastAsia"/>
                      <w:kern w:val="0"/>
                      <w:sz w:val="21"/>
                      <w:szCs w:val="21"/>
                      <w:lang w:bidi="ar"/>
                    </w:rPr>
                    <w:t>。</w:t>
                  </w:r>
                </w:p>
              </w:tc>
              <w:tc>
                <w:tcPr>
                  <w:tcW w:w="638" w:type="pct"/>
                  <w:vMerge w:val="continue"/>
                  <w:tcBorders>
                    <w:tl2br w:val="nil"/>
                    <w:tr2bl w:val="nil"/>
                  </w:tcBorders>
                  <w:vAlign w:val="center"/>
                </w:tcPr>
                <w:p w14:paraId="56175CCD">
                  <w:pPr>
                    <w:pStyle w:val="27"/>
                    <w:spacing w:after="0"/>
                    <w:ind w:left="0" w:leftChars="0" w:firstLine="0" w:firstLineChars="0"/>
                    <w:jc w:val="center"/>
                    <w:rPr>
                      <w:sz w:val="21"/>
                      <w:szCs w:val="21"/>
                    </w:rPr>
                  </w:pPr>
                </w:p>
              </w:tc>
              <w:tc>
                <w:tcPr>
                  <w:tcW w:w="525" w:type="pct"/>
                  <w:tcBorders>
                    <w:tl2br w:val="nil"/>
                    <w:tr2bl w:val="nil"/>
                  </w:tcBorders>
                  <w:vAlign w:val="center"/>
                </w:tcPr>
                <w:p w14:paraId="594FF5FE">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6B9D0316">
                  <w:pPr>
                    <w:pStyle w:val="27"/>
                    <w:spacing w:after="0"/>
                    <w:ind w:left="0" w:leftChars="0" w:firstLine="0" w:firstLineChars="0"/>
                    <w:jc w:val="center"/>
                    <w:rPr>
                      <w:sz w:val="21"/>
                      <w:szCs w:val="21"/>
                    </w:rPr>
                  </w:pPr>
                  <w:r>
                    <w:rPr>
                      <w:rFonts w:hint="eastAsia"/>
                      <w:sz w:val="21"/>
                      <w:szCs w:val="21"/>
                    </w:rPr>
                    <w:t>已建设完成，后期由海螺沟贡嘎神汤温泉酒店灾后恢复提升工程进行恢复</w:t>
                  </w:r>
                </w:p>
              </w:tc>
            </w:tr>
            <w:tr w14:paraId="61554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0144ECCF">
                  <w:pPr>
                    <w:pStyle w:val="27"/>
                    <w:spacing w:after="0"/>
                    <w:ind w:left="0" w:leftChars="0" w:firstLine="0" w:firstLineChars="0"/>
                    <w:jc w:val="center"/>
                    <w:rPr>
                      <w:sz w:val="21"/>
                      <w:szCs w:val="21"/>
                    </w:rPr>
                  </w:pPr>
                </w:p>
              </w:tc>
              <w:tc>
                <w:tcPr>
                  <w:tcW w:w="392" w:type="pct"/>
                  <w:tcBorders>
                    <w:tl2br w:val="nil"/>
                    <w:tr2bl w:val="nil"/>
                  </w:tcBorders>
                  <w:vAlign w:val="center"/>
                </w:tcPr>
                <w:p w14:paraId="4C3D7BCB">
                  <w:pPr>
                    <w:pStyle w:val="27"/>
                    <w:spacing w:after="0"/>
                    <w:ind w:left="0" w:leftChars="0" w:firstLine="0" w:firstLineChars="0"/>
                    <w:jc w:val="center"/>
                    <w:rPr>
                      <w:sz w:val="21"/>
                      <w:szCs w:val="21"/>
                    </w:rPr>
                  </w:pPr>
                  <w:r>
                    <w:rPr>
                      <w:rFonts w:hint="eastAsia"/>
                      <w:sz w:val="21"/>
                      <w:szCs w:val="21"/>
                    </w:rPr>
                    <w:t>施工临时道路</w:t>
                  </w:r>
                </w:p>
              </w:tc>
              <w:tc>
                <w:tcPr>
                  <w:tcW w:w="2458" w:type="pct"/>
                  <w:tcBorders>
                    <w:tl2br w:val="nil"/>
                    <w:tr2bl w:val="nil"/>
                  </w:tcBorders>
                  <w:vAlign w:val="center"/>
                </w:tcPr>
                <w:p w14:paraId="6DC301BB">
                  <w:pPr>
                    <w:pStyle w:val="27"/>
                    <w:spacing w:after="0"/>
                    <w:ind w:left="0" w:leftChars="0" w:firstLine="0" w:firstLineChars="0"/>
                    <w:jc w:val="both"/>
                    <w:rPr>
                      <w:b/>
                      <w:bCs/>
                      <w:sz w:val="21"/>
                      <w:szCs w:val="21"/>
                    </w:rPr>
                  </w:pPr>
                  <w:r>
                    <w:rPr>
                      <w:rFonts w:hint="eastAsia"/>
                      <w:sz w:val="21"/>
                      <w:szCs w:val="21"/>
                    </w:rPr>
                    <w:t>场内运输以建设区周围现有道路为基础，沿河道内布置施工作业带，施工作业带与现状道路相接，施工车辆直接利用施工作业带进行通行，不设置施工便道。</w:t>
                  </w:r>
                </w:p>
              </w:tc>
              <w:tc>
                <w:tcPr>
                  <w:tcW w:w="638" w:type="pct"/>
                  <w:vMerge w:val="continue"/>
                  <w:tcBorders>
                    <w:tl2br w:val="nil"/>
                    <w:tr2bl w:val="nil"/>
                  </w:tcBorders>
                  <w:vAlign w:val="center"/>
                </w:tcPr>
                <w:p w14:paraId="6D265280">
                  <w:pPr>
                    <w:pStyle w:val="27"/>
                    <w:spacing w:after="0"/>
                    <w:ind w:left="0" w:leftChars="0" w:firstLine="0" w:firstLineChars="0"/>
                    <w:jc w:val="center"/>
                    <w:rPr>
                      <w:sz w:val="21"/>
                      <w:szCs w:val="21"/>
                    </w:rPr>
                  </w:pPr>
                </w:p>
              </w:tc>
              <w:tc>
                <w:tcPr>
                  <w:tcW w:w="525" w:type="pct"/>
                  <w:tcBorders>
                    <w:tl2br w:val="nil"/>
                    <w:tr2bl w:val="nil"/>
                  </w:tcBorders>
                  <w:vAlign w:val="center"/>
                </w:tcPr>
                <w:p w14:paraId="7237E42B">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65394692">
                  <w:pPr>
                    <w:pStyle w:val="27"/>
                    <w:spacing w:after="0"/>
                    <w:ind w:left="0" w:leftChars="0" w:firstLine="0" w:firstLineChars="0"/>
                    <w:jc w:val="center"/>
                    <w:rPr>
                      <w:sz w:val="21"/>
                      <w:szCs w:val="21"/>
                    </w:rPr>
                  </w:pPr>
                  <w:r>
                    <w:rPr>
                      <w:sz w:val="21"/>
                      <w:szCs w:val="21"/>
                    </w:rPr>
                    <w:t>/</w:t>
                  </w:r>
                </w:p>
              </w:tc>
            </w:tr>
            <w:tr w14:paraId="7DBE6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1E892952">
                  <w:pPr>
                    <w:pStyle w:val="27"/>
                    <w:spacing w:after="0"/>
                    <w:ind w:left="0" w:leftChars="0" w:firstLine="0" w:firstLineChars="0"/>
                    <w:jc w:val="center"/>
                    <w:rPr>
                      <w:sz w:val="21"/>
                      <w:szCs w:val="21"/>
                    </w:rPr>
                  </w:pPr>
                </w:p>
              </w:tc>
              <w:tc>
                <w:tcPr>
                  <w:tcW w:w="392" w:type="pct"/>
                  <w:tcBorders>
                    <w:tl2br w:val="nil"/>
                    <w:tr2bl w:val="nil"/>
                  </w:tcBorders>
                  <w:vAlign w:val="center"/>
                </w:tcPr>
                <w:p w14:paraId="0F02FCA5">
                  <w:pPr>
                    <w:pStyle w:val="27"/>
                    <w:spacing w:after="0"/>
                    <w:ind w:left="0" w:leftChars="0" w:firstLine="0" w:firstLineChars="0"/>
                    <w:jc w:val="center"/>
                    <w:rPr>
                      <w:sz w:val="21"/>
                      <w:szCs w:val="21"/>
                    </w:rPr>
                  </w:pPr>
                  <w:r>
                    <w:rPr>
                      <w:rFonts w:hint="eastAsia"/>
                      <w:sz w:val="21"/>
                      <w:szCs w:val="21"/>
                    </w:rPr>
                    <w:t>料场</w:t>
                  </w:r>
                </w:p>
              </w:tc>
              <w:tc>
                <w:tcPr>
                  <w:tcW w:w="2458" w:type="pct"/>
                  <w:tcBorders>
                    <w:tl2br w:val="nil"/>
                    <w:tr2bl w:val="nil"/>
                  </w:tcBorders>
                  <w:vAlign w:val="center"/>
                </w:tcPr>
                <w:p w14:paraId="00A2EEDB">
                  <w:pPr>
                    <w:pStyle w:val="27"/>
                    <w:spacing w:after="0"/>
                    <w:ind w:left="0" w:leftChars="0" w:firstLine="0" w:firstLineChars="0"/>
                    <w:jc w:val="both"/>
                    <w:rPr>
                      <w:sz w:val="21"/>
                      <w:szCs w:val="21"/>
                    </w:rPr>
                  </w:pPr>
                  <w:r>
                    <w:rPr>
                      <w:rFonts w:hint="eastAsia"/>
                      <w:sz w:val="21"/>
                      <w:szCs w:val="21"/>
                    </w:rPr>
                    <w:t>本工程建设所需地方建材除利用项目开挖的砂卵石外，其余混凝土、级配碎石等均在甘孜州相应的合法商品料场购买。不涉及建设料场。</w:t>
                  </w:r>
                </w:p>
              </w:tc>
              <w:tc>
                <w:tcPr>
                  <w:tcW w:w="638" w:type="pct"/>
                  <w:vMerge w:val="continue"/>
                  <w:tcBorders>
                    <w:tl2br w:val="nil"/>
                    <w:tr2bl w:val="nil"/>
                  </w:tcBorders>
                  <w:vAlign w:val="center"/>
                </w:tcPr>
                <w:p w14:paraId="05B201C8">
                  <w:pPr>
                    <w:pStyle w:val="27"/>
                    <w:spacing w:after="0"/>
                    <w:ind w:left="0" w:leftChars="0" w:firstLine="0" w:firstLineChars="0"/>
                    <w:jc w:val="center"/>
                    <w:rPr>
                      <w:sz w:val="21"/>
                      <w:szCs w:val="21"/>
                    </w:rPr>
                  </w:pPr>
                </w:p>
              </w:tc>
              <w:tc>
                <w:tcPr>
                  <w:tcW w:w="525" w:type="pct"/>
                  <w:tcBorders>
                    <w:tl2br w:val="nil"/>
                    <w:tr2bl w:val="nil"/>
                  </w:tcBorders>
                  <w:vAlign w:val="center"/>
                </w:tcPr>
                <w:p w14:paraId="18FB0E4E">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72609198">
                  <w:pPr>
                    <w:pStyle w:val="27"/>
                    <w:spacing w:after="0"/>
                    <w:ind w:left="0" w:leftChars="0" w:firstLine="0" w:firstLineChars="0"/>
                    <w:jc w:val="center"/>
                    <w:rPr>
                      <w:sz w:val="21"/>
                      <w:szCs w:val="21"/>
                    </w:rPr>
                  </w:pPr>
                  <w:r>
                    <w:rPr>
                      <w:sz w:val="21"/>
                      <w:szCs w:val="21"/>
                    </w:rPr>
                    <w:t>/</w:t>
                  </w:r>
                </w:p>
              </w:tc>
            </w:tr>
            <w:tr w14:paraId="725A8C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0D22DCF1">
                  <w:pPr>
                    <w:pStyle w:val="27"/>
                    <w:spacing w:after="0"/>
                    <w:ind w:left="0" w:leftChars="0" w:firstLine="0" w:firstLineChars="0"/>
                    <w:jc w:val="center"/>
                    <w:rPr>
                      <w:sz w:val="21"/>
                      <w:szCs w:val="21"/>
                    </w:rPr>
                  </w:pPr>
                </w:p>
              </w:tc>
              <w:tc>
                <w:tcPr>
                  <w:tcW w:w="392" w:type="pct"/>
                  <w:tcBorders>
                    <w:tl2br w:val="nil"/>
                    <w:tr2bl w:val="nil"/>
                  </w:tcBorders>
                  <w:vAlign w:val="center"/>
                </w:tcPr>
                <w:p w14:paraId="0D82CE90">
                  <w:pPr>
                    <w:pStyle w:val="40"/>
                    <w:rPr>
                      <w:rFonts w:cs="Times New Roman"/>
                    </w:rPr>
                  </w:pPr>
                  <w:r>
                    <w:rPr>
                      <w:rFonts w:hint="eastAsia" w:cs="Times New Roman"/>
                    </w:rPr>
                    <w:t>临时堆土场、围堰</w:t>
                  </w:r>
                </w:p>
              </w:tc>
              <w:tc>
                <w:tcPr>
                  <w:tcW w:w="2458" w:type="pct"/>
                  <w:tcBorders>
                    <w:tl2br w:val="nil"/>
                    <w:tr2bl w:val="nil"/>
                  </w:tcBorders>
                  <w:vAlign w:val="center"/>
                </w:tcPr>
                <w:p w14:paraId="6E3B28F3">
                  <w:pPr>
                    <w:pStyle w:val="27"/>
                    <w:spacing w:after="0"/>
                    <w:ind w:left="0" w:leftChars="0" w:firstLine="0" w:firstLineChars="0"/>
                    <w:jc w:val="both"/>
                    <w:rPr>
                      <w:sz w:val="21"/>
                      <w:szCs w:val="21"/>
                    </w:rPr>
                  </w:pPr>
                  <w:r>
                    <w:rPr>
                      <w:rFonts w:hint="eastAsia"/>
                      <w:sz w:val="21"/>
                      <w:szCs w:val="21"/>
                    </w:rPr>
                    <w:t>项目建设范围内均为现状河道及正在施工建设的海螺沟贡嘎神汤温泉酒店灾后恢复提升工程用地，无可剥离表土资源，因此不设置表土堆存场。</w:t>
                  </w:r>
                </w:p>
                <w:p w14:paraId="6E9EECC8">
                  <w:pPr>
                    <w:pStyle w:val="27"/>
                    <w:spacing w:after="0"/>
                    <w:ind w:left="0" w:leftChars="0" w:firstLine="0" w:firstLineChars="0"/>
                    <w:jc w:val="both"/>
                    <w:rPr>
                      <w:sz w:val="21"/>
                      <w:szCs w:val="21"/>
                    </w:rPr>
                  </w:pPr>
                  <w:r>
                    <w:rPr>
                      <w:rFonts w:hint="eastAsia"/>
                      <w:sz w:val="21"/>
                      <w:szCs w:val="21"/>
                    </w:rPr>
                    <w:t>本项目施工期间堤防基坑开挖土方沿施工作业带堆放于施工围堰内，不集中设置临时堆土场。项目堤防工程施工期间基坑开挖土石方沿施工作业带进行堆存，后续直接用于基坑回填利用。</w:t>
                  </w:r>
                </w:p>
              </w:tc>
              <w:tc>
                <w:tcPr>
                  <w:tcW w:w="638" w:type="pct"/>
                  <w:vMerge w:val="continue"/>
                  <w:tcBorders>
                    <w:tl2br w:val="nil"/>
                    <w:tr2bl w:val="nil"/>
                  </w:tcBorders>
                  <w:vAlign w:val="center"/>
                </w:tcPr>
                <w:p w14:paraId="61EEB442">
                  <w:pPr>
                    <w:pStyle w:val="27"/>
                    <w:spacing w:after="0"/>
                    <w:ind w:left="0" w:leftChars="0" w:firstLine="0" w:firstLineChars="0"/>
                    <w:jc w:val="center"/>
                    <w:rPr>
                      <w:sz w:val="21"/>
                      <w:szCs w:val="21"/>
                    </w:rPr>
                  </w:pPr>
                </w:p>
              </w:tc>
              <w:tc>
                <w:tcPr>
                  <w:tcW w:w="525" w:type="pct"/>
                  <w:tcBorders>
                    <w:tl2br w:val="nil"/>
                    <w:tr2bl w:val="nil"/>
                  </w:tcBorders>
                  <w:vAlign w:val="center"/>
                </w:tcPr>
                <w:p w14:paraId="1D862EB5">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3FBA8A5B">
                  <w:pPr>
                    <w:pStyle w:val="27"/>
                    <w:spacing w:after="0"/>
                    <w:ind w:left="0" w:leftChars="0" w:firstLine="0" w:firstLineChars="0"/>
                    <w:jc w:val="center"/>
                    <w:rPr>
                      <w:sz w:val="21"/>
                      <w:szCs w:val="21"/>
                    </w:rPr>
                  </w:pPr>
                  <w:r>
                    <w:rPr>
                      <w:sz w:val="21"/>
                      <w:szCs w:val="21"/>
                    </w:rPr>
                    <w:t>/</w:t>
                  </w:r>
                </w:p>
              </w:tc>
            </w:tr>
            <w:tr w14:paraId="1B01C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tcBorders>
                    <w:tl2br w:val="nil"/>
                    <w:tr2bl w:val="nil"/>
                  </w:tcBorders>
                  <w:vAlign w:val="center"/>
                </w:tcPr>
                <w:p w14:paraId="16C00F90">
                  <w:pPr>
                    <w:pStyle w:val="27"/>
                    <w:spacing w:after="0"/>
                    <w:ind w:left="0" w:leftChars="0" w:firstLine="0" w:firstLineChars="0"/>
                    <w:jc w:val="center"/>
                    <w:rPr>
                      <w:sz w:val="21"/>
                      <w:szCs w:val="21"/>
                    </w:rPr>
                  </w:pPr>
                  <w:r>
                    <w:rPr>
                      <w:rFonts w:hint="eastAsia"/>
                      <w:sz w:val="21"/>
                      <w:szCs w:val="21"/>
                    </w:rPr>
                    <w:t>拆迁安置工程</w:t>
                  </w:r>
                </w:p>
              </w:tc>
              <w:tc>
                <w:tcPr>
                  <w:tcW w:w="2850" w:type="pct"/>
                  <w:gridSpan w:val="2"/>
                  <w:tcBorders>
                    <w:tl2br w:val="nil"/>
                    <w:tr2bl w:val="nil"/>
                  </w:tcBorders>
                  <w:vAlign w:val="center"/>
                </w:tcPr>
                <w:p w14:paraId="6121B4CB">
                  <w:pPr>
                    <w:pStyle w:val="27"/>
                    <w:spacing w:after="0"/>
                    <w:ind w:left="0" w:leftChars="0" w:firstLine="0" w:firstLineChars="0"/>
                    <w:jc w:val="both"/>
                    <w:rPr>
                      <w:sz w:val="21"/>
                      <w:szCs w:val="21"/>
                    </w:rPr>
                  </w:pPr>
                  <w:r>
                    <w:rPr>
                      <w:rFonts w:hint="eastAsia"/>
                      <w:kern w:val="0"/>
                      <w:sz w:val="21"/>
                      <w:szCs w:val="21"/>
                      <w:lang w:bidi="ar"/>
                    </w:rPr>
                    <w:t>本工程建设不涉及拆迁（安置）与专项设施改（迁）建。</w:t>
                  </w:r>
                </w:p>
              </w:tc>
              <w:tc>
                <w:tcPr>
                  <w:tcW w:w="638" w:type="pct"/>
                  <w:vMerge w:val="continue"/>
                  <w:tcBorders>
                    <w:tl2br w:val="nil"/>
                    <w:tr2bl w:val="nil"/>
                  </w:tcBorders>
                  <w:vAlign w:val="center"/>
                </w:tcPr>
                <w:p w14:paraId="6521B366">
                  <w:pPr>
                    <w:pStyle w:val="27"/>
                    <w:spacing w:after="0"/>
                    <w:ind w:left="0" w:leftChars="0" w:firstLine="0" w:firstLineChars="0"/>
                    <w:jc w:val="center"/>
                    <w:rPr>
                      <w:sz w:val="21"/>
                      <w:szCs w:val="21"/>
                    </w:rPr>
                  </w:pPr>
                </w:p>
              </w:tc>
              <w:tc>
                <w:tcPr>
                  <w:tcW w:w="525" w:type="pct"/>
                  <w:tcBorders>
                    <w:tl2br w:val="nil"/>
                    <w:tr2bl w:val="nil"/>
                  </w:tcBorders>
                  <w:vAlign w:val="center"/>
                </w:tcPr>
                <w:p w14:paraId="58EC4039">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7A68A152">
                  <w:pPr>
                    <w:pStyle w:val="27"/>
                    <w:spacing w:after="0"/>
                    <w:ind w:left="0" w:leftChars="0" w:firstLine="0" w:firstLineChars="0"/>
                    <w:jc w:val="center"/>
                    <w:rPr>
                      <w:sz w:val="21"/>
                      <w:szCs w:val="21"/>
                    </w:rPr>
                  </w:pPr>
                  <w:r>
                    <w:rPr>
                      <w:sz w:val="21"/>
                      <w:szCs w:val="21"/>
                    </w:rPr>
                    <w:t>/</w:t>
                  </w:r>
                </w:p>
              </w:tc>
            </w:tr>
            <w:tr w14:paraId="40D687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tcBorders>
                    <w:tl2br w:val="nil"/>
                    <w:tr2bl w:val="nil"/>
                  </w:tcBorders>
                  <w:vAlign w:val="center"/>
                </w:tcPr>
                <w:p w14:paraId="2E195193">
                  <w:pPr>
                    <w:pStyle w:val="27"/>
                    <w:spacing w:after="0"/>
                    <w:ind w:left="0" w:leftChars="0" w:firstLine="0" w:firstLineChars="0"/>
                    <w:jc w:val="center"/>
                    <w:rPr>
                      <w:sz w:val="21"/>
                      <w:szCs w:val="21"/>
                    </w:rPr>
                  </w:pPr>
                  <w:r>
                    <w:rPr>
                      <w:rFonts w:hint="eastAsia"/>
                      <w:sz w:val="21"/>
                      <w:szCs w:val="21"/>
                    </w:rPr>
                    <w:t>公用工程</w:t>
                  </w:r>
                </w:p>
              </w:tc>
              <w:tc>
                <w:tcPr>
                  <w:tcW w:w="392" w:type="pct"/>
                  <w:tcBorders>
                    <w:tl2br w:val="nil"/>
                    <w:tr2bl w:val="nil"/>
                  </w:tcBorders>
                  <w:vAlign w:val="center"/>
                </w:tcPr>
                <w:p w14:paraId="1C5B397D">
                  <w:pPr>
                    <w:pStyle w:val="27"/>
                    <w:spacing w:after="0"/>
                    <w:ind w:left="0" w:leftChars="0" w:firstLine="0" w:firstLineChars="0"/>
                    <w:jc w:val="center"/>
                    <w:rPr>
                      <w:sz w:val="21"/>
                      <w:szCs w:val="21"/>
                    </w:rPr>
                  </w:pPr>
                  <w:r>
                    <w:rPr>
                      <w:rFonts w:hint="eastAsia"/>
                      <w:sz w:val="21"/>
                      <w:szCs w:val="21"/>
                    </w:rPr>
                    <w:t>供水</w:t>
                  </w:r>
                </w:p>
              </w:tc>
              <w:tc>
                <w:tcPr>
                  <w:tcW w:w="2458" w:type="pct"/>
                  <w:tcBorders>
                    <w:tl2br w:val="nil"/>
                    <w:tr2bl w:val="nil"/>
                  </w:tcBorders>
                  <w:vAlign w:val="center"/>
                </w:tcPr>
                <w:p w14:paraId="72B93604">
                  <w:pPr>
                    <w:rPr>
                      <w:sz w:val="21"/>
                      <w:szCs w:val="21"/>
                    </w:rPr>
                  </w:pPr>
                  <w:r>
                    <w:rPr>
                      <w:rFonts w:hint="eastAsia"/>
                      <w:sz w:val="21"/>
                      <w:szCs w:val="21"/>
                    </w:rPr>
                    <w:t>工程区河段水源丰富，水质较好，施工用水通过水泵从工程区河段抽水。</w:t>
                  </w:r>
                </w:p>
              </w:tc>
              <w:tc>
                <w:tcPr>
                  <w:tcW w:w="638" w:type="pct"/>
                  <w:vMerge w:val="continue"/>
                  <w:tcBorders>
                    <w:tl2br w:val="nil"/>
                    <w:tr2bl w:val="nil"/>
                  </w:tcBorders>
                  <w:vAlign w:val="center"/>
                </w:tcPr>
                <w:p w14:paraId="465A2DD7">
                  <w:pPr>
                    <w:pStyle w:val="27"/>
                    <w:spacing w:after="0"/>
                    <w:ind w:left="0" w:leftChars="0" w:firstLine="0" w:firstLineChars="0"/>
                    <w:jc w:val="center"/>
                    <w:rPr>
                      <w:sz w:val="21"/>
                      <w:szCs w:val="21"/>
                    </w:rPr>
                  </w:pPr>
                </w:p>
              </w:tc>
              <w:tc>
                <w:tcPr>
                  <w:tcW w:w="525" w:type="pct"/>
                  <w:tcBorders>
                    <w:tl2br w:val="nil"/>
                    <w:tr2bl w:val="nil"/>
                  </w:tcBorders>
                  <w:vAlign w:val="center"/>
                </w:tcPr>
                <w:p w14:paraId="0C9D6AA6">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0E11181B">
                  <w:pPr>
                    <w:pStyle w:val="27"/>
                    <w:spacing w:after="0"/>
                    <w:ind w:left="0" w:leftChars="0" w:firstLine="0" w:firstLineChars="0"/>
                    <w:jc w:val="center"/>
                    <w:rPr>
                      <w:sz w:val="21"/>
                      <w:szCs w:val="21"/>
                    </w:rPr>
                  </w:pPr>
                  <w:r>
                    <w:rPr>
                      <w:sz w:val="21"/>
                      <w:szCs w:val="21"/>
                    </w:rPr>
                    <w:t>/</w:t>
                  </w:r>
                </w:p>
              </w:tc>
            </w:tr>
            <w:tr w14:paraId="2932B2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01122185">
                  <w:pPr>
                    <w:pStyle w:val="27"/>
                    <w:spacing w:after="0"/>
                    <w:ind w:left="0" w:leftChars="0" w:firstLine="0" w:firstLineChars="0"/>
                    <w:jc w:val="center"/>
                    <w:rPr>
                      <w:sz w:val="21"/>
                      <w:szCs w:val="21"/>
                    </w:rPr>
                  </w:pPr>
                </w:p>
              </w:tc>
              <w:tc>
                <w:tcPr>
                  <w:tcW w:w="392" w:type="pct"/>
                  <w:tcBorders>
                    <w:tl2br w:val="nil"/>
                    <w:tr2bl w:val="nil"/>
                  </w:tcBorders>
                  <w:vAlign w:val="center"/>
                </w:tcPr>
                <w:p w14:paraId="2F9C9ECB">
                  <w:pPr>
                    <w:pStyle w:val="27"/>
                    <w:spacing w:after="0"/>
                    <w:ind w:left="0" w:leftChars="0" w:firstLine="0" w:firstLineChars="0"/>
                    <w:jc w:val="center"/>
                    <w:rPr>
                      <w:sz w:val="21"/>
                      <w:szCs w:val="21"/>
                    </w:rPr>
                  </w:pPr>
                  <w:r>
                    <w:rPr>
                      <w:rFonts w:hint="eastAsia"/>
                      <w:sz w:val="21"/>
                      <w:szCs w:val="21"/>
                    </w:rPr>
                    <w:t>供电</w:t>
                  </w:r>
                </w:p>
              </w:tc>
              <w:tc>
                <w:tcPr>
                  <w:tcW w:w="2458" w:type="pct"/>
                  <w:tcBorders>
                    <w:tl2br w:val="nil"/>
                    <w:tr2bl w:val="nil"/>
                  </w:tcBorders>
                  <w:vAlign w:val="center"/>
                </w:tcPr>
                <w:p w14:paraId="2684A36C">
                  <w:pPr>
                    <w:rPr>
                      <w:sz w:val="21"/>
                      <w:szCs w:val="21"/>
                    </w:rPr>
                  </w:pPr>
                  <w:r>
                    <w:rPr>
                      <w:rFonts w:hint="eastAsia"/>
                      <w:sz w:val="21"/>
                      <w:szCs w:val="21"/>
                    </w:rPr>
                    <w:t>项目附近市政电网、村镇民用电线路分布较为密集，本项目施工用电即从项目沿线附近的线路接引，并于施工生产场地内设置临时配变电设施即可满足工程各施工设备用电需求。本项目在施工期间需用燃油均从当地县城购买，施工场地不存放燃油。</w:t>
                  </w:r>
                </w:p>
              </w:tc>
              <w:tc>
                <w:tcPr>
                  <w:tcW w:w="638" w:type="pct"/>
                  <w:vMerge w:val="continue"/>
                  <w:tcBorders>
                    <w:tl2br w:val="nil"/>
                    <w:tr2bl w:val="nil"/>
                  </w:tcBorders>
                  <w:vAlign w:val="center"/>
                </w:tcPr>
                <w:p w14:paraId="497E24C3">
                  <w:pPr>
                    <w:pStyle w:val="27"/>
                    <w:spacing w:after="0"/>
                    <w:ind w:left="0" w:leftChars="0" w:firstLine="0" w:firstLineChars="0"/>
                    <w:jc w:val="center"/>
                    <w:rPr>
                      <w:sz w:val="21"/>
                      <w:szCs w:val="21"/>
                    </w:rPr>
                  </w:pPr>
                </w:p>
              </w:tc>
              <w:tc>
                <w:tcPr>
                  <w:tcW w:w="525" w:type="pct"/>
                  <w:tcBorders>
                    <w:tl2br w:val="nil"/>
                    <w:tr2bl w:val="nil"/>
                  </w:tcBorders>
                  <w:vAlign w:val="center"/>
                </w:tcPr>
                <w:p w14:paraId="075529B8">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692E1D9B">
                  <w:pPr>
                    <w:pStyle w:val="27"/>
                    <w:spacing w:after="0"/>
                    <w:ind w:left="0" w:leftChars="0" w:firstLine="0" w:firstLineChars="0"/>
                    <w:jc w:val="center"/>
                    <w:rPr>
                      <w:sz w:val="21"/>
                      <w:szCs w:val="21"/>
                    </w:rPr>
                  </w:pPr>
                  <w:r>
                    <w:rPr>
                      <w:sz w:val="21"/>
                      <w:szCs w:val="21"/>
                    </w:rPr>
                    <w:t>/</w:t>
                  </w:r>
                </w:p>
              </w:tc>
            </w:tr>
            <w:tr w14:paraId="1BBAE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tcBorders>
                    <w:tl2br w:val="nil"/>
                    <w:tr2bl w:val="nil"/>
                  </w:tcBorders>
                  <w:vAlign w:val="center"/>
                </w:tcPr>
                <w:p w14:paraId="18E86845">
                  <w:pPr>
                    <w:pStyle w:val="27"/>
                    <w:spacing w:after="0"/>
                    <w:ind w:left="0" w:leftChars="0" w:firstLine="0" w:firstLineChars="0"/>
                    <w:jc w:val="center"/>
                    <w:rPr>
                      <w:sz w:val="21"/>
                      <w:szCs w:val="21"/>
                    </w:rPr>
                  </w:pPr>
                  <w:r>
                    <w:rPr>
                      <w:rFonts w:hint="eastAsia"/>
                      <w:sz w:val="21"/>
                      <w:szCs w:val="21"/>
                    </w:rPr>
                    <w:t>环保工程</w:t>
                  </w:r>
                </w:p>
              </w:tc>
              <w:tc>
                <w:tcPr>
                  <w:tcW w:w="392" w:type="pct"/>
                  <w:vMerge w:val="restart"/>
                  <w:tcBorders>
                    <w:tl2br w:val="nil"/>
                    <w:tr2bl w:val="nil"/>
                  </w:tcBorders>
                  <w:vAlign w:val="center"/>
                </w:tcPr>
                <w:p w14:paraId="26F4CF19">
                  <w:pPr>
                    <w:pStyle w:val="27"/>
                    <w:spacing w:after="0"/>
                    <w:ind w:left="0" w:leftChars="0" w:firstLine="0" w:firstLineChars="0"/>
                    <w:jc w:val="center"/>
                    <w:rPr>
                      <w:sz w:val="21"/>
                      <w:szCs w:val="21"/>
                    </w:rPr>
                  </w:pPr>
                  <w:r>
                    <w:rPr>
                      <w:rFonts w:hint="eastAsia"/>
                      <w:sz w:val="21"/>
                      <w:szCs w:val="21"/>
                    </w:rPr>
                    <w:t>施工期废气治理</w:t>
                  </w:r>
                </w:p>
              </w:tc>
              <w:tc>
                <w:tcPr>
                  <w:tcW w:w="2458" w:type="pct"/>
                  <w:tcBorders>
                    <w:tl2br w:val="nil"/>
                    <w:tr2bl w:val="nil"/>
                  </w:tcBorders>
                  <w:vAlign w:val="center"/>
                </w:tcPr>
                <w:p w14:paraId="18B9B61F">
                  <w:pPr>
                    <w:widowControl/>
                    <w:jc w:val="left"/>
                    <w:rPr>
                      <w:sz w:val="21"/>
                      <w:szCs w:val="21"/>
                    </w:rPr>
                  </w:pPr>
                  <w:r>
                    <w:rPr>
                      <w:rFonts w:hint="eastAsia"/>
                      <w:b/>
                      <w:bCs/>
                      <w:sz w:val="21"/>
                      <w:szCs w:val="21"/>
                    </w:rPr>
                    <w:t>施工扬尘：</w:t>
                  </w:r>
                  <w:r>
                    <w:rPr>
                      <w:rFonts w:hint="eastAsia"/>
                      <w:sz w:val="21"/>
                      <w:szCs w:val="21"/>
                    </w:rPr>
                    <w:t>定时现场洒水降尘、修建围挡、车辆运输时覆盖帆布、开挖裸露区域采取</w:t>
                  </w:r>
                  <w:r>
                    <w:rPr>
                      <w:rFonts w:hint="eastAsia"/>
                      <w:bCs/>
                      <w:sz w:val="21"/>
                      <w:szCs w:val="21"/>
                    </w:rPr>
                    <w:t>密目网覆盖并及时回填</w:t>
                  </w:r>
                  <w:r>
                    <w:rPr>
                      <w:rFonts w:hint="eastAsia"/>
                      <w:sz w:val="21"/>
                      <w:szCs w:val="21"/>
                    </w:rPr>
                    <w:t>、清运渣土、运输车辆的出入口内侧设置洗车平台、加强管理、合理布局等。</w:t>
                  </w:r>
                </w:p>
              </w:tc>
              <w:tc>
                <w:tcPr>
                  <w:tcW w:w="638" w:type="pct"/>
                  <w:vMerge w:val="continue"/>
                  <w:tcBorders>
                    <w:tl2br w:val="nil"/>
                    <w:tr2bl w:val="nil"/>
                  </w:tcBorders>
                  <w:vAlign w:val="center"/>
                </w:tcPr>
                <w:p w14:paraId="278C740B">
                  <w:pPr>
                    <w:pStyle w:val="27"/>
                    <w:spacing w:after="0"/>
                    <w:ind w:left="0" w:leftChars="0" w:firstLine="0" w:firstLineChars="0"/>
                    <w:jc w:val="center"/>
                    <w:rPr>
                      <w:sz w:val="21"/>
                      <w:szCs w:val="21"/>
                    </w:rPr>
                  </w:pPr>
                </w:p>
              </w:tc>
              <w:tc>
                <w:tcPr>
                  <w:tcW w:w="525" w:type="pct"/>
                  <w:tcBorders>
                    <w:tl2br w:val="nil"/>
                    <w:tr2bl w:val="nil"/>
                  </w:tcBorders>
                  <w:vAlign w:val="center"/>
                </w:tcPr>
                <w:p w14:paraId="524C86FD">
                  <w:pPr>
                    <w:pStyle w:val="27"/>
                    <w:spacing w:after="0"/>
                    <w:ind w:left="0" w:leftChars="0" w:firstLine="0" w:firstLineChars="0"/>
                    <w:jc w:val="center"/>
                    <w:rPr>
                      <w:sz w:val="21"/>
                      <w:szCs w:val="21"/>
                    </w:rPr>
                  </w:pPr>
                  <w:r>
                    <w:rPr>
                      <w:sz w:val="21"/>
                      <w:szCs w:val="21"/>
                    </w:rPr>
                    <w:t>/</w:t>
                  </w:r>
                </w:p>
              </w:tc>
              <w:tc>
                <w:tcPr>
                  <w:tcW w:w="574" w:type="pct"/>
                  <w:vMerge w:val="restart"/>
                  <w:tcBorders>
                    <w:tl2br w:val="nil"/>
                    <w:tr2bl w:val="nil"/>
                  </w:tcBorders>
                  <w:vAlign w:val="center"/>
                </w:tcPr>
                <w:p w14:paraId="5CE36C34">
                  <w:pPr>
                    <w:pStyle w:val="27"/>
                    <w:spacing w:after="0"/>
                    <w:ind w:left="0" w:leftChars="0" w:firstLine="0" w:firstLineChars="0"/>
                    <w:jc w:val="center"/>
                    <w:rPr>
                      <w:sz w:val="21"/>
                      <w:szCs w:val="21"/>
                    </w:rPr>
                  </w:pPr>
                  <w:r>
                    <w:rPr>
                      <w:rFonts w:hint="eastAsia"/>
                      <w:sz w:val="21"/>
                      <w:szCs w:val="21"/>
                    </w:rPr>
                    <w:t>现已停止产排污，污染影响已消除，施工期未造成环境污染</w:t>
                  </w:r>
                </w:p>
              </w:tc>
            </w:tr>
            <w:tr w14:paraId="0F368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6D4900B6">
                  <w:pPr>
                    <w:pStyle w:val="27"/>
                    <w:spacing w:after="0"/>
                    <w:ind w:left="0" w:leftChars="0" w:firstLine="0" w:firstLineChars="0"/>
                    <w:jc w:val="center"/>
                    <w:rPr>
                      <w:sz w:val="21"/>
                      <w:szCs w:val="21"/>
                    </w:rPr>
                  </w:pPr>
                </w:p>
              </w:tc>
              <w:tc>
                <w:tcPr>
                  <w:tcW w:w="392" w:type="pct"/>
                  <w:vMerge w:val="continue"/>
                  <w:tcBorders>
                    <w:tl2br w:val="nil"/>
                    <w:tr2bl w:val="nil"/>
                  </w:tcBorders>
                  <w:vAlign w:val="center"/>
                </w:tcPr>
                <w:p w14:paraId="24AD4559">
                  <w:pPr>
                    <w:pStyle w:val="27"/>
                    <w:spacing w:after="0"/>
                    <w:ind w:left="0" w:leftChars="0" w:firstLine="0" w:firstLineChars="0"/>
                    <w:jc w:val="center"/>
                    <w:rPr>
                      <w:sz w:val="21"/>
                      <w:szCs w:val="21"/>
                    </w:rPr>
                  </w:pPr>
                </w:p>
              </w:tc>
              <w:tc>
                <w:tcPr>
                  <w:tcW w:w="2458" w:type="pct"/>
                  <w:tcBorders>
                    <w:tl2br w:val="nil"/>
                    <w:tr2bl w:val="nil"/>
                  </w:tcBorders>
                  <w:vAlign w:val="center"/>
                </w:tcPr>
                <w:p w14:paraId="264A2B4B">
                  <w:pPr>
                    <w:widowControl/>
                    <w:jc w:val="left"/>
                    <w:rPr>
                      <w:sz w:val="21"/>
                      <w:szCs w:val="21"/>
                    </w:rPr>
                  </w:pPr>
                  <w:r>
                    <w:rPr>
                      <w:rFonts w:hint="eastAsia"/>
                      <w:b/>
                      <w:bCs/>
                      <w:sz w:val="21"/>
                      <w:szCs w:val="21"/>
                    </w:rPr>
                    <w:t>道路运输扬尘：</w:t>
                  </w:r>
                  <w:r>
                    <w:rPr>
                      <w:rFonts w:hint="eastAsia"/>
                      <w:bCs/>
                      <w:sz w:val="21"/>
                      <w:szCs w:val="21"/>
                      <w:lang w:bidi="ar"/>
                    </w:rPr>
                    <w:t>洒水降尘、及时清扫路面尘土、限制车速等。</w:t>
                  </w:r>
                </w:p>
              </w:tc>
              <w:tc>
                <w:tcPr>
                  <w:tcW w:w="638" w:type="pct"/>
                  <w:vMerge w:val="continue"/>
                  <w:tcBorders>
                    <w:tl2br w:val="nil"/>
                    <w:tr2bl w:val="nil"/>
                  </w:tcBorders>
                  <w:vAlign w:val="center"/>
                </w:tcPr>
                <w:p w14:paraId="066BAC6C">
                  <w:pPr>
                    <w:pStyle w:val="27"/>
                    <w:spacing w:after="0"/>
                    <w:ind w:left="0" w:leftChars="0" w:firstLine="0" w:firstLineChars="0"/>
                    <w:jc w:val="center"/>
                    <w:rPr>
                      <w:sz w:val="21"/>
                      <w:szCs w:val="21"/>
                    </w:rPr>
                  </w:pPr>
                </w:p>
              </w:tc>
              <w:tc>
                <w:tcPr>
                  <w:tcW w:w="525" w:type="pct"/>
                  <w:tcBorders>
                    <w:tl2br w:val="nil"/>
                    <w:tr2bl w:val="nil"/>
                  </w:tcBorders>
                  <w:vAlign w:val="center"/>
                </w:tcPr>
                <w:p w14:paraId="6BC26C58">
                  <w:pPr>
                    <w:pStyle w:val="27"/>
                    <w:spacing w:after="0"/>
                    <w:ind w:left="0" w:leftChars="0" w:firstLine="0" w:firstLineChars="0"/>
                    <w:jc w:val="center"/>
                    <w:rPr>
                      <w:sz w:val="21"/>
                      <w:szCs w:val="21"/>
                    </w:rPr>
                  </w:pPr>
                  <w:r>
                    <w:rPr>
                      <w:sz w:val="21"/>
                      <w:szCs w:val="21"/>
                    </w:rPr>
                    <w:t>/</w:t>
                  </w:r>
                </w:p>
              </w:tc>
              <w:tc>
                <w:tcPr>
                  <w:tcW w:w="574" w:type="pct"/>
                  <w:vMerge w:val="continue"/>
                  <w:tcBorders>
                    <w:tl2br w:val="nil"/>
                    <w:tr2bl w:val="nil"/>
                  </w:tcBorders>
                  <w:vAlign w:val="center"/>
                </w:tcPr>
                <w:p w14:paraId="1CC36641">
                  <w:pPr>
                    <w:pStyle w:val="27"/>
                    <w:spacing w:after="0"/>
                    <w:ind w:left="0" w:leftChars="0" w:firstLine="0" w:firstLineChars="0"/>
                    <w:jc w:val="center"/>
                    <w:rPr>
                      <w:sz w:val="21"/>
                      <w:szCs w:val="21"/>
                    </w:rPr>
                  </w:pPr>
                </w:p>
              </w:tc>
            </w:tr>
            <w:tr w14:paraId="411E6B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3B3A4A0F">
                  <w:pPr>
                    <w:pStyle w:val="27"/>
                    <w:spacing w:after="0"/>
                    <w:ind w:left="0" w:leftChars="0" w:firstLine="0" w:firstLineChars="0"/>
                    <w:jc w:val="center"/>
                    <w:rPr>
                      <w:sz w:val="21"/>
                      <w:szCs w:val="21"/>
                    </w:rPr>
                  </w:pPr>
                </w:p>
              </w:tc>
              <w:tc>
                <w:tcPr>
                  <w:tcW w:w="392" w:type="pct"/>
                  <w:vMerge w:val="continue"/>
                  <w:tcBorders>
                    <w:tl2br w:val="nil"/>
                    <w:tr2bl w:val="nil"/>
                  </w:tcBorders>
                  <w:vAlign w:val="center"/>
                </w:tcPr>
                <w:p w14:paraId="4637F871">
                  <w:pPr>
                    <w:pStyle w:val="27"/>
                    <w:spacing w:after="0"/>
                    <w:ind w:left="0" w:leftChars="0" w:firstLine="0" w:firstLineChars="0"/>
                    <w:jc w:val="center"/>
                    <w:rPr>
                      <w:sz w:val="21"/>
                      <w:szCs w:val="21"/>
                    </w:rPr>
                  </w:pPr>
                </w:p>
              </w:tc>
              <w:tc>
                <w:tcPr>
                  <w:tcW w:w="2458" w:type="pct"/>
                  <w:tcBorders>
                    <w:tl2br w:val="nil"/>
                    <w:tr2bl w:val="nil"/>
                  </w:tcBorders>
                  <w:vAlign w:val="center"/>
                </w:tcPr>
                <w:p w14:paraId="6C42DC77">
                  <w:pPr>
                    <w:widowControl/>
                    <w:jc w:val="left"/>
                    <w:rPr>
                      <w:sz w:val="21"/>
                      <w:szCs w:val="21"/>
                    </w:rPr>
                  </w:pPr>
                  <w:r>
                    <w:rPr>
                      <w:rFonts w:hint="eastAsia"/>
                      <w:b/>
                      <w:bCs/>
                      <w:sz w:val="21"/>
                      <w:szCs w:val="21"/>
                    </w:rPr>
                    <w:t>施工机械燃油废气：</w:t>
                  </w:r>
                  <w:r>
                    <w:rPr>
                      <w:rFonts w:hint="eastAsia"/>
                      <w:sz w:val="21"/>
                      <w:szCs w:val="21"/>
                    </w:rPr>
                    <w:t>采用优质燃料、维护机具，保证正常运转。</w:t>
                  </w:r>
                </w:p>
              </w:tc>
              <w:tc>
                <w:tcPr>
                  <w:tcW w:w="638" w:type="pct"/>
                  <w:vMerge w:val="continue"/>
                  <w:tcBorders>
                    <w:tl2br w:val="nil"/>
                    <w:tr2bl w:val="nil"/>
                  </w:tcBorders>
                  <w:vAlign w:val="center"/>
                </w:tcPr>
                <w:p w14:paraId="5C10C421">
                  <w:pPr>
                    <w:pStyle w:val="27"/>
                    <w:spacing w:after="0"/>
                    <w:ind w:left="0" w:leftChars="0" w:firstLine="0" w:firstLineChars="0"/>
                    <w:jc w:val="center"/>
                    <w:rPr>
                      <w:sz w:val="21"/>
                      <w:szCs w:val="21"/>
                    </w:rPr>
                  </w:pPr>
                </w:p>
              </w:tc>
              <w:tc>
                <w:tcPr>
                  <w:tcW w:w="525" w:type="pct"/>
                  <w:tcBorders>
                    <w:tl2br w:val="nil"/>
                    <w:tr2bl w:val="nil"/>
                  </w:tcBorders>
                  <w:vAlign w:val="center"/>
                </w:tcPr>
                <w:p w14:paraId="0A410C6B">
                  <w:pPr>
                    <w:pStyle w:val="27"/>
                    <w:spacing w:after="0"/>
                    <w:ind w:left="0" w:leftChars="0" w:firstLine="0" w:firstLineChars="0"/>
                    <w:jc w:val="center"/>
                    <w:rPr>
                      <w:sz w:val="21"/>
                      <w:szCs w:val="21"/>
                    </w:rPr>
                  </w:pPr>
                  <w:r>
                    <w:rPr>
                      <w:sz w:val="21"/>
                      <w:szCs w:val="21"/>
                    </w:rPr>
                    <w:t>/</w:t>
                  </w:r>
                </w:p>
              </w:tc>
              <w:tc>
                <w:tcPr>
                  <w:tcW w:w="574" w:type="pct"/>
                  <w:vMerge w:val="continue"/>
                  <w:tcBorders>
                    <w:tl2br w:val="nil"/>
                    <w:tr2bl w:val="nil"/>
                  </w:tcBorders>
                  <w:vAlign w:val="center"/>
                </w:tcPr>
                <w:p w14:paraId="7C8623F5">
                  <w:pPr>
                    <w:pStyle w:val="27"/>
                    <w:spacing w:after="0"/>
                    <w:ind w:left="0" w:leftChars="0" w:firstLine="0" w:firstLineChars="0"/>
                    <w:jc w:val="center"/>
                    <w:rPr>
                      <w:sz w:val="21"/>
                      <w:szCs w:val="21"/>
                    </w:rPr>
                  </w:pPr>
                </w:p>
              </w:tc>
            </w:tr>
            <w:tr w14:paraId="5C300F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47207CE1">
                  <w:pPr>
                    <w:pStyle w:val="27"/>
                    <w:spacing w:after="0"/>
                    <w:ind w:left="0" w:leftChars="0" w:firstLine="0" w:firstLineChars="0"/>
                    <w:jc w:val="center"/>
                    <w:rPr>
                      <w:sz w:val="21"/>
                      <w:szCs w:val="21"/>
                    </w:rPr>
                  </w:pPr>
                </w:p>
              </w:tc>
              <w:tc>
                <w:tcPr>
                  <w:tcW w:w="392" w:type="pct"/>
                  <w:vMerge w:val="restart"/>
                  <w:tcBorders>
                    <w:tl2br w:val="nil"/>
                    <w:tr2bl w:val="nil"/>
                  </w:tcBorders>
                  <w:vAlign w:val="center"/>
                </w:tcPr>
                <w:p w14:paraId="4463ACA3">
                  <w:pPr>
                    <w:pStyle w:val="27"/>
                    <w:spacing w:after="0"/>
                    <w:ind w:left="0" w:leftChars="0" w:firstLine="0" w:firstLineChars="0"/>
                    <w:jc w:val="center"/>
                    <w:rPr>
                      <w:sz w:val="21"/>
                      <w:szCs w:val="21"/>
                    </w:rPr>
                  </w:pPr>
                  <w:r>
                    <w:rPr>
                      <w:rFonts w:hint="eastAsia"/>
                      <w:sz w:val="21"/>
                      <w:szCs w:val="21"/>
                    </w:rPr>
                    <w:t>施工期废水治理</w:t>
                  </w:r>
                </w:p>
              </w:tc>
              <w:tc>
                <w:tcPr>
                  <w:tcW w:w="2458" w:type="pct"/>
                  <w:tcBorders>
                    <w:tl2br w:val="nil"/>
                    <w:tr2bl w:val="nil"/>
                  </w:tcBorders>
                  <w:vAlign w:val="center"/>
                </w:tcPr>
                <w:p w14:paraId="3EE2CE71">
                  <w:pPr>
                    <w:adjustRightInd w:val="0"/>
                    <w:snapToGrid w:val="0"/>
                    <w:rPr>
                      <w:sz w:val="21"/>
                      <w:szCs w:val="21"/>
                    </w:rPr>
                  </w:pPr>
                  <w:r>
                    <w:rPr>
                      <w:rFonts w:hint="eastAsia"/>
                      <w:b/>
                      <w:bCs/>
                      <w:sz w:val="21"/>
                      <w:szCs w:val="21"/>
                    </w:rPr>
                    <w:t>施工人员生活污水：</w:t>
                  </w:r>
                  <w:r>
                    <w:rPr>
                      <w:rFonts w:hint="eastAsia"/>
                      <w:sz w:val="21"/>
                      <w:szCs w:val="21"/>
                    </w:rPr>
                    <w:t>通过民房现有污水处理设施处理后用作农肥，不外排</w:t>
                  </w:r>
                  <w:r>
                    <w:rPr>
                      <w:rFonts w:hint="eastAsia"/>
                      <w:bCs/>
                      <w:sz w:val="21"/>
                      <w:szCs w:val="21"/>
                    </w:rPr>
                    <w:t>。</w:t>
                  </w:r>
                </w:p>
              </w:tc>
              <w:tc>
                <w:tcPr>
                  <w:tcW w:w="638" w:type="pct"/>
                  <w:vMerge w:val="continue"/>
                  <w:tcBorders>
                    <w:tl2br w:val="nil"/>
                    <w:tr2bl w:val="nil"/>
                  </w:tcBorders>
                  <w:vAlign w:val="center"/>
                </w:tcPr>
                <w:p w14:paraId="1E16AE1A">
                  <w:pPr>
                    <w:pStyle w:val="27"/>
                    <w:spacing w:after="0"/>
                    <w:ind w:left="0" w:leftChars="0" w:firstLine="0" w:firstLineChars="0"/>
                    <w:jc w:val="center"/>
                    <w:rPr>
                      <w:sz w:val="21"/>
                      <w:szCs w:val="21"/>
                    </w:rPr>
                  </w:pPr>
                </w:p>
              </w:tc>
              <w:tc>
                <w:tcPr>
                  <w:tcW w:w="525" w:type="pct"/>
                  <w:tcBorders>
                    <w:tl2br w:val="nil"/>
                    <w:tr2bl w:val="nil"/>
                  </w:tcBorders>
                  <w:vAlign w:val="center"/>
                </w:tcPr>
                <w:p w14:paraId="6721E83F">
                  <w:pPr>
                    <w:pStyle w:val="27"/>
                    <w:spacing w:after="0"/>
                    <w:ind w:left="0" w:leftChars="0" w:firstLine="0" w:firstLineChars="0"/>
                    <w:jc w:val="center"/>
                    <w:rPr>
                      <w:sz w:val="21"/>
                      <w:szCs w:val="21"/>
                    </w:rPr>
                  </w:pPr>
                  <w:r>
                    <w:rPr>
                      <w:sz w:val="21"/>
                      <w:szCs w:val="21"/>
                    </w:rPr>
                    <w:t>/</w:t>
                  </w:r>
                </w:p>
              </w:tc>
              <w:tc>
                <w:tcPr>
                  <w:tcW w:w="574" w:type="pct"/>
                  <w:vMerge w:val="continue"/>
                  <w:tcBorders>
                    <w:tl2br w:val="nil"/>
                    <w:tr2bl w:val="nil"/>
                  </w:tcBorders>
                  <w:vAlign w:val="center"/>
                </w:tcPr>
                <w:p w14:paraId="1AD799B2">
                  <w:pPr>
                    <w:pStyle w:val="27"/>
                    <w:spacing w:after="0"/>
                    <w:ind w:left="0" w:leftChars="0" w:firstLine="0" w:firstLineChars="0"/>
                    <w:jc w:val="center"/>
                    <w:rPr>
                      <w:sz w:val="21"/>
                      <w:szCs w:val="21"/>
                    </w:rPr>
                  </w:pPr>
                </w:p>
              </w:tc>
            </w:tr>
            <w:tr w14:paraId="15D47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3AC48ABF">
                  <w:pPr>
                    <w:pStyle w:val="27"/>
                    <w:spacing w:after="0"/>
                    <w:ind w:left="0" w:leftChars="0" w:firstLine="0" w:firstLineChars="0"/>
                    <w:jc w:val="center"/>
                    <w:rPr>
                      <w:sz w:val="21"/>
                      <w:szCs w:val="21"/>
                    </w:rPr>
                  </w:pPr>
                </w:p>
              </w:tc>
              <w:tc>
                <w:tcPr>
                  <w:tcW w:w="392" w:type="pct"/>
                  <w:vMerge w:val="continue"/>
                  <w:tcBorders>
                    <w:tl2br w:val="nil"/>
                    <w:tr2bl w:val="nil"/>
                  </w:tcBorders>
                  <w:vAlign w:val="center"/>
                </w:tcPr>
                <w:p w14:paraId="210B8C18">
                  <w:pPr>
                    <w:pStyle w:val="27"/>
                    <w:spacing w:after="0"/>
                    <w:ind w:left="0" w:leftChars="0" w:firstLine="0" w:firstLineChars="0"/>
                    <w:jc w:val="center"/>
                    <w:rPr>
                      <w:sz w:val="21"/>
                      <w:szCs w:val="21"/>
                    </w:rPr>
                  </w:pPr>
                </w:p>
              </w:tc>
              <w:tc>
                <w:tcPr>
                  <w:tcW w:w="2458" w:type="pct"/>
                  <w:tcBorders>
                    <w:tl2br w:val="nil"/>
                    <w:tr2bl w:val="nil"/>
                  </w:tcBorders>
                  <w:vAlign w:val="center"/>
                </w:tcPr>
                <w:p w14:paraId="530A2BDD">
                  <w:pPr>
                    <w:pStyle w:val="27"/>
                    <w:spacing w:after="0"/>
                    <w:ind w:left="0" w:leftChars="0" w:firstLine="0" w:firstLineChars="0"/>
                    <w:jc w:val="both"/>
                    <w:rPr>
                      <w:sz w:val="21"/>
                      <w:szCs w:val="21"/>
                    </w:rPr>
                  </w:pPr>
                  <w:r>
                    <w:rPr>
                      <w:rFonts w:hint="eastAsia"/>
                      <w:b/>
                      <w:sz w:val="21"/>
                      <w:szCs w:val="21"/>
                    </w:rPr>
                    <w:t>施工机械、车辆冲洗废水：</w:t>
                  </w:r>
                  <w:r>
                    <w:rPr>
                      <w:rFonts w:hint="eastAsia"/>
                      <w:bCs/>
                      <w:sz w:val="21"/>
                      <w:szCs w:val="21"/>
                    </w:rPr>
                    <w:t>施工场地四周设置临时排水沟，并在施工工区低洼处设置隔油沉淀池，在车辆、机械进出口对车辆、机械进行冲洗，冲洗废水经隔油沉淀处理后洒水降尘，不外排。</w:t>
                  </w:r>
                </w:p>
              </w:tc>
              <w:tc>
                <w:tcPr>
                  <w:tcW w:w="638" w:type="pct"/>
                  <w:vMerge w:val="continue"/>
                  <w:tcBorders>
                    <w:tl2br w:val="nil"/>
                    <w:tr2bl w:val="nil"/>
                  </w:tcBorders>
                  <w:vAlign w:val="center"/>
                </w:tcPr>
                <w:p w14:paraId="4841B180">
                  <w:pPr>
                    <w:pStyle w:val="27"/>
                    <w:spacing w:after="0"/>
                    <w:ind w:left="0" w:leftChars="0" w:firstLine="0" w:firstLineChars="0"/>
                    <w:jc w:val="center"/>
                    <w:rPr>
                      <w:sz w:val="21"/>
                      <w:szCs w:val="21"/>
                    </w:rPr>
                  </w:pPr>
                </w:p>
              </w:tc>
              <w:tc>
                <w:tcPr>
                  <w:tcW w:w="525" w:type="pct"/>
                  <w:tcBorders>
                    <w:tl2br w:val="nil"/>
                    <w:tr2bl w:val="nil"/>
                  </w:tcBorders>
                  <w:vAlign w:val="center"/>
                </w:tcPr>
                <w:p w14:paraId="1B434AC7">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7F986E82">
                  <w:pPr>
                    <w:pStyle w:val="27"/>
                    <w:spacing w:after="0"/>
                    <w:ind w:left="0" w:leftChars="0" w:firstLine="0" w:firstLineChars="0"/>
                    <w:jc w:val="center"/>
                    <w:rPr>
                      <w:sz w:val="21"/>
                      <w:szCs w:val="21"/>
                    </w:rPr>
                  </w:pPr>
                  <w:r>
                    <w:rPr>
                      <w:rFonts w:hint="eastAsia"/>
                      <w:sz w:val="21"/>
                      <w:szCs w:val="21"/>
                    </w:rPr>
                    <w:t>项目已停止产排污，施工期未造成环境污染，环保设施现由海螺沟贡嘎神汤温泉酒店灾后恢复提升工程进行恢复</w:t>
                  </w:r>
                </w:p>
              </w:tc>
            </w:tr>
            <w:tr w14:paraId="439809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12D6B1B6">
                  <w:pPr>
                    <w:pStyle w:val="27"/>
                    <w:spacing w:after="0"/>
                    <w:ind w:left="0" w:leftChars="0" w:firstLine="0" w:firstLineChars="0"/>
                    <w:jc w:val="center"/>
                    <w:rPr>
                      <w:sz w:val="21"/>
                      <w:szCs w:val="21"/>
                    </w:rPr>
                  </w:pPr>
                </w:p>
              </w:tc>
              <w:tc>
                <w:tcPr>
                  <w:tcW w:w="392" w:type="pct"/>
                  <w:vMerge w:val="continue"/>
                  <w:tcBorders>
                    <w:tl2br w:val="nil"/>
                    <w:tr2bl w:val="nil"/>
                  </w:tcBorders>
                  <w:vAlign w:val="center"/>
                </w:tcPr>
                <w:p w14:paraId="516C5CB2">
                  <w:pPr>
                    <w:pStyle w:val="27"/>
                    <w:spacing w:after="0"/>
                    <w:ind w:left="0" w:leftChars="0" w:firstLine="0" w:firstLineChars="0"/>
                    <w:jc w:val="center"/>
                    <w:rPr>
                      <w:sz w:val="21"/>
                      <w:szCs w:val="21"/>
                    </w:rPr>
                  </w:pPr>
                </w:p>
              </w:tc>
              <w:tc>
                <w:tcPr>
                  <w:tcW w:w="2458" w:type="pct"/>
                  <w:tcBorders>
                    <w:tl2br w:val="nil"/>
                    <w:tr2bl w:val="nil"/>
                  </w:tcBorders>
                  <w:vAlign w:val="center"/>
                </w:tcPr>
                <w:p w14:paraId="452D00BD">
                  <w:pPr>
                    <w:pStyle w:val="27"/>
                    <w:spacing w:after="0"/>
                    <w:ind w:left="0" w:leftChars="0" w:firstLine="0" w:firstLineChars="0"/>
                    <w:jc w:val="both"/>
                    <w:rPr>
                      <w:b/>
                      <w:sz w:val="21"/>
                      <w:szCs w:val="21"/>
                    </w:rPr>
                  </w:pPr>
                  <w:r>
                    <w:rPr>
                      <w:rFonts w:hint="eastAsia"/>
                      <w:b/>
                      <w:sz w:val="21"/>
                      <w:szCs w:val="21"/>
                    </w:rPr>
                    <w:t>混凝土养护废水：</w:t>
                  </w:r>
                  <w:r>
                    <w:rPr>
                      <w:rFonts w:hint="eastAsia"/>
                      <w:bCs/>
                      <w:sz w:val="21"/>
                      <w:szCs w:val="21"/>
                    </w:rPr>
                    <w:t>未蒸发废水经沉淀处理后回用于工序，不外排。</w:t>
                  </w:r>
                </w:p>
              </w:tc>
              <w:tc>
                <w:tcPr>
                  <w:tcW w:w="638" w:type="pct"/>
                  <w:vMerge w:val="continue"/>
                  <w:tcBorders>
                    <w:tl2br w:val="nil"/>
                    <w:tr2bl w:val="nil"/>
                  </w:tcBorders>
                  <w:vAlign w:val="center"/>
                </w:tcPr>
                <w:p w14:paraId="6A8237F6">
                  <w:pPr>
                    <w:pStyle w:val="27"/>
                    <w:spacing w:after="0"/>
                    <w:ind w:left="0" w:leftChars="0" w:firstLine="0" w:firstLineChars="0"/>
                    <w:jc w:val="center"/>
                    <w:rPr>
                      <w:sz w:val="21"/>
                      <w:szCs w:val="21"/>
                    </w:rPr>
                  </w:pPr>
                </w:p>
              </w:tc>
              <w:tc>
                <w:tcPr>
                  <w:tcW w:w="525" w:type="pct"/>
                  <w:tcBorders>
                    <w:tl2br w:val="nil"/>
                    <w:tr2bl w:val="nil"/>
                  </w:tcBorders>
                  <w:vAlign w:val="center"/>
                </w:tcPr>
                <w:p w14:paraId="20A9C863">
                  <w:pPr>
                    <w:pStyle w:val="27"/>
                    <w:spacing w:after="0"/>
                    <w:ind w:left="0" w:leftChars="0" w:firstLine="0" w:firstLineChars="0"/>
                    <w:jc w:val="center"/>
                    <w:rPr>
                      <w:sz w:val="21"/>
                      <w:szCs w:val="21"/>
                    </w:rPr>
                  </w:pPr>
                  <w:r>
                    <w:rPr>
                      <w:sz w:val="21"/>
                      <w:szCs w:val="21"/>
                    </w:rPr>
                    <w:t>/</w:t>
                  </w:r>
                </w:p>
              </w:tc>
              <w:tc>
                <w:tcPr>
                  <w:tcW w:w="574" w:type="pct"/>
                  <w:vMerge w:val="restart"/>
                  <w:tcBorders>
                    <w:tl2br w:val="nil"/>
                    <w:tr2bl w:val="nil"/>
                  </w:tcBorders>
                  <w:vAlign w:val="center"/>
                </w:tcPr>
                <w:p w14:paraId="2C7946A6">
                  <w:pPr>
                    <w:pStyle w:val="27"/>
                    <w:spacing w:after="0"/>
                    <w:ind w:left="0" w:leftChars="0" w:firstLine="0" w:firstLineChars="0"/>
                    <w:jc w:val="center"/>
                    <w:rPr>
                      <w:sz w:val="21"/>
                      <w:szCs w:val="21"/>
                    </w:rPr>
                  </w:pPr>
                  <w:r>
                    <w:rPr>
                      <w:rFonts w:hint="eastAsia"/>
                      <w:sz w:val="21"/>
                      <w:szCs w:val="21"/>
                    </w:rPr>
                    <w:t>项目已停止产排污并已进行恢复，施工期未造成环境污染</w:t>
                  </w:r>
                </w:p>
              </w:tc>
            </w:tr>
            <w:tr w14:paraId="75F53D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3AA2DAA8">
                  <w:pPr>
                    <w:pStyle w:val="27"/>
                    <w:spacing w:after="0"/>
                    <w:ind w:left="0" w:leftChars="0" w:firstLine="0" w:firstLineChars="0"/>
                    <w:jc w:val="center"/>
                    <w:rPr>
                      <w:sz w:val="21"/>
                      <w:szCs w:val="21"/>
                    </w:rPr>
                  </w:pPr>
                </w:p>
              </w:tc>
              <w:tc>
                <w:tcPr>
                  <w:tcW w:w="392" w:type="pct"/>
                  <w:vMerge w:val="continue"/>
                  <w:tcBorders>
                    <w:tl2br w:val="nil"/>
                    <w:tr2bl w:val="nil"/>
                  </w:tcBorders>
                  <w:vAlign w:val="center"/>
                </w:tcPr>
                <w:p w14:paraId="14AB2431">
                  <w:pPr>
                    <w:pStyle w:val="27"/>
                    <w:spacing w:after="0"/>
                    <w:ind w:left="0" w:leftChars="0" w:firstLine="0" w:firstLineChars="0"/>
                    <w:jc w:val="center"/>
                    <w:rPr>
                      <w:sz w:val="21"/>
                      <w:szCs w:val="21"/>
                    </w:rPr>
                  </w:pPr>
                </w:p>
              </w:tc>
              <w:tc>
                <w:tcPr>
                  <w:tcW w:w="2458" w:type="pct"/>
                  <w:tcBorders>
                    <w:tl2br w:val="nil"/>
                    <w:tr2bl w:val="nil"/>
                  </w:tcBorders>
                  <w:vAlign w:val="center"/>
                </w:tcPr>
                <w:p w14:paraId="04983862">
                  <w:pPr>
                    <w:pStyle w:val="27"/>
                    <w:spacing w:after="0"/>
                    <w:ind w:left="0" w:leftChars="0" w:firstLine="0" w:firstLineChars="0"/>
                    <w:jc w:val="both"/>
                    <w:rPr>
                      <w:bCs/>
                      <w:sz w:val="21"/>
                      <w:szCs w:val="21"/>
                    </w:rPr>
                  </w:pPr>
                  <w:r>
                    <w:rPr>
                      <w:rFonts w:hint="eastAsia"/>
                      <w:b/>
                      <w:sz w:val="21"/>
                      <w:szCs w:val="21"/>
                    </w:rPr>
                    <w:t>基坑排水：</w:t>
                  </w:r>
                  <w:r>
                    <w:rPr>
                      <w:rFonts w:hint="eastAsia"/>
                      <w:bCs/>
                      <w:sz w:val="21"/>
                      <w:szCs w:val="21"/>
                    </w:rPr>
                    <w:t>基坑内设置截流槽，每100m设置一个集水坑，每段基坑排水选用水泵抽排，并在下游设置一个沉淀池，基坑排水静置经沉淀池沉淀处理后由水泵抽入河道内。</w:t>
                  </w:r>
                </w:p>
              </w:tc>
              <w:tc>
                <w:tcPr>
                  <w:tcW w:w="638" w:type="pct"/>
                  <w:vMerge w:val="continue"/>
                  <w:tcBorders>
                    <w:tl2br w:val="nil"/>
                    <w:tr2bl w:val="nil"/>
                  </w:tcBorders>
                  <w:vAlign w:val="center"/>
                </w:tcPr>
                <w:p w14:paraId="5EB7AD24">
                  <w:pPr>
                    <w:pStyle w:val="27"/>
                    <w:spacing w:after="0"/>
                    <w:ind w:left="0" w:leftChars="0" w:firstLine="0" w:firstLineChars="0"/>
                    <w:jc w:val="center"/>
                    <w:rPr>
                      <w:sz w:val="21"/>
                      <w:szCs w:val="21"/>
                    </w:rPr>
                  </w:pPr>
                </w:p>
              </w:tc>
              <w:tc>
                <w:tcPr>
                  <w:tcW w:w="525" w:type="pct"/>
                  <w:tcBorders>
                    <w:tl2br w:val="nil"/>
                    <w:tr2bl w:val="nil"/>
                  </w:tcBorders>
                  <w:vAlign w:val="center"/>
                </w:tcPr>
                <w:p w14:paraId="477A17FE">
                  <w:pPr>
                    <w:pStyle w:val="27"/>
                    <w:spacing w:after="0"/>
                    <w:ind w:left="0" w:leftChars="0" w:firstLine="0" w:firstLineChars="0"/>
                    <w:jc w:val="center"/>
                    <w:rPr>
                      <w:sz w:val="21"/>
                      <w:szCs w:val="21"/>
                    </w:rPr>
                  </w:pPr>
                  <w:r>
                    <w:rPr>
                      <w:sz w:val="21"/>
                      <w:szCs w:val="21"/>
                    </w:rPr>
                    <w:t>/</w:t>
                  </w:r>
                </w:p>
              </w:tc>
              <w:tc>
                <w:tcPr>
                  <w:tcW w:w="574" w:type="pct"/>
                  <w:vMerge w:val="continue"/>
                  <w:tcBorders>
                    <w:tl2br w:val="nil"/>
                    <w:tr2bl w:val="nil"/>
                  </w:tcBorders>
                  <w:vAlign w:val="center"/>
                </w:tcPr>
                <w:p w14:paraId="31F743EA">
                  <w:pPr>
                    <w:pStyle w:val="27"/>
                    <w:spacing w:after="0"/>
                    <w:ind w:left="0" w:leftChars="0" w:firstLine="0" w:firstLineChars="0"/>
                    <w:jc w:val="center"/>
                    <w:rPr>
                      <w:sz w:val="21"/>
                      <w:szCs w:val="21"/>
                    </w:rPr>
                  </w:pPr>
                </w:p>
              </w:tc>
            </w:tr>
            <w:tr w14:paraId="499059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5C3C9B64">
                  <w:pPr>
                    <w:pStyle w:val="27"/>
                    <w:spacing w:after="0"/>
                    <w:ind w:left="0" w:leftChars="0" w:firstLine="0" w:firstLineChars="0"/>
                    <w:jc w:val="center"/>
                    <w:rPr>
                      <w:sz w:val="21"/>
                      <w:szCs w:val="21"/>
                    </w:rPr>
                  </w:pPr>
                </w:p>
              </w:tc>
              <w:tc>
                <w:tcPr>
                  <w:tcW w:w="392" w:type="pct"/>
                  <w:tcBorders>
                    <w:tl2br w:val="nil"/>
                    <w:tr2bl w:val="nil"/>
                  </w:tcBorders>
                  <w:vAlign w:val="center"/>
                </w:tcPr>
                <w:p w14:paraId="1C223A00">
                  <w:pPr>
                    <w:pStyle w:val="27"/>
                    <w:spacing w:after="0"/>
                    <w:ind w:left="0" w:leftChars="0" w:firstLine="0" w:firstLineChars="0"/>
                    <w:jc w:val="center"/>
                    <w:rPr>
                      <w:sz w:val="21"/>
                      <w:szCs w:val="21"/>
                    </w:rPr>
                  </w:pPr>
                  <w:r>
                    <w:rPr>
                      <w:rFonts w:hint="eastAsia"/>
                      <w:sz w:val="21"/>
                      <w:szCs w:val="21"/>
                    </w:rPr>
                    <w:t>施工期噪声治理</w:t>
                  </w:r>
                </w:p>
              </w:tc>
              <w:tc>
                <w:tcPr>
                  <w:tcW w:w="2458" w:type="pct"/>
                  <w:tcBorders>
                    <w:tl2br w:val="nil"/>
                    <w:tr2bl w:val="nil"/>
                  </w:tcBorders>
                  <w:vAlign w:val="center"/>
                </w:tcPr>
                <w:p w14:paraId="6817D057">
                  <w:pPr>
                    <w:jc w:val="left"/>
                    <w:rPr>
                      <w:sz w:val="21"/>
                      <w:szCs w:val="21"/>
                    </w:rPr>
                  </w:pPr>
                  <w:r>
                    <w:rPr>
                      <w:rFonts w:hint="eastAsia"/>
                      <w:sz w:val="21"/>
                      <w:szCs w:val="21"/>
                    </w:rPr>
                    <w:t>尽量选用先进、噪声低的设备。合理安排工期。合理布局施工机械位置。严禁野蛮施工，加强施工场地内设备维护，同时施工场地周围设置围挡。</w:t>
                  </w:r>
                  <w:r>
                    <w:rPr>
                      <w:rFonts w:hint="eastAsia"/>
                      <w:bCs/>
                      <w:spacing w:val="10"/>
                      <w:sz w:val="21"/>
                      <w:szCs w:val="21"/>
                    </w:rPr>
                    <w:t>加强对集中居民点等路段的施工管理，合理制定施工计划。</w:t>
                  </w:r>
                </w:p>
              </w:tc>
              <w:tc>
                <w:tcPr>
                  <w:tcW w:w="638" w:type="pct"/>
                  <w:vMerge w:val="continue"/>
                  <w:tcBorders>
                    <w:tl2br w:val="nil"/>
                    <w:tr2bl w:val="nil"/>
                  </w:tcBorders>
                  <w:vAlign w:val="center"/>
                </w:tcPr>
                <w:p w14:paraId="74A0783D">
                  <w:pPr>
                    <w:pStyle w:val="27"/>
                    <w:spacing w:after="0"/>
                    <w:ind w:left="0" w:leftChars="0" w:firstLine="0" w:firstLineChars="0"/>
                    <w:jc w:val="center"/>
                    <w:rPr>
                      <w:sz w:val="21"/>
                      <w:szCs w:val="21"/>
                    </w:rPr>
                  </w:pPr>
                </w:p>
              </w:tc>
              <w:tc>
                <w:tcPr>
                  <w:tcW w:w="525" w:type="pct"/>
                  <w:tcBorders>
                    <w:tl2br w:val="nil"/>
                    <w:tr2bl w:val="nil"/>
                  </w:tcBorders>
                  <w:vAlign w:val="center"/>
                </w:tcPr>
                <w:p w14:paraId="4B31A5CF">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4AB2D489">
                  <w:pPr>
                    <w:pStyle w:val="27"/>
                    <w:spacing w:after="0"/>
                    <w:ind w:left="0" w:leftChars="0" w:firstLine="0" w:firstLineChars="0"/>
                    <w:jc w:val="center"/>
                    <w:rPr>
                      <w:sz w:val="21"/>
                      <w:szCs w:val="21"/>
                    </w:rPr>
                  </w:pPr>
                  <w:r>
                    <w:rPr>
                      <w:rFonts w:hint="eastAsia"/>
                      <w:sz w:val="21"/>
                      <w:szCs w:val="21"/>
                    </w:rPr>
                    <w:t>项目已停止产排污，施工期未造成环境污染</w:t>
                  </w:r>
                </w:p>
              </w:tc>
            </w:tr>
            <w:tr w14:paraId="0747E6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41C8182A">
                  <w:pPr>
                    <w:pStyle w:val="27"/>
                    <w:spacing w:after="0"/>
                    <w:ind w:left="0" w:leftChars="0" w:firstLine="0" w:firstLineChars="0"/>
                    <w:jc w:val="center"/>
                    <w:rPr>
                      <w:sz w:val="21"/>
                      <w:szCs w:val="21"/>
                    </w:rPr>
                  </w:pPr>
                </w:p>
              </w:tc>
              <w:tc>
                <w:tcPr>
                  <w:tcW w:w="392" w:type="pct"/>
                  <w:vMerge w:val="restart"/>
                  <w:tcBorders>
                    <w:tl2br w:val="nil"/>
                    <w:tr2bl w:val="nil"/>
                  </w:tcBorders>
                  <w:vAlign w:val="center"/>
                </w:tcPr>
                <w:p w14:paraId="3453E7F6">
                  <w:pPr>
                    <w:pStyle w:val="27"/>
                    <w:spacing w:after="0"/>
                    <w:ind w:left="0" w:leftChars="0" w:firstLine="0" w:firstLineChars="0"/>
                    <w:jc w:val="center"/>
                    <w:rPr>
                      <w:sz w:val="21"/>
                      <w:szCs w:val="21"/>
                    </w:rPr>
                  </w:pPr>
                  <w:r>
                    <w:rPr>
                      <w:rFonts w:hint="eastAsia"/>
                      <w:sz w:val="21"/>
                      <w:szCs w:val="21"/>
                    </w:rPr>
                    <w:t>施工期固废治理</w:t>
                  </w:r>
                </w:p>
              </w:tc>
              <w:tc>
                <w:tcPr>
                  <w:tcW w:w="2458" w:type="pct"/>
                  <w:tcBorders>
                    <w:tl2br w:val="nil"/>
                    <w:tr2bl w:val="nil"/>
                  </w:tcBorders>
                  <w:vAlign w:val="center"/>
                </w:tcPr>
                <w:p w14:paraId="11F6A701">
                  <w:pPr>
                    <w:rPr>
                      <w:sz w:val="21"/>
                      <w:szCs w:val="21"/>
                    </w:rPr>
                  </w:pPr>
                  <w:r>
                    <w:rPr>
                      <w:rFonts w:hint="eastAsia"/>
                      <w:b/>
                      <w:bCs/>
                      <w:sz w:val="21"/>
                      <w:szCs w:val="21"/>
                    </w:rPr>
                    <w:t>废弃土石方：</w:t>
                  </w:r>
                  <w:r>
                    <w:rPr>
                      <w:rFonts w:hint="eastAsia"/>
                      <w:sz w:val="21"/>
                      <w:szCs w:val="21"/>
                      <w:lang w:val="zh-CN"/>
                    </w:rPr>
                    <w:t>开挖石渣料及砂卵石开挖料用于堤身回填，</w:t>
                  </w:r>
                  <w:r>
                    <w:rPr>
                      <w:rFonts w:hint="eastAsia"/>
                      <w:sz w:val="21"/>
                      <w:szCs w:val="21"/>
                    </w:rPr>
                    <w:t>或堤后塌陷或低洼处回填，无借方，无余（弃）方。</w:t>
                  </w:r>
                </w:p>
              </w:tc>
              <w:tc>
                <w:tcPr>
                  <w:tcW w:w="638" w:type="pct"/>
                  <w:vMerge w:val="continue"/>
                  <w:tcBorders>
                    <w:tl2br w:val="nil"/>
                    <w:tr2bl w:val="nil"/>
                  </w:tcBorders>
                  <w:vAlign w:val="center"/>
                </w:tcPr>
                <w:p w14:paraId="3E7194A6">
                  <w:pPr>
                    <w:pStyle w:val="27"/>
                    <w:spacing w:after="0"/>
                    <w:ind w:left="0" w:leftChars="0" w:firstLine="0" w:firstLineChars="0"/>
                    <w:jc w:val="center"/>
                    <w:rPr>
                      <w:sz w:val="21"/>
                      <w:szCs w:val="21"/>
                    </w:rPr>
                  </w:pPr>
                </w:p>
              </w:tc>
              <w:tc>
                <w:tcPr>
                  <w:tcW w:w="525" w:type="pct"/>
                  <w:tcBorders>
                    <w:tl2br w:val="nil"/>
                    <w:tr2bl w:val="nil"/>
                  </w:tcBorders>
                  <w:vAlign w:val="center"/>
                </w:tcPr>
                <w:p w14:paraId="2660827E">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5F7ADB9C">
                  <w:pPr>
                    <w:pStyle w:val="27"/>
                    <w:spacing w:after="0"/>
                    <w:ind w:left="0" w:leftChars="0" w:firstLine="0" w:firstLineChars="0"/>
                    <w:jc w:val="center"/>
                    <w:rPr>
                      <w:sz w:val="21"/>
                      <w:szCs w:val="21"/>
                    </w:rPr>
                  </w:pPr>
                  <w:r>
                    <w:rPr>
                      <w:sz w:val="21"/>
                      <w:szCs w:val="21"/>
                    </w:rPr>
                    <w:t>/</w:t>
                  </w:r>
                </w:p>
              </w:tc>
            </w:tr>
            <w:tr w14:paraId="20E60F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6C65C615">
                  <w:pPr>
                    <w:pStyle w:val="27"/>
                    <w:spacing w:after="0"/>
                    <w:ind w:left="0" w:leftChars="0" w:firstLine="0" w:firstLineChars="0"/>
                    <w:jc w:val="center"/>
                    <w:rPr>
                      <w:sz w:val="21"/>
                      <w:szCs w:val="21"/>
                    </w:rPr>
                  </w:pPr>
                </w:p>
              </w:tc>
              <w:tc>
                <w:tcPr>
                  <w:tcW w:w="392" w:type="pct"/>
                  <w:vMerge w:val="continue"/>
                  <w:tcBorders>
                    <w:tl2br w:val="nil"/>
                    <w:tr2bl w:val="nil"/>
                  </w:tcBorders>
                  <w:vAlign w:val="center"/>
                </w:tcPr>
                <w:p w14:paraId="176CF94F">
                  <w:pPr>
                    <w:pStyle w:val="27"/>
                    <w:spacing w:after="0"/>
                    <w:ind w:left="0" w:leftChars="0" w:firstLine="0" w:firstLineChars="0"/>
                    <w:jc w:val="center"/>
                    <w:rPr>
                      <w:sz w:val="21"/>
                      <w:szCs w:val="21"/>
                    </w:rPr>
                  </w:pPr>
                </w:p>
              </w:tc>
              <w:tc>
                <w:tcPr>
                  <w:tcW w:w="2458" w:type="pct"/>
                  <w:tcBorders>
                    <w:tl2br w:val="nil"/>
                    <w:tr2bl w:val="nil"/>
                  </w:tcBorders>
                  <w:vAlign w:val="center"/>
                </w:tcPr>
                <w:p w14:paraId="4AA511E8">
                  <w:pPr>
                    <w:rPr>
                      <w:sz w:val="21"/>
                      <w:szCs w:val="21"/>
                    </w:rPr>
                  </w:pPr>
                  <w:r>
                    <w:rPr>
                      <w:rFonts w:hint="eastAsia"/>
                      <w:b/>
                      <w:bCs/>
                      <w:kern w:val="0"/>
                      <w:sz w:val="21"/>
                      <w:szCs w:val="21"/>
                      <w:lang w:bidi="ar"/>
                    </w:rPr>
                    <w:t>建筑垃圾：</w:t>
                  </w:r>
                  <w:r>
                    <w:rPr>
                      <w:rFonts w:hint="eastAsia"/>
                      <w:sz w:val="21"/>
                      <w:szCs w:val="21"/>
                    </w:rPr>
                    <w:t>将建筑垃圾中能回收利用的废料（如钢筋、钢板、木材等下脚料）通过分类收集后交废物收购站处理；对不能回收的建筑废物用编织袋包装后清运到建筑垃圾处置场</w:t>
                  </w:r>
                  <w:r>
                    <w:rPr>
                      <w:rFonts w:hint="eastAsia"/>
                      <w:kern w:val="0"/>
                      <w:sz w:val="21"/>
                      <w:szCs w:val="21"/>
                      <w:lang w:bidi="ar"/>
                    </w:rPr>
                    <w:t>。</w:t>
                  </w:r>
                </w:p>
              </w:tc>
              <w:tc>
                <w:tcPr>
                  <w:tcW w:w="638" w:type="pct"/>
                  <w:vMerge w:val="continue"/>
                  <w:tcBorders>
                    <w:tl2br w:val="nil"/>
                    <w:tr2bl w:val="nil"/>
                  </w:tcBorders>
                  <w:vAlign w:val="center"/>
                </w:tcPr>
                <w:p w14:paraId="39ACD2B0">
                  <w:pPr>
                    <w:pStyle w:val="27"/>
                    <w:spacing w:after="0"/>
                    <w:ind w:left="0" w:leftChars="0" w:firstLine="0" w:firstLineChars="0"/>
                    <w:jc w:val="center"/>
                    <w:rPr>
                      <w:sz w:val="21"/>
                      <w:szCs w:val="21"/>
                    </w:rPr>
                  </w:pPr>
                </w:p>
              </w:tc>
              <w:tc>
                <w:tcPr>
                  <w:tcW w:w="525" w:type="pct"/>
                  <w:tcBorders>
                    <w:tl2br w:val="nil"/>
                    <w:tr2bl w:val="nil"/>
                  </w:tcBorders>
                  <w:vAlign w:val="center"/>
                </w:tcPr>
                <w:p w14:paraId="361B88DF">
                  <w:pPr>
                    <w:pStyle w:val="27"/>
                    <w:spacing w:after="0"/>
                    <w:ind w:left="0" w:leftChars="0" w:firstLine="0" w:firstLineChars="0"/>
                    <w:jc w:val="center"/>
                    <w:rPr>
                      <w:sz w:val="21"/>
                      <w:szCs w:val="21"/>
                    </w:rPr>
                  </w:pPr>
                  <w:r>
                    <w:rPr>
                      <w:sz w:val="21"/>
                      <w:szCs w:val="21"/>
                    </w:rPr>
                    <w:t>/</w:t>
                  </w:r>
                </w:p>
              </w:tc>
              <w:tc>
                <w:tcPr>
                  <w:tcW w:w="574" w:type="pct"/>
                  <w:vMerge w:val="restart"/>
                  <w:tcBorders>
                    <w:tl2br w:val="nil"/>
                    <w:tr2bl w:val="nil"/>
                  </w:tcBorders>
                  <w:vAlign w:val="center"/>
                </w:tcPr>
                <w:p w14:paraId="595EB22B">
                  <w:pPr>
                    <w:pStyle w:val="27"/>
                    <w:spacing w:after="0"/>
                    <w:ind w:left="0" w:leftChars="0" w:firstLine="0" w:firstLineChars="0"/>
                    <w:jc w:val="center"/>
                    <w:rPr>
                      <w:sz w:val="21"/>
                      <w:szCs w:val="21"/>
                    </w:rPr>
                  </w:pPr>
                  <w:r>
                    <w:rPr>
                      <w:rFonts w:hint="eastAsia"/>
                      <w:sz w:val="21"/>
                      <w:szCs w:val="21"/>
                    </w:rPr>
                    <w:t>项目已停止产排污，施工期未造成环境污染</w:t>
                  </w:r>
                </w:p>
              </w:tc>
            </w:tr>
            <w:tr w14:paraId="32418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34F49447">
                  <w:pPr>
                    <w:pStyle w:val="27"/>
                    <w:spacing w:after="0"/>
                    <w:ind w:left="0" w:leftChars="0" w:firstLine="0" w:firstLineChars="0"/>
                    <w:jc w:val="center"/>
                    <w:rPr>
                      <w:sz w:val="21"/>
                      <w:szCs w:val="21"/>
                    </w:rPr>
                  </w:pPr>
                </w:p>
              </w:tc>
              <w:tc>
                <w:tcPr>
                  <w:tcW w:w="392" w:type="pct"/>
                  <w:vMerge w:val="continue"/>
                  <w:tcBorders>
                    <w:tl2br w:val="nil"/>
                    <w:tr2bl w:val="nil"/>
                  </w:tcBorders>
                  <w:vAlign w:val="center"/>
                </w:tcPr>
                <w:p w14:paraId="25E92A42">
                  <w:pPr>
                    <w:pStyle w:val="27"/>
                    <w:spacing w:after="0"/>
                    <w:ind w:left="0" w:leftChars="0" w:firstLine="0" w:firstLineChars="0"/>
                    <w:jc w:val="center"/>
                    <w:rPr>
                      <w:sz w:val="21"/>
                      <w:szCs w:val="21"/>
                    </w:rPr>
                  </w:pPr>
                </w:p>
              </w:tc>
              <w:tc>
                <w:tcPr>
                  <w:tcW w:w="2458" w:type="pct"/>
                  <w:tcBorders>
                    <w:tl2br w:val="nil"/>
                    <w:tr2bl w:val="nil"/>
                  </w:tcBorders>
                  <w:vAlign w:val="center"/>
                </w:tcPr>
                <w:p w14:paraId="7D06DDDF">
                  <w:pPr>
                    <w:jc w:val="left"/>
                    <w:rPr>
                      <w:b/>
                      <w:bCs/>
                      <w:sz w:val="21"/>
                      <w:szCs w:val="21"/>
                    </w:rPr>
                  </w:pPr>
                  <w:r>
                    <w:rPr>
                      <w:rFonts w:hint="eastAsia"/>
                      <w:b/>
                      <w:bCs/>
                      <w:sz w:val="21"/>
                      <w:szCs w:val="21"/>
                    </w:rPr>
                    <w:t>生活垃圾：</w:t>
                  </w:r>
                  <w:r>
                    <w:rPr>
                      <w:rFonts w:hint="eastAsia"/>
                      <w:sz w:val="21"/>
                      <w:szCs w:val="21"/>
                    </w:rPr>
                    <w:t>生活垃圾经袋装收集后，由环卫单位统一清运处理。</w:t>
                  </w:r>
                </w:p>
              </w:tc>
              <w:tc>
                <w:tcPr>
                  <w:tcW w:w="638" w:type="pct"/>
                  <w:vMerge w:val="continue"/>
                  <w:tcBorders>
                    <w:tl2br w:val="nil"/>
                    <w:tr2bl w:val="nil"/>
                  </w:tcBorders>
                  <w:vAlign w:val="center"/>
                </w:tcPr>
                <w:p w14:paraId="0B7AA130">
                  <w:pPr>
                    <w:pStyle w:val="27"/>
                    <w:spacing w:after="0"/>
                    <w:ind w:left="0" w:leftChars="0" w:firstLine="0" w:firstLineChars="0"/>
                    <w:jc w:val="center"/>
                    <w:rPr>
                      <w:sz w:val="21"/>
                      <w:szCs w:val="21"/>
                    </w:rPr>
                  </w:pPr>
                </w:p>
              </w:tc>
              <w:tc>
                <w:tcPr>
                  <w:tcW w:w="525" w:type="pct"/>
                  <w:tcBorders>
                    <w:tl2br w:val="nil"/>
                    <w:tr2bl w:val="nil"/>
                  </w:tcBorders>
                  <w:vAlign w:val="center"/>
                </w:tcPr>
                <w:p w14:paraId="7A865493">
                  <w:pPr>
                    <w:pStyle w:val="27"/>
                    <w:spacing w:after="0"/>
                    <w:ind w:left="0" w:leftChars="0" w:firstLine="0" w:firstLineChars="0"/>
                    <w:jc w:val="center"/>
                    <w:rPr>
                      <w:sz w:val="21"/>
                      <w:szCs w:val="21"/>
                    </w:rPr>
                  </w:pPr>
                  <w:r>
                    <w:rPr>
                      <w:sz w:val="21"/>
                      <w:szCs w:val="21"/>
                    </w:rPr>
                    <w:t>/</w:t>
                  </w:r>
                </w:p>
              </w:tc>
              <w:tc>
                <w:tcPr>
                  <w:tcW w:w="574" w:type="pct"/>
                  <w:vMerge w:val="continue"/>
                  <w:tcBorders>
                    <w:tl2br w:val="nil"/>
                    <w:tr2bl w:val="nil"/>
                  </w:tcBorders>
                  <w:vAlign w:val="center"/>
                </w:tcPr>
                <w:p w14:paraId="0E6776B4">
                  <w:pPr>
                    <w:pStyle w:val="27"/>
                    <w:spacing w:after="0"/>
                    <w:ind w:left="0" w:leftChars="0" w:firstLine="0" w:firstLineChars="0"/>
                    <w:jc w:val="center"/>
                    <w:rPr>
                      <w:sz w:val="21"/>
                      <w:szCs w:val="21"/>
                    </w:rPr>
                  </w:pPr>
                </w:p>
              </w:tc>
            </w:tr>
            <w:tr w14:paraId="1B98E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tcBorders>
                    <w:tl2br w:val="nil"/>
                    <w:tr2bl w:val="nil"/>
                  </w:tcBorders>
                  <w:vAlign w:val="center"/>
                </w:tcPr>
                <w:p w14:paraId="181A3115">
                  <w:pPr>
                    <w:pStyle w:val="27"/>
                    <w:spacing w:after="0"/>
                    <w:ind w:left="0" w:leftChars="0" w:firstLine="0" w:firstLineChars="0"/>
                    <w:jc w:val="center"/>
                    <w:rPr>
                      <w:sz w:val="21"/>
                      <w:szCs w:val="21"/>
                    </w:rPr>
                  </w:pPr>
                </w:p>
              </w:tc>
              <w:tc>
                <w:tcPr>
                  <w:tcW w:w="392" w:type="pct"/>
                  <w:tcBorders>
                    <w:tl2br w:val="nil"/>
                    <w:tr2bl w:val="nil"/>
                  </w:tcBorders>
                  <w:vAlign w:val="center"/>
                </w:tcPr>
                <w:p w14:paraId="3FD9A50E">
                  <w:pPr>
                    <w:pStyle w:val="27"/>
                    <w:spacing w:after="0"/>
                    <w:ind w:left="0" w:leftChars="0" w:firstLine="0" w:firstLineChars="0"/>
                    <w:jc w:val="center"/>
                    <w:rPr>
                      <w:sz w:val="21"/>
                      <w:szCs w:val="21"/>
                    </w:rPr>
                  </w:pPr>
                  <w:r>
                    <w:rPr>
                      <w:rFonts w:hint="eastAsia"/>
                      <w:sz w:val="21"/>
                      <w:szCs w:val="21"/>
                    </w:rPr>
                    <w:t>生态保护</w:t>
                  </w:r>
                </w:p>
              </w:tc>
              <w:tc>
                <w:tcPr>
                  <w:tcW w:w="2458" w:type="pct"/>
                  <w:tcBorders>
                    <w:tl2br w:val="nil"/>
                    <w:tr2bl w:val="nil"/>
                  </w:tcBorders>
                  <w:vAlign w:val="center"/>
                </w:tcPr>
                <w:p w14:paraId="1B9DED4B">
                  <w:pPr>
                    <w:rPr>
                      <w:sz w:val="21"/>
                      <w:szCs w:val="21"/>
                    </w:rPr>
                  </w:pPr>
                  <w:r>
                    <w:rPr>
                      <w:rFonts w:hint="eastAsia"/>
                      <w:sz w:val="21"/>
                      <w:szCs w:val="21"/>
                    </w:rPr>
                    <w:t>已严格控制施工占用土地，控制施工作业带；现仅施工场地需要进行迹地恢复，后期由海螺沟贡嘎神汤温泉酒店灾后恢复提升工程实施。</w:t>
                  </w:r>
                </w:p>
              </w:tc>
              <w:tc>
                <w:tcPr>
                  <w:tcW w:w="638" w:type="pct"/>
                  <w:vMerge w:val="continue"/>
                  <w:tcBorders>
                    <w:tl2br w:val="nil"/>
                    <w:tr2bl w:val="nil"/>
                  </w:tcBorders>
                  <w:vAlign w:val="center"/>
                </w:tcPr>
                <w:p w14:paraId="14A51C9B">
                  <w:pPr>
                    <w:pStyle w:val="27"/>
                    <w:spacing w:after="0"/>
                    <w:ind w:left="0" w:leftChars="0" w:firstLine="0" w:firstLineChars="0"/>
                    <w:jc w:val="center"/>
                    <w:rPr>
                      <w:sz w:val="21"/>
                      <w:szCs w:val="21"/>
                    </w:rPr>
                  </w:pPr>
                </w:p>
              </w:tc>
              <w:tc>
                <w:tcPr>
                  <w:tcW w:w="525" w:type="pct"/>
                  <w:tcBorders>
                    <w:tl2br w:val="nil"/>
                    <w:tr2bl w:val="nil"/>
                  </w:tcBorders>
                  <w:vAlign w:val="center"/>
                </w:tcPr>
                <w:p w14:paraId="1D472F4B">
                  <w:pPr>
                    <w:pStyle w:val="27"/>
                    <w:spacing w:after="0"/>
                    <w:ind w:left="0" w:leftChars="0" w:firstLine="0" w:firstLineChars="0"/>
                    <w:jc w:val="center"/>
                    <w:rPr>
                      <w:sz w:val="21"/>
                      <w:szCs w:val="21"/>
                    </w:rPr>
                  </w:pPr>
                  <w:r>
                    <w:rPr>
                      <w:sz w:val="21"/>
                      <w:szCs w:val="21"/>
                    </w:rPr>
                    <w:t>/</w:t>
                  </w:r>
                </w:p>
              </w:tc>
              <w:tc>
                <w:tcPr>
                  <w:tcW w:w="574" w:type="pct"/>
                  <w:tcBorders>
                    <w:tl2br w:val="nil"/>
                    <w:tr2bl w:val="nil"/>
                  </w:tcBorders>
                  <w:vAlign w:val="center"/>
                </w:tcPr>
                <w:p w14:paraId="4EEE0093">
                  <w:pPr>
                    <w:pStyle w:val="27"/>
                    <w:spacing w:after="0"/>
                    <w:ind w:left="0" w:leftChars="0" w:firstLine="0" w:firstLineChars="0"/>
                    <w:jc w:val="center"/>
                    <w:rPr>
                      <w:sz w:val="21"/>
                      <w:szCs w:val="21"/>
                    </w:rPr>
                  </w:pPr>
                  <w:r>
                    <w:rPr>
                      <w:rFonts w:hint="eastAsia"/>
                      <w:sz w:val="21"/>
                      <w:szCs w:val="21"/>
                    </w:rPr>
                    <w:t>施工期未造成生态破坏</w:t>
                  </w:r>
                </w:p>
              </w:tc>
            </w:tr>
          </w:tbl>
          <w:p w14:paraId="53EEAEB8">
            <w:pPr>
              <w:spacing w:before="156" w:beforeLines="50" w:line="360" w:lineRule="auto"/>
              <w:rPr>
                <w:b/>
              </w:rPr>
            </w:pPr>
            <w:r>
              <w:rPr>
                <w:rFonts w:hint="eastAsia"/>
                <w:b/>
              </w:rPr>
              <w:t>二、项目主要工程方案</w:t>
            </w:r>
          </w:p>
          <w:p w14:paraId="06B1ADB3">
            <w:pPr>
              <w:pStyle w:val="106"/>
            </w:pPr>
            <w:r>
              <w:rPr>
                <w:rFonts w:hint="eastAsia"/>
              </w:rPr>
              <w:t>根据项目资料，本项目各工程主要工程方案及工程布置情况如下。</w:t>
            </w:r>
          </w:p>
          <w:p w14:paraId="6961723C">
            <w:pPr>
              <w:pStyle w:val="7"/>
              <w:rPr>
                <w:rFonts w:cs="Times New Roman"/>
              </w:rPr>
            </w:pPr>
            <w:r>
              <w:rPr>
                <w:rFonts w:hint="eastAsia" w:cs="Times New Roman"/>
              </w:rPr>
              <w:t xml:space="preserve">表2- </w:t>
            </w:r>
            <w:r>
              <w:rPr>
                <w:rFonts w:cs="Times New Roman"/>
              </w:rPr>
              <w:fldChar w:fldCharType="begin"/>
            </w:r>
            <w:r>
              <w:rPr>
                <w:rFonts w:hint="eastAsia" w:cs="Times New Roman"/>
              </w:rPr>
              <w:instrText xml:space="preserve"> SEQ 表2- \* ARABIC </w:instrText>
            </w:r>
            <w:r>
              <w:rPr>
                <w:rFonts w:cs="Times New Roman"/>
              </w:rPr>
              <w:fldChar w:fldCharType="separate"/>
            </w:r>
            <w:r>
              <w:rPr>
                <w:rFonts w:cs="Times New Roman"/>
              </w:rPr>
              <w:t>2</w:t>
            </w:r>
            <w:r>
              <w:rPr>
                <w:rFonts w:cs="Times New Roman"/>
              </w:rPr>
              <w:fldChar w:fldCharType="end"/>
            </w:r>
            <w:r>
              <w:rPr>
                <w:rFonts w:hint="eastAsia" w:cs="Times New Roman"/>
              </w:rPr>
              <w:t xml:space="preserve">  项目平面布置表</w:t>
            </w:r>
          </w:p>
          <w:tbl>
            <w:tblPr>
              <w:tblStyle w:val="2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4241"/>
              <w:gridCol w:w="1329"/>
              <w:gridCol w:w="2406"/>
            </w:tblGrid>
            <w:tr w14:paraId="4D3531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tcBorders>
                    <w:tl2br w:val="nil"/>
                    <w:tr2bl w:val="nil"/>
                  </w:tcBorders>
                  <w:noWrap/>
                  <w:vAlign w:val="center"/>
                </w:tcPr>
                <w:p w14:paraId="5A684934">
                  <w:pPr>
                    <w:pStyle w:val="99"/>
                    <w:rPr>
                      <w:b/>
                      <w:bCs/>
                    </w:rPr>
                  </w:pPr>
                  <w:r>
                    <w:rPr>
                      <w:rFonts w:hint="eastAsia"/>
                      <w:b/>
                      <w:bCs/>
                    </w:rPr>
                    <w:t>建设内容</w:t>
                  </w:r>
                </w:p>
              </w:tc>
              <w:tc>
                <w:tcPr>
                  <w:tcW w:w="2323" w:type="pct"/>
                  <w:tcBorders>
                    <w:tl2br w:val="nil"/>
                    <w:tr2bl w:val="nil"/>
                  </w:tcBorders>
                  <w:noWrap/>
                  <w:vAlign w:val="center"/>
                </w:tcPr>
                <w:p w14:paraId="6DCD2ED3">
                  <w:pPr>
                    <w:pStyle w:val="99"/>
                    <w:rPr>
                      <w:b/>
                      <w:bCs/>
                    </w:rPr>
                  </w:pPr>
                  <w:r>
                    <w:rPr>
                      <w:rFonts w:hint="eastAsia"/>
                      <w:b/>
                      <w:bCs/>
                    </w:rPr>
                    <w:t>桩号</w:t>
                  </w:r>
                </w:p>
              </w:tc>
              <w:tc>
                <w:tcPr>
                  <w:tcW w:w="728" w:type="pct"/>
                  <w:tcBorders>
                    <w:tl2br w:val="nil"/>
                    <w:tr2bl w:val="nil"/>
                  </w:tcBorders>
                  <w:noWrap/>
                  <w:vAlign w:val="center"/>
                </w:tcPr>
                <w:p w14:paraId="738A33CF">
                  <w:pPr>
                    <w:pStyle w:val="99"/>
                    <w:rPr>
                      <w:b/>
                      <w:bCs/>
                    </w:rPr>
                  </w:pPr>
                  <w:r>
                    <w:rPr>
                      <w:rFonts w:hint="eastAsia"/>
                      <w:b/>
                      <w:bCs/>
                    </w:rPr>
                    <w:t>数量</w:t>
                  </w:r>
                </w:p>
              </w:tc>
              <w:tc>
                <w:tcPr>
                  <w:tcW w:w="1318" w:type="pct"/>
                  <w:tcBorders>
                    <w:tl2br w:val="nil"/>
                    <w:tr2bl w:val="nil"/>
                  </w:tcBorders>
                  <w:noWrap/>
                  <w:vAlign w:val="center"/>
                </w:tcPr>
                <w:p w14:paraId="17F2806A">
                  <w:pPr>
                    <w:pStyle w:val="99"/>
                    <w:rPr>
                      <w:b/>
                      <w:bCs/>
                    </w:rPr>
                  </w:pPr>
                  <w:r>
                    <w:rPr>
                      <w:rFonts w:hint="eastAsia"/>
                      <w:b/>
                      <w:bCs/>
                    </w:rPr>
                    <w:t>护岸型式</w:t>
                  </w:r>
                </w:p>
              </w:tc>
            </w:tr>
            <w:tr w14:paraId="6DF227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restart"/>
                  <w:tcBorders>
                    <w:tl2br w:val="nil"/>
                    <w:tr2bl w:val="nil"/>
                  </w:tcBorders>
                  <w:noWrap/>
                  <w:vAlign w:val="center"/>
                </w:tcPr>
                <w:p w14:paraId="0CC6861D">
                  <w:pPr>
                    <w:pStyle w:val="99"/>
                  </w:pPr>
                  <w:r>
                    <w:rPr>
                      <w:rFonts w:hint="eastAsia"/>
                    </w:rPr>
                    <w:t>左岸堤防</w:t>
                  </w:r>
                </w:p>
              </w:tc>
              <w:tc>
                <w:tcPr>
                  <w:tcW w:w="2323" w:type="pct"/>
                  <w:tcBorders>
                    <w:tl2br w:val="nil"/>
                    <w:tr2bl w:val="nil"/>
                  </w:tcBorders>
                  <w:noWrap/>
                  <w:vAlign w:val="center"/>
                </w:tcPr>
                <w:p w14:paraId="3713BB10">
                  <w:pPr>
                    <w:pStyle w:val="99"/>
                  </w:pPr>
                  <w:r>
                    <w:rPr>
                      <w:rFonts w:hint="eastAsia"/>
                    </w:rPr>
                    <w:t>左0+000.00～左0+090.00段</w:t>
                  </w:r>
                </w:p>
                <w:p w14:paraId="0AFC14F4">
                  <w:pPr>
                    <w:pStyle w:val="99"/>
                  </w:pPr>
                  <w:r>
                    <w:rPr>
                      <w:rFonts w:hint="eastAsia"/>
                    </w:rPr>
                    <w:t>左0+349.71～左0+661.18段</w:t>
                  </w:r>
                </w:p>
              </w:tc>
              <w:tc>
                <w:tcPr>
                  <w:tcW w:w="728" w:type="pct"/>
                  <w:tcBorders>
                    <w:tl2br w:val="nil"/>
                    <w:tr2bl w:val="nil"/>
                  </w:tcBorders>
                  <w:noWrap/>
                  <w:vAlign w:val="center"/>
                </w:tcPr>
                <w:p w14:paraId="03BC9AB4">
                  <w:pPr>
                    <w:pStyle w:val="99"/>
                  </w:pPr>
                  <w:r>
                    <w:t>401.47m</w:t>
                  </w:r>
                </w:p>
              </w:tc>
              <w:tc>
                <w:tcPr>
                  <w:tcW w:w="1318" w:type="pct"/>
                  <w:tcBorders>
                    <w:tl2br w:val="nil"/>
                    <w:tr2bl w:val="nil"/>
                  </w:tcBorders>
                  <w:noWrap/>
                  <w:vAlign w:val="center"/>
                </w:tcPr>
                <w:p w14:paraId="7587987F">
                  <w:pPr>
                    <w:pStyle w:val="99"/>
                  </w:pPr>
                  <w:r>
                    <w:rPr>
                      <w:rFonts w:hint="eastAsia"/>
                    </w:rPr>
                    <w:t>贴坡式护脚堤防</w:t>
                  </w:r>
                </w:p>
              </w:tc>
            </w:tr>
            <w:tr w14:paraId="62CBB0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tcBorders>
                    <w:tl2br w:val="nil"/>
                    <w:tr2bl w:val="nil"/>
                  </w:tcBorders>
                  <w:noWrap/>
                  <w:vAlign w:val="center"/>
                </w:tcPr>
                <w:p w14:paraId="7DDB068B">
                  <w:pPr>
                    <w:pStyle w:val="99"/>
                  </w:pPr>
                </w:p>
              </w:tc>
              <w:tc>
                <w:tcPr>
                  <w:tcW w:w="2323" w:type="pct"/>
                  <w:tcBorders>
                    <w:tl2br w:val="nil"/>
                    <w:tr2bl w:val="nil"/>
                  </w:tcBorders>
                  <w:noWrap/>
                  <w:vAlign w:val="center"/>
                </w:tcPr>
                <w:p w14:paraId="569704A5">
                  <w:pPr>
                    <w:pStyle w:val="99"/>
                  </w:pPr>
                  <w:r>
                    <w:rPr>
                      <w:rFonts w:hint="eastAsia"/>
                    </w:rPr>
                    <w:t>左0+090.00～左0+349.71</w:t>
                  </w:r>
                </w:p>
              </w:tc>
              <w:tc>
                <w:tcPr>
                  <w:tcW w:w="728" w:type="pct"/>
                  <w:tcBorders>
                    <w:tl2br w:val="nil"/>
                    <w:tr2bl w:val="nil"/>
                  </w:tcBorders>
                  <w:noWrap/>
                  <w:vAlign w:val="center"/>
                </w:tcPr>
                <w:p w14:paraId="7A9A1B69">
                  <w:pPr>
                    <w:pStyle w:val="99"/>
                  </w:pPr>
                  <w:r>
                    <w:t>259.71m</w:t>
                  </w:r>
                </w:p>
              </w:tc>
              <w:tc>
                <w:tcPr>
                  <w:tcW w:w="1318" w:type="pct"/>
                  <w:tcBorders>
                    <w:tl2br w:val="nil"/>
                    <w:tr2bl w:val="nil"/>
                  </w:tcBorders>
                  <w:noWrap/>
                  <w:vAlign w:val="center"/>
                </w:tcPr>
                <w:p w14:paraId="051A7373">
                  <w:pPr>
                    <w:pStyle w:val="99"/>
                  </w:pPr>
                  <w:r>
                    <w:rPr>
                      <w:rFonts w:hint="eastAsia"/>
                    </w:rPr>
                    <w:t>重力式护脚堤防</w:t>
                  </w:r>
                </w:p>
              </w:tc>
            </w:tr>
            <w:tr w14:paraId="2F0482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tcBorders>
                    <w:tl2br w:val="nil"/>
                    <w:tr2bl w:val="nil"/>
                  </w:tcBorders>
                  <w:noWrap/>
                  <w:vAlign w:val="center"/>
                </w:tcPr>
                <w:p w14:paraId="3B35B7A2">
                  <w:pPr>
                    <w:pStyle w:val="99"/>
                  </w:pPr>
                  <w:r>
                    <w:rPr>
                      <w:rFonts w:hint="eastAsia"/>
                    </w:rPr>
                    <w:t>右岸堤防</w:t>
                  </w:r>
                </w:p>
              </w:tc>
              <w:tc>
                <w:tcPr>
                  <w:tcW w:w="2323" w:type="pct"/>
                  <w:tcBorders>
                    <w:tl2br w:val="nil"/>
                    <w:tr2bl w:val="nil"/>
                  </w:tcBorders>
                  <w:noWrap/>
                  <w:vAlign w:val="center"/>
                </w:tcPr>
                <w:p w14:paraId="16D28BA9">
                  <w:pPr>
                    <w:pStyle w:val="99"/>
                  </w:pPr>
                  <w:r>
                    <w:rPr>
                      <w:rFonts w:hint="eastAsia"/>
                    </w:rPr>
                    <w:t>右1段0+044.97～右1段0+081.69</w:t>
                  </w:r>
                </w:p>
              </w:tc>
              <w:tc>
                <w:tcPr>
                  <w:tcW w:w="728" w:type="pct"/>
                  <w:tcBorders>
                    <w:tl2br w:val="nil"/>
                    <w:tr2bl w:val="nil"/>
                  </w:tcBorders>
                  <w:noWrap/>
                  <w:vAlign w:val="center"/>
                </w:tcPr>
                <w:p w14:paraId="264482A6">
                  <w:pPr>
                    <w:pStyle w:val="99"/>
                  </w:pPr>
                  <w:r>
                    <w:t>36.72m</w:t>
                  </w:r>
                </w:p>
              </w:tc>
              <w:tc>
                <w:tcPr>
                  <w:tcW w:w="1318" w:type="pct"/>
                  <w:tcBorders>
                    <w:tl2br w:val="nil"/>
                    <w:tr2bl w:val="nil"/>
                  </w:tcBorders>
                  <w:noWrap/>
                  <w:vAlign w:val="center"/>
                </w:tcPr>
                <w:p w14:paraId="2D54F33F">
                  <w:pPr>
                    <w:pStyle w:val="99"/>
                  </w:pPr>
                  <w:r>
                    <w:rPr>
                      <w:rFonts w:hint="eastAsia"/>
                    </w:rPr>
                    <w:t>贴坡式护脚堤防</w:t>
                  </w:r>
                </w:p>
              </w:tc>
            </w:tr>
            <w:tr w14:paraId="55F9C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tcBorders>
                    <w:tl2br w:val="nil"/>
                    <w:tr2bl w:val="nil"/>
                  </w:tcBorders>
                  <w:noWrap/>
                  <w:vAlign w:val="center"/>
                </w:tcPr>
                <w:p w14:paraId="5B15983C">
                  <w:pPr>
                    <w:pStyle w:val="99"/>
                  </w:pPr>
                  <w:r>
                    <w:rPr>
                      <w:rFonts w:hint="eastAsia"/>
                    </w:rPr>
                    <w:t>右岸护脚</w:t>
                  </w:r>
                </w:p>
              </w:tc>
              <w:tc>
                <w:tcPr>
                  <w:tcW w:w="2323" w:type="pct"/>
                  <w:tcBorders>
                    <w:tl2br w:val="nil"/>
                    <w:tr2bl w:val="nil"/>
                  </w:tcBorders>
                  <w:vAlign w:val="center"/>
                </w:tcPr>
                <w:p w14:paraId="667E25E3">
                  <w:pPr>
                    <w:pStyle w:val="99"/>
                  </w:pPr>
                  <w:r>
                    <w:rPr>
                      <w:rFonts w:hint="eastAsia"/>
                    </w:rPr>
                    <w:t>右2段0+007.18～右2段0+049.71</w:t>
                  </w:r>
                </w:p>
                <w:p w14:paraId="10806B7B">
                  <w:pPr>
                    <w:pStyle w:val="99"/>
                  </w:pPr>
                  <w:r>
                    <w:rPr>
                      <w:rFonts w:hint="eastAsia"/>
                    </w:rPr>
                    <w:t>右2段0+247.43～右2段0+319.07</w:t>
                  </w:r>
                </w:p>
                <w:p w14:paraId="29A80462">
                  <w:pPr>
                    <w:pStyle w:val="99"/>
                  </w:pPr>
                  <w:r>
                    <w:rPr>
                      <w:rFonts w:hint="eastAsia"/>
                    </w:rPr>
                    <w:t>右2段0+465.49～右2段0+525.03</w:t>
                  </w:r>
                </w:p>
              </w:tc>
              <w:tc>
                <w:tcPr>
                  <w:tcW w:w="728" w:type="pct"/>
                  <w:tcBorders>
                    <w:tl2br w:val="nil"/>
                    <w:tr2bl w:val="nil"/>
                  </w:tcBorders>
                  <w:noWrap/>
                  <w:vAlign w:val="center"/>
                </w:tcPr>
                <w:p w14:paraId="2DBCEE02">
                  <w:pPr>
                    <w:pStyle w:val="99"/>
                  </w:pPr>
                  <w:r>
                    <w:t>173.71m</w:t>
                  </w:r>
                </w:p>
              </w:tc>
              <w:tc>
                <w:tcPr>
                  <w:tcW w:w="1318" w:type="pct"/>
                  <w:tcBorders>
                    <w:tl2br w:val="nil"/>
                    <w:tr2bl w:val="nil"/>
                  </w:tcBorders>
                  <w:noWrap/>
                  <w:vAlign w:val="center"/>
                </w:tcPr>
                <w:p w14:paraId="4403845D">
                  <w:pPr>
                    <w:pStyle w:val="99"/>
                  </w:pPr>
                  <w:r>
                    <w:rPr>
                      <w:rFonts w:hint="eastAsia"/>
                    </w:rPr>
                    <w:t>钢筋混凝土护脚</w:t>
                  </w:r>
                </w:p>
              </w:tc>
            </w:tr>
            <w:tr w14:paraId="5789B0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tcBorders>
                    <w:tl2br w:val="nil"/>
                    <w:tr2bl w:val="nil"/>
                  </w:tcBorders>
                  <w:noWrap/>
                  <w:vAlign w:val="center"/>
                </w:tcPr>
                <w:p w14:paraId="6998ED09">
                  <w:pPr>
                    <w:pStyle w:val="99"/>
                  </w:pPr>
                  <w:r>
                    <w:rPr>
                      <w:rFonts w:hint="eastAsia"/>
                    </w:rPr>
                    <w:t>丁坝</w:t>
                  </w:r>
                </w:p>
              </w:tc>
              <w:tc>
                <w:tcPr>
                  <w:tcW w:w="2323" w:type="pct"/>
                  <w:tcBorders>
                    <w:tl2br w:val="nil"/>
                    <w:tr2bl w:val="nil"/>
                  </w:tcBorders>
                  <w:vAlign w:val="center"/>
                </w:tcPr>
                <w:p w14:paraId="2ACA60F1">
                  <w:pPr>
                    <w:pStyle w:val="99"/>
                  </w:pPr>
                  <w:r>
                    <w:rPr>
                      <w:rFonts w:hint="eastAsia"/>
                      <w:szCs w:val="21"/>
                    </w:rPr>
                    <w:t>右1段0+0.081.69～右1段0+124.85</w:t>
                  </w:r>
                </w:p>
              </w:tc>
              <w:tc>
                <w:tcPr>
                  <w:tcW w:w="728" w:type="pct"/>
                  <w:tcBorders>
                    <w:tl2br w:val="nil"/>
                    <w:tr2bl w:val="nil"/>
                  </w:tcBorders>
                  <w:noWrap/>
                  <w:vAlign w:val="center"/>
                </w:tcPr>
                <w:p w14:paraId="30F5BBE4">
                  <w:pPr>
                    <w:pStyle w:val="99"/>
                  </w:pPr>
                  <w:r>
                    <w:rPr>
                      <w:rFonts w:hint="eastAsia"/>
                    </w:rPr>
                    <w:t>2座</w:t>
                  </w:r>
                </w:p>
              </w:tc>
              <w:tc>
                <w:tcPr>
                  <w:tcW w:w="1318" w:type="pct"/>
                  <w:tcBorders>
                    <w:tl2br w:val="nil"/>
                    <w:tr2bl w:val="nil"/>
                  </w:tcBorders>
                  <w:noWrap/>
                  <w:vAlign w:val="center"/>
                </w:tcPr>
                <w:p w14:paraId="5E35F876">
                  <w:pPr>
                    <w:pStyle w:val="99"/>
                  </w:pPr>
                  <w:r>
                    <w:rPr>
                      <w:rFonts w:hint="eastAsia"/>
                    </w:rPr>
                    <w:t>混凝土丁坝</w:t>
                  </w:r>
                </w:p>
              </w:tc>
            </w:tr>
            <w:tr w14:paraId="724BE4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tcBorders>
                    <w:tl2br w:val="nil"/>
                    <w:tr2bl w:val="nil"/>
                  </w:tcBorders>
                  <w:noWrap/>
                  <w:vAlign w:val="center"/>
                </w:tcPr>
                <w:p w14:paraId="58459623">
                  <w:pPr>
                    <w:pStyle w:val="99"/>
                  </w:pPr>
                  <w:r>
                    <w:rPr>
                      <w:rFonts w:hint="eastAsia"/>
                    </w:rPr>
                    <w:t>固床梁</w:t>
                  </w:r>
                </w:p>
              </w:tc>
              <w:tc>
                <w:tcPr>
                  <w:tcW w:w="2323" w:type="pct"/>
                  <w:tcBorders>
                    <w:tl2br w:val="nil"/>
                    <w:tr2bl w:val="nil"/>
                  </w:tcBorders>
                  <w:noWrap/>
                  <w:vAlign w:val="center"/>
                </w:tcPr>
                <w:p w14:paraId="009DA2EC">
                  <w:pPr>
                    <w:pStyle w:val="99"/>
                    <w:rPr>
                      <w:szCs w:val="21"/>
                    </w:rPr>
                  </w:pPr>
                  <w:r>
                    <w:rPr>
                      <w:rFonts w:hint="eastAsia"/>
                      <w:szCs w:val="21"/>
                    </w:rPr>
                    <w:t>右2段0+033.71</w:t>
                  </w:r>
                </w:p>
                <w:p w14:paraId="3A7FE1EB">
                  <w:pPr>
                    <w:pStyle w:val="99"/>
                    <w:rPr>
                      <w:szCs w:val="21"/>
                    </w:rPr>
                  </w:pPr>
                  <w:r>
                    <w:rPr>
                      <w:rFonts w:hint="eastAsia"/>
                      <w:szCs w:val="21"/>
                    </w:rPr>
                    <w:t>右2段0+140.34</w:t>
                  </w:r>
                </w:p>
                <w:p w14:paraId="570AD853">
                  <w:pPr>
                    <w:pStyle w:val="99"/>
                    <w:rPr>
                      <w:szCs w:val="21"/>
                    </w:rPr>
                  </w:pPr>
                  <w:r>
                    <w:rPr>
                      <w:rFonts w:hint="eastAsia"/>
                      <w:szCs w:val="21"/>
                    </w:rPr>
                    <w:t>右2段0+247.43</w:t>
                  </w:r>
                </w:p>
                <w:p w14:paraId="5619D94B">
                  <w:pPr>
                    <w:pStyle w:val="99"/>
                  </w:pPr>
                  <w:r>
                    <w:rPr>
                      <w:rFonts w:hint="eastAsia"/>
                      <w:szCs w:val="21"/>
                    </w:rPr>
                    <w:t>右2段0+365.00</w:t>
                  </w:r>
                </w:p>
              </w:tc>
              <w:tc>
                <w:tcPr>
                  <w:tcW w:w="728" w:type="pct"/>
                  <w:tcBorders>
                    <w:tl2br w:val="nil"/>
                    <w:tr2bl w:val="nil"/>
                  </w:tcBorders>
                  <w:noWrap/>
                  <w:vAlign w:val="center"/>
                </w:tcPr>
                <w:p w14:paraId="38B1F6BA">
                  <w:pPr>
                    <w:pStyle w:val="99"/>
                  </w:pPr>
                  <w:r>
                    <w:rPr>
                      <w:rFonts w:hint="eastAsia"/>
                    </w:rPr>
                    <w:t>4座</w:t>
                  </w:r>
                </w:p>
              </w:tc>
              <w:tc>
                <w:tcPr>
                  <w:tcW w:w="1318" w:type="pct"/>
                  <w:tcBorders>
                    <w:tl2br w:val="nil"/>
                    <w:tr2bl w:val="nil"/>
                  </w:tcBorders>
                  <w:noWrap/>
                  <w:vAlign w:val="center"/>
                </w:tcPr>
                <w:p w14:paraId="1E53074D">
                  <w:pPr>
                    <w:pStyle w:val="99"/>
                  </w:pPr>
                  <w:r>
                    <w:rPr>
                      <w:rFonts w:hint="eastAsia"/>
                    </w:rPr>
                    <w:t>重力式钢筋混凝土结构固床梁</w:t>
                  </w:r>
                </w:p>
              </w:tc>
            </w:tr>
          </w:tbl>
          <w:p w14:paraId="648E84D2">
            <w:pPr>
              <w:pStyle w:val="106"/>
            </w:pPr>
            <w:r>
              <w:rPr>
                <w:rFonts w:hint="eastAsia"/>
              </w:rPr>
              <w:t>项目主要工程概况如下：</w:t>
            </w:r>
          </w:p>
          <w:p w14:paraId="4A8A5D35">
            <w:pPr>
              <w:pStyle w:val="106"/>
            </w:pPr>
            <w:r>
              <w:rPr>
                <w:rFonts w:hint="eastAsia"/>
              </w:rPr>
              <w:t>1、堤身设计</w:t>
            </w:r>
          </w:p>
          <w:p w14:paraId="392689D4">
            <w:pPr>
              <w:pStyle w:val="106"/>
            </w:pPr>
            <w:r>
              <w:rPr>
                <w:rFonts w:hint="eastAsia"/>
              </w:rPr>
              <w:t>（1）左岸护脚堤防</w:t>
            </w:r>
          </w:p>
          <w:p w14:paraId="1682601C">
            <w:pPr>
              <w:pStyle w:val="106"/>
            </w:pPr>
            <w:r>
              <w:rPr>
                <w:rFonts w:hint="eastAsia"/>
              </w:rPr>
              <w:t>本工程左岸新建护脚堤防采用C25F100混凝土重力式和贴坡式挡墙护脚抗冲设计。其中重力式挡墙护岸高4.4～6.0m，迎水面坡比为1:0.1，背坡坡比1:0.3，墙踵及墙趾宽0.5m，高0.8m，挡墙顶宽0.5m，除（左K0+000-左K0+074.81、左K0+115.4-左K0+152.4、左K0+588.1-左K0+605.6）外坡脚水平铺设钢筋石笼护垫抗冲，长度为4.0m，厚0.8m。左岸桩号左0+090.00～左0+349.71.00段，墙身布置dn50PVC排水管，孔距2.0m。贴坡式挡墙护岸高3.3～6.1m，迎水面坡比为1:0.75，背坡坡比1:0.5，墙踵宽0.5m，高0.8m，挡墙顶宽0.5m，坡脚水平铺设钢筋石笼护垫抗冲，长度为4.0m，厚0.8m。左岸0+000.00~0+90.00段，护脚堤防墙身布置dn50PVC排水管，孔距2.0m。左岸挡墙顶顺接已建生态雷诺护垫护坡。在重力式堤防挡墙后采用土石回填，为防止冲刷在土石回填顶部设计0.8m厚钢筋石笼。</w:t>
            </w:r>
          </w:p>
          <w:p w14:paraId="22ADE0B3">
            <w:pPr>
              <w:pStyle w:val="106"/>
            </w:pPr>
            <w:r>
              <w:rPr>
                <w:rFonts w:hint="eastAsia"/>
              </w:rPr>
              <w:t>（2）右岸护脚堤防</w:t>
            </w:r>
          </w:p>
          <w:p w14:paraId="0391F44B">
            <w:pPr>
              <w:pStyle w:val="106"/>
            </w:pPr>
            <w:r>
              <w:rPr>
                <w:rFonts w:hint="eastAsia"/>
              </w:rPr>
              <w:t>本工程右岸桩号右1段0+044.97～右1段0+081.69段共计36.72m新建护脚堤防，采用C25F100混凝土贴坡式挡墙护脚抗冲设计，挡墙高5.68m，迎水面坡比为1:0.75，背坡坡比1:0.5，墙踵宽0.5m，高0.8m，挡墙顶宽0.5m。坡脚水平铺设钢筋石笼护垫抗冲，长度为4.0m，厚0.8m。在右岸已建挡墙右2段0+007.18～右2段0+049.71、右2段0+247.43～右2段0+319.07、右2段0+465.49～右2段0+525.03处新建护脚，共计173.71m，采用C25F100钢筋混凝土贴坡式挡墙护脚，护岸高3.0m，迎水面坡比为1:1，背坡坡比1:1，墙踵宽1.0m，高0.6m，挡墙顶宽2.0m，堤防挡墙护脚迎水面后采用土石料压实回填，为防止冲刷在土石回填顶部设计0.8m厚钢筋石笼。</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3"/>
              <w:gridCol w:w="4564"/>
            </w:tblGrid>
            <w:tr w14:paraId="4B48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63" w:type="dxa"/>
                </w:tcPr>
                <w:p w14:paraId="11559CBE">
                  <w:pPr>
                    <w:pStyle w:val="106"/>
                    <w:spacing w:line="240" w:lineRule="auto"/>
                    <w:ind w:firstLine="0" w:firstLineChars="0"/>
                    <w:jc w:val="center"/>
                  </w:pPr>
                  <w:r>
                    <w:drawing>
                      <wp:inline distT="0" distB="0" distL="114300" distR="114300">
                        <wp:extent cx="2822575" cy="2082165"/>
                        <wp:effectExtent l="0" t="0" r="15875" b="1333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4"/>
                                <a:stretch>
                                  <a:fillRect/>
                                </a:stretch>
                              </pic:blipFill>
                              <pic:spPr>
                                <a:xfrm>
                                  <a:off x="0" y="0"/>
                                  <a:ext cx="2822575" cy="2082165"/>
                                </a:xfrm>
                                <a:prstGeom prst="rect">
                                  <a:avLst/>
                                </a:prstGeom>
                                <a:noFill/>
                                <a:ln>
                                  <a:noFill/>
                                </a:ln>
                              </pic:spPr>
                            </pic:pic>
                          </a:graphicData>
                        </a:graphic>
                      </wp:inline>
                    </w:drawing>
                  </w:r>
                </w:p>
              </w:tc>
              <w:tc>
                <w:tcPr>
                  <w:tcW w:w="4564" w:type="dxa"/>
                </w:tcPr>
                <w:p w14:paraId="1C6AE10B">
                  <w:pPr>
                    <w:pStyle w:val="106"/>
                    <w:spacing w:line="240" w:lineRule="auto"/>
                    <w:ind w:firstLine="0" w:firstLineChars="0"/>
                    <w:jc w:val="center"/>
                  </w:pPr>
                  <w:r>
                    <w:drawing>
                      <wp:inline distT="0" distB="0" distL="114300" distR="114300">
                        <wp:extent cx="2841625" cy="2094865"/>
                        <wp:effectExtent l="0" t="0" r="15875" b="63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5"/>
                                <a:stretch>
                                  <a:fillRect/>
                                </a:stretch>
                              </pic:blipFill>
                              <pic:spPr>
                                <a:xfrm>
                                  <a:off x="0" y="0"/>
                                  <a:ext cx="2841625" cy="2094865"/>
                                </a:xfrm>
                                <a:prstGeom prst="rect">
                                  <a:avLst/>
                                </a:prstGeom>
                                <a:noFill/>
                                <a:ln>
                                  <a:noFill/>
                                </a:ln>
                              </pic:spPr>
                            </pic:pic>
                          </a:graphicData>
                        </a:graphic>
                      </wp:inline>
                    </w:drawing>
                  </w:r>
                </w:p>
              </w:tc>
            </w:tr>
            <w:tr w14:paraId="144A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3" w:type="dxa"/>
                </w:tcPr>
                <w:p w14:paraId="2A6A30E9">
                  <w:pPr>
                    <w:pStyle w:val="106"/>
                    <w:spacing w:line="240" w:lineRule="auto"/>
                    <w:ind w:firstLine="0" w:firstLineChars="0"/>
                    <w:jc w:val="center"/>
                  </w:pPr>
                  <w:r>
                    <w:drawing>
                      <wp:inline distT="0" distB="0" distL="114300" distR="114300">
                        <wp:extent cx="2811780" cy="2078990"/>
                        <wp:effectExtent l="0" t="0" r="7620" b="1651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6"/>
                                <a:stretch>
                                  <a:fillRect/>
                                </a:stretch>
                              </pic:blipFill>
                              <pic:spPr>
                                <a:xfrm>
                                  <a:off x="0" y="0"/>
                                  <a:ext cx="2811780" cy="2078990"/>
                                </a:xfrm>
                                <a:prstGeom prst="rect">
                                  <a:avLst/>
                                </a:prstGeom>
                                <a:noFill/>
                                <a:ln>
                                  <a:noFill/>
                                </a:ln>
                              </pic:spPr>
                            </pic:pic>
                          </a:graphicData>
                        </a:graphic>
                      </wp:inline>
                    </w:drawing>
                  </w:r>
                </w:p>
              </w:tc>
              <w:tc>
                <w:tcPr>
                  <w:tcW w:w="4564" w:type="dxa"/>
                </w:tcPr>
                <w:p w14:paraId="46E32D37">
                  <w:pPr>
                    <w:pStyle w:val="106"/>
                    <w:spacing w:line="240" w:lineRule="auto"/>
                    <w:ind w:firstLine="0" w:firstLineChars="0"/>
                    <w:jc w:val="center"/>
                  </w:pPr>
                  <w:r>
                    <w:drawing>
                      <wp:inline distT="0" distB="0" distL="114300" distR="114300">
                        <wp:extent cx="2832735" cy="2083435"/>
                        <wp:effectExtent l="0" t="0" r="5715" b="12065"/>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7"/>
                                <a:stretch>
                                  <a:fillRect/>
                                </a:stretch>
                              </pic:blipFill>
                              <pic:spPr>
                                <a:xfrm>
                                  <a:off x="0" y="0"/>
                                  <a:ext cx="2832735" cy="2083435"/>
                                </a:xfrm>
                                <a:prstGeom prst="rect">
                                  <a:avLst/>
                                </a:prstGeom>
                                <a:noFill/>
                                <a:ln>
                                  <a:noFill/>
                                </a:ln>
                              </pic:spPr>
                            </pic:pic>
                          </a:graphicData>
                        </a:graphic>
                      </wp:inline>
                    </w:drawing>
                  </w:r>
                </w:p>
              </w:tc>
            </w:tr>
            <w:tr w14:paraId="547E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2" w:hRule="atLeast"/>
              </w:trPr>
              <w:tc>
                <w:tcPr>
                  <w:tcW w:w="4563" w:type="dxa"/>
                </w:tcPr>
                <w:p w14:paraId="07CE2ED8">
                  <w:pPr>
                    <w:pStyle w:val="106"/>
                    <w:spacing w:line="240" w:lineRule="auto"/>
                    <w:ind w:firstLine="0" w:firstLineChars="0"/>
                    <w:jc w:val="center"/>
                  </w:pPr>
                  <w:r>
                    <w:drawing>
                      <wp:inline distT="0" distB="0" distL="114300" distR="114300">
                        <wp:extent cx="2882265" cy="2120900"/>
                        <wp:effectExtent l="0" t="0" r="13335" b="1270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18"/>
                                <a:stretch>
                                  <a:fillRect/>
                                </a:stretch>
                              </pic:blipFill>
                              <pic:spPr>
                                <a:xfrm>
                                  <a:off x="0" y="0"/>
                                  <a:ext cx="2882265" cy="2120900"/>
                                </a:xfrm>
                                <a:prstGeom prst="rect">
                                  <a:avLst/>
                                </a:prstGeom>
                                <a:noFill/>
                                <a:ln>
                                  <a:noFill/>
                                </a:ln>
                              </pic:spPr>
                            </pic:pic>
                          </a:graphicData>
                        </a:graphic>
                      </wp:inline>
                    </w:drawing>
                  </w:r>
                </w:p>
              </w:tc>
              <w:tc>
                <w:tcPr>
                  <w:tcW w:w="4564" w:type="dxa"/>
                </w:tcPr>
                <w:p w14:paraId="0BE7BE5B">
                  <w:pPr>
                    <w:pStyle w:val="106"/>
                    <w:spacing w:line="240" w:lineRule="auto"/>
                    <w:ind w:firstLine="0" w:firstLineChars="0"/>
                    <w:jc w:val="center"/>
                  </w:pPr>
                  <w:r>
                    <w:drawing>
                      <wp:inline distT="0" distB="0" distL="114300" distR="114300">
                        <wp:extent cx="2889250" cy="2129790"/>
                        <wp:effectExtent l="0" t="0" r="6350" b="3810"/>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19"/>
                                <a:stretch>
                                  <a:fillRect/>
                                </a:stretch>
                              </pic:blipFill>
                              <pic:spPr>
                                <a:xfrm>
                                  <a:off x="0" y="0"/>
                                  <a:ext cx="2889250" cy="2129790"/>
                                </a:xfrm>
                                <a:prstGeom prst="rect">
                                  <a:avLst/>
                                </a:prstGeom>
                                <a:noFill/>
                                <a:ln>
                                  <a:noFill/>
                                </a:ln>
                              </pic:spPr>
                            </pic:pic>
                          </a:graphicData>
                        </a:graphic>
                      </wp:inline>
                    </w:drawing>
                  </w:r>
                </w:p>
              </w:tc>
            </w:tr>
            <w:tr w14:paraId="70D5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3" w:type="dxa"/>
                </w:tcPr>
                <w:p w14:paraId="11C741E1">
                  <w:pPr>
                    <w:pStyle w:val="106"/>
                    <w:spacing w:line="240" w:lineRule="auto"/>
                    <w:ind w:firstLine="0" w:firstLineChars="0"/>
                    <w:jc w:val="center"/>
                  </w:pPr>
                  <w:r>
                    <w:drawing>
                      <wp:inline distT="0" distB="0" distL="114300" distR="114300">
                        <wp:extent cx="2870200" cy="2117725"/>
                        <wp:effectExtent l="0" t="0" r="6350" b="15875"/>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20"/>
                                <a:stretch>
                                  <a:fillRect/>
                                </a:stretch>
                              </pic:blipFill>
                              <pic:spPr>
                                <a:xfrm>
                                  <a:off x="0" y="0"/>
                                  <a:ext cx="2870200" cy="2117725"/>
                                </a:xfrm>
                                <a:prstGeom prst="rect">
                                  <a:avLst/>
                                </a:prstGeom>
                                <a:noFill/>
                                <a:ln>
                                  <a:noFill/>
                                </a:ln>
                              </pic:spPr>
                            </pic:pic>
                          </a:graphicData>
                        </a:graphic>
                      </wp:inline>
                    </w:drawing>
                  </w:r>
                </w:p>
              </w:tc>
              <w:tc>
                <w:tcPr>
                  <w:tcW w:w="4564" w:type="dxa"/>
                </w:tcPr>
                <w:p w14:paraId="24371960">
                  <w:pPr>
                    <w:pStyle w:val="106"/>
                    <w:spacing w:line="240" w:lineRule="auto"/>
                    <w:ind w:firstLine="0" w:firstLineChars="0"/>
                    <w:jc w:val="center"/>
                  </w:pPr>
                  <w:r>
                    <w:drawing>
                      <wp:inline distT="0" distB="0" distL="114300" distR="114300">
                        <wp:extent cx="2885440" cy="2126615"/>
                        <wp:effectExtent l="0" t="0" r="10160" b="6985"/>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21"/>
                                <a:stretch>
                                  <a:fillRect/>
                                </a:stretch>
                              </pic:blipFill>
                              <pic:spPr>
                                <a:xfrm>
                                  <a:off x="0" y="0"/>
                                  <a:ext cx="2885440" cy="2126615"/>
                                </a:xfrm>
                                <a:prstGeom prst="rect">
                                  <a:avLst/>
                                </a:prstGeom>
                                <a:noFill/>
                                <a:ln>
                                  <a:noFill/>
                                </a:ln>
                              </pic:spPr>
                            </pic:pic>
                          </a:graphicData>
                        </a:graphic>
                      </wp:inline>
                    </w:drawing>
                  </w:r>
                </w:p>
              </w:tc>
            </w:tr>
            <w:tr w14:paraId="0DD6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3" w:type="dxa"/>
                </w:tcPr>
                <w:p w14:paraId="3F205405">
                  <w:pPr>
                    <w:pStyle w:val="106"/>
                    <w:spacing w:line="240" w:lineRule="auto"/>
                    <w:ind w:firstLine="0" w:firstLineChars="0"/>
                    <w:jc w:val="center"/>
                  </w:pPr>
                  <w:r>
                    <w:drawing>
                      <wp:inline distT="0" distB="0" distL="114300" distR="114300">
                        <wp:extent cx="2811780" cy="2068830"/>
                        <wp:effectExtent l="0" t="0" r="7620" b="7620"/>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22"/>
                                <a:stretch>
                                  <a:fillRect/>
                                </a:stretch>
                              </pic:blipFill>
                              <pic:spPr>
                                <a:xfrm>
                                  <a:off x="0" y="0"/>
                                  <a:ext cx="2811780" cy="2068830"/>
                                </a:xfrm>
                                <a:prstGeom prst="rect">
                                  <a:avLst/>
                                </a:prstGeom>
                                <a:noFill/>
                                <a:ln>
                                  <a:noFill/>
                                </a:ln>
                              </pic:spPr>
                            </pic:pic>
                          </a:graphicData>
                        </a:graphic>
                      </wp:inline>
                    </w:drawing>
                  </w:r>
                </w:p>
              </w:tc>
              <w:tc>
                <w:tcPr>
                  <w:tcW w:w="4564" w:type="dxa"/>
                </w:tcPr>
                <w:p w14:paraId="56441B42">
                  <w:pPr>
                    <w:pStyle w:val="106"/>
                    <w:spacing w:line="240" w:lineRule="auto"/>
                    <w:ind w:firstLine="0" w:firstLineChars="0"/>
                    <w:jc w:val="center"/>
                  </w:pPr>
                </w:p>
              </w:tc>
            </w:tr>
          </w:tbl>
          <w:p w14:paraId="7ABFA147">
            <w:pPr>
              <w:pStyle w:val="7"/>
              <w:rPr>
                <w:rFonts w:cs="Times New Roman"/>
              </w:rPr>
            </w:pPr>
            <w:r>
              <w:rPr>
                <w:rFonts w:hint="eastAsia" w:cs="Times New Roman"/>
              </w:rPr>
              <w:t xml:space="preserve">图2- </w:t>
            </w:r>
            <w:r>
              <w:rPr>
                <w:rFonts w:cs="Times New Roman"/>
              </w:rPr>
              <w:fldChar w:fldCharType="begin"/>
            </w:r>
            <w:r>
              <w:rPr>
                <w:rFonts w:hint="eastAsia" w:cs="Times New Roman"/>
              </w:rPr>
              <w:instrText xml:space="preserve"> SEQ 图2- \* ARABIC </w:instrText>
            </w:r>
            <w:r>
              <w:rPr>
                <w:rFonts w:cs="Times New Roman"/>
              </w:rPr>
              <w:fldChar w:fldCharType="separate"/>
            </w:r>
            <w:r>
              <w:rPr>
                <w:rFonts w:hint="eastAsia" w:cs="Times New Roman"/>
              </w:rPr>
              <w:t>2</w:t>
            </w:r>
            <w:r>
              <w:rPr>
                <w:rFonts w:cs="Times New Roman"/>
              </w:rPr>
              <w:fldChar w:fldCharType="end"/>
            </w:r>
            <w:r>
              <w:rPr>
                <w:rFonts w:hint="eastAsia" w:cs="Times New Roman"/>
                <w:szCs w:val="21"/>
              </w:rPr>
              <w:t xml:space="preserve">  堤防施工图</w:t>
            </w:r>
          </w:p>
          <w:p w14:paraId="249B0965">
            <w:pPr>
              <w:pStyle w:val="106"/>
            </w:pPr>
            <w:r>
              <w:rPr>
                <w:rFonts w:hint="eastAsia"/>
              </w:rPr>
              <w:t>（3）丁坝</w:t>
            </w:r>
          </w:p>
          <w:p w14:paraId="6AC4310B">
            <w:pPr>
              <w:pStyle w:val="106"/>
            </w:pPr>
            <w:r>
              <w:rPr>
                <w:rFonts w:hint="eastAsia"/>
              </w:rPr>
              <w:t>本工程在桩号右1段0+081.69～右1段0+124.85处设置丁坝2座，采用C25F100混凝土丁坝，坝高6.1m，底宽3.92m，迎水面坡比为1:0.1，背坡坡比1:0.3，墙踵和墙趾宽0.5m，高0.8m，挡墙顶宽0.8m。基础埋深2.5m。丁坝迎水面后采用土石料压实回填。丁坝墙身布置dn50PVC排水管，孔距2.0m。</w:t>
            </w:r>
          </w:p>
          <w:p w14:paraId="039A6C89">
            <w:pPr>
              <w:pStyle w:val="106"/>
            </w:pPr>
            <w:r>
              <w:rPr>
                <w:rFonts w:hint="eastAsia"/>
              </w:rPr>
              <w:t>（4）固床梁</w:t>
            </w:r>
          </w:p>
          <w:p w14:paraId="564268B5">
            <w:pPr>
              <w:pStyle w:val="106"/>
            </w:pPr>
            <w:r>
              <w:rPr>
                <w:rFonts w:hint="eastAsia"/>
              </w:rPr>
              <w:t>本工程在桩号右2段0+033.71、右2段0+140.34、右2段0+247.43.00、右2段0+365.00设置固床梁4座，采用C25F100钢筋混凝土重力式固床梁，梁高4.5m，底宽4.0m，迎水面坡比为1:0.1，背坡坡比1:0.3，墙踵和墙趾宽0.5m，高0.8m，挡墙顶宽1.5m。基础埋深3.5m。固床梁迎水面后采用土石料压实回填，下游为防止冲刷，在土石回填顶部设计1.0m厚、宽7.0m大块石抛填护坦。</w:t>
            </w:r>
          </w:p>
          <w:p w14:paraId="4CB7D6A6">
            <w:pPr>
              <w:pStyle w:val="106"/>
              <w:ind w:firstLine="0" w:firstLineChars="0"/>
              <w:jc w:val="center"/>
            </w:pPr>
            <w:r>
              <w:drawing>
                <wp:inline distT="0" distB="0" distL="114300" distR="114300">
                  <wp:extent cx="5617845" cy="4137660"/>
                  <wp:effectExtent l="0" t="0" r="1905" b="15240"/>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pic:cNvPicPr>
                            <a:picLocks noChangeAspect="1"/>
                          </pic:cNvPicPr>
                        </pic:nvPicPr>
                        <pic:blipFill>
                          <a:blip r:embed="rId23"/>
                          <a:stretch>
                            <a:fillRect/>
                          </a:stretch>
                        </pic:blipFill>
                        <pic:spPr>
                          <a:xfrm>
                            <a:off x="0" y="0"/>
                            <a:ext cx="5617845" cy="4137660"/>
                          </a:xfrm>
                          <a:prstGeom prst="rect">
                            <a:avLst/>
                          </a:prstGeom>
                          <a:noFill/>
                          <a:ln>
                            <a:noFill/>
                          </a:ln>
                        </pic:spPr>
                      </pic:pic>
                    </a:graphicData>
                  </a:graphic>
                </wp:inline>
              </w:drawing>
            </w:r>
          </w:p>
          <w:p w14:paraId="43B2718D">
            <w:pPr>
              <w:pStyle w:val="7"/>
              <w:rPr>
                <w:rFonts w:cs="Times New Roman"/>
              </w:rPr>
            </w:pPr>
            <w:r>
              <w:rPr>
                <w:rFonts w:hint="eastAsia" w:cs="Times New Roman"/>
              </w:rPr>
              <w:t xml:space="preserve">图2- </w:t>
            </w:r>
            <w:r>
              <w:rPr>
                <w:rFonts w:cs="Times New Roman"/>
              </w:rPr>
              <w:fldChar w:fldCharType="begin"/>
            </w:r>
            <w:r>
              <w:rPr>
                <w:rFonts w:hint="eastAsia" w:cs="Times New Roman"/>
              </w:rPr>
              <w:instrText xml:space="preserve"> SEQ 图2- \* ARABIC </w:instrText>
            </w:r>
            <w:r>
              <w:rPr>
                <w:rFonts w:cs="Times New Roman"/>
              </w:rPr>
              <w:fldChar w:fldCharType="separate"/>
            </w:r>
            <w:r>
              <w:rPr>
                <w:rFonts w:hint="eastAsia" w:cs="Times New Roman"/>
              </w:rPr>
              <w:t>3</w:t>
            </w:r>
            <w:r>
              <w:rPr>
                <w:rFonts w:cs="Times New Roman"/>
              </w:rPr>
              <w:fldChar w:fldCharType="end"/>
            </w:r>
            <w:r>
              <w:rPr>
                <w:rFonts w:cs="Times New Roman"/>
              </w:rPr>
              <w:t xml:space="preserve">  </w:t>
            </w:r>
            <w:r>
              <w:rPr>
                <w:rFonts w:hint="eastAsia" w:cs="Times New Roman"/>
                <w:szCs w:val="21"/>
              </w:rPr>
              <w:t>固床梁平面图</w:t>
            </w:r>
          </w:p>
          <w:p w14:paraId="2FBB007F">
            <w:pPr>
              <w:pStyle w:val="106"/>
            </w:pPr>
            <w:r>
              <w:rPr>
                <w:rFonts w:hint="eastAsia"/>
              </w:rPr>
              <w:t>2、堤身填筑</w:t>
            </w:r>
          </w:p>
          <w:p w14:paraId="340ECC8C">
            <w:pPr>
              <w:pStyle w:val="106"/>
            </w:pPr>
            <w:r>
              <w:rPr>
                <w:rFonts w:hint="eastAsia"/>
              </w:rPr>
              <w:t>堤身采用土石填筑，根据《堤防工程设计规范》（GB50286-2013），堤身填筑标准为：相对密度≥0.9。堤身填筑前，对场地内的粉土层进行清理，清基满足要求后将基础压实，再分层填筑、碾压砂卵石。坡脚水平铺设钢筋石笼护垫抗冲护脚。</w:t>
            </w:r>
          </w:p>
          <w:p w14:paraId="36C9EA7B">
            <w:pPr>
              <w:pStyle w:val="106"/>
            </w:pPr>
            <w:r>
              <w:rPr>
                <w:rFonts w:hint="eastAsia"/>
              </w:rPr>
              <w:t>3、堤防背坡</w:t>
            </w:r>
          </w:p>
          <w:p w14:paraId="7B353F6E">
            <w:pPr>
              <w:pStyle w:val="106"/>
            </w:pPr>
            <w:r>
              <w:rPr>
                <w:rFonts w:hint="eastAsia"/>
              </w:rPr>
              <w:t>背坡利用开挖料中合格砂卵砾石料进行夯实回填，为防冲在填筑堤上加钢筋石笼。</w:t>
            </w:r>
          </w:p>
          <w:p w14:paraId="44CF5B7E">
            <w:pPr>
              <w:pStyle w:val="106"/>
            </w:pPr>
            <w:r>
              <w:rPr>
                <w:rFonts w:hint="eastAsia"/>
              </w:rPr>
              <w:t>本防洪治理工程级别为4级，根据《堤防工程设计规范》（GB50286-2013）及相关规程要求，砂卵砾石回填料及其夯实回填标准应满足下列要求：</w:t>
            </w:r>
          </w:p>
          <w:p w14:paraId="61F5C66A">
            <w:pPr>
              <w:pStyle w:val="106"/>
            </w:pPr>
            <w:r>
              <w:rPr>
                <w:rFonts w:hint="eastAsia"/>
              </w:rPr>
              <w:t>（1）砂卵石料最大粒径不大于200mm，粉粒、黏粒（＜0.075mm）百分含量不大于5%。</w:t>
            </w:r>
          </w:p>
          <w:p w14:paraId="2CC9C1F3">
            <w:pPr>
              <w:pStyle w:val="106"/>
            </w:pPr>
            <w:r>
              <w:rPr>
                <w:rFonts w:hint="eastAsia"/>
              </w:rPr>
              <w:t>（2）砂卵砾石夯实回填标准按相对密度确定，相对密度不小于0.9，干密度为2.1g/cm³。</w:t>
            </w:r>
          </w:p>
          <w:p w14:paraId="53226144">
            <w:pPr>
              <w:pStyle w:val="106"/>
            </w:pPr>
            <w:r>
              <w:rPr>
                <w:rFonts w:hint="eastAsia"/>
              </w:rPr>
              <w:t>（3）碾压机械、铺填厚度、碾压次数等参数由现场试验确定。</w:t>
            </w:r>
          </w:p>
          <w:p w14:paraId="68FA4D4F">
            <w:pPr>
              <w:pStyle w:val="106"/>
            </w:pPr>
            <w:r>
              <w:rPr>
                <w:rFonts w:hint="eastAsia"/>
              </w:rPr>
              <w:t>4、堤基设计</w:t>
            </w:r>
          </w:p>
          <w:p w14:paraId="6574C735">
            <w:pPr>
              <w:pStyle w:val="106"/>
            </w:pPr>
            <w:r>
              <w:rPr>
                <w:rFonts w:hint="eastAsia"/>
              </w:rPr>
              <w:t>基础置于稍密或中密～密实漂卵砾石夹砂层上，堤脚埋深拟定为2.5～3.0m，地基承载力不小于100KPa。</w:t>
            </w:r>
          </w:p>
          <w:p w14:paraId="4C0B3197">
            <w:pPr>
              <w:pStyle w:val="106"/>
            </w:pPr>
            <w:r>
              <w:rPr>
                <w:rFonts w:hint="eastAsia"/>
              </w:rPr>
              <w:t>5、施工导流</w:t>
            </w:r>
          </w:p>
          <w:p w14:paraId="647A58ED">
            <w:pPr>
              <w:spacing w:line="360" w:lineRule="auto"/>
              <w:ind w:firstLine="480" w:firstLineChars="200"/>
            </w:pPr>
            <w:r>
              <w:rPr>
                <w:rFonts w:hint="eastAsia"/>
              </w:rPr>
              <w:t>（1）导流标准</w:t>
            </w:r>
          </w:p>
          <w:p w14:paraId="44B26B97">
            <w:pPr>
              <w:spacing w:line="360" w:lineRule="auto"/>
              <w:ind w:firstLine="480" w:firstLineChars="200"/>
            </w:pPr>
            <w:r>
              <w:rPr>
                <w:rFonts w:hint="eastAsia"/>
              </w:rPr>
              <w:t>根据《防洪标准》（GB50201—2014）、《水利水电工程等级划分及洪水标准》（SL252—2017）、《堤防工程设计规范》（GB50286－2013），本工程规模为Ⅳ等工程，相应次要建筑物及临时建筑物均按5级设计。</w:t>
            </w:r>
          </w:p>
          <w:p w14:paraId="0BD6647D">
            <w:pPr>
              <w:spacing w:line="360" w:lineRule="auto"/>
              <w:ind w:firstLine="480" w:firstLineChars="200"/>
            </w:pPr>
            <w:r>
              <w:rPr>
                <w:rFonts w:hint="eastAsia"/>
              </w:rPr>
              <w:t>根据《水利水电工程施工组织设计规范》（SL303-2017）规定，以及导流建筑物所保护的水工建筑物级别、导流建筑物使用年限、围堰工程规模，确定导流建筑物级别为5级。导流建筑物结构类型为土石类，相应设计洪水重现期为10～5年一遇。本阶段围堰拟采用重现期为5年一遇洪水作为导流建筑物设计标准。</w:t>
            </w:r>
          </w:p>
          <w:p w14:paraId="3AD9C0B7">
            <w:pPr>
              <w:pStyle w:val="118"/>
              <w:spacing w:after="0" w:line="360" w:lineRule="auto"/>
              <w:ind w:left="0" w:leftChars="0" w:firstLine="480"/>
            </w:pPr>
            <w:r>
              <w:rPr>
                <w:rFonts w:hint="eastAsia"/>
              </w:rPr>
              <w:t>（2）导流时段</w:t>
            </w:r>
          </w:p>
          <w:p w14:paraId="4EC2F3E3">
            <w:pPr>
              <w:pStyle w:val="118"/>
              <w:spacing w:after="0" w:line="360" w:lineRule="auto"/>
              <w:ind w:left="0" w:leftChars="0" w:firstLine="480"/>
            </w:pPr>
            <w:r>
              <w:rPr>
                <w:rFonts w:hint="eastAsia"/>
              </w:rPr>
              <w:t>根据海螺沟河流水文特性，工程流域4、5月为汛前过渡期，6～9月为主汛期，10、11月为汛后过渡期。根据泸定县气候特征，工区所在位置属于大陆性季风高原型气候，全年冬长夏短，四季分明，同时根据业主对本工程的工期安排，施工工期安排在9月至1月，因此，本工程选择导流时段为9～1月，相应导流流量按5年一遇进行计算，导流流量为16.6m³/s。</w:t>
            </w:r>
          </w:p>
          <w:p w14:paraId="28132947">
            <w:pPr>
              <w:pStyle w:val="118"/>
              <w:spacing w:after="0" w:line="360" w:lineRule="auto"/>
              <w:ind w:left="0" w:leftChars="0" w:firstLine="480"/>
            </w:pPr>
            <w:r>
              <w:rPr>
                <w:rFonts w:hint="eastAsia"/>
              </w:rPr>
              <w:t>（3）导流建筑设计</w:t>
            </w:r>
          </w:p>
          <w:p w14:paraId="02234C28">
            <w:pPr>
              <w:pStyle w:val="118"/>
              <w:spacing w:after="0" w:line="360" w:lineRule="auto"/>
              <w:ind w:left="0" w:leftChars="0" w:firstLine="480"/>
            </w:pPr>
            <w:r>
              <w:rPr>
                <w:rFonts w:hint="eastAsia"/>
              </w:rPr>
              <w:t>施工导流采用土石围堰导流，施工期采取分段纵向围堰进行导流，同时辅以基坑经常性排水。根据水力计算及施工期洪水水面线，施工导流方式采用束窄河床，分段施工导流，沿河道修建纵向围堰，保证河道干地施工。</w:t>
            </w:r>
          </w:p>
          <w:p w14:paraId="1F2D5953">
            <w:pPr>
              <w:pStyle w:val="118"/>
              <w:spacing w:after="0" w:line="360" w:lineRule="auto"/>
              <w:ind w:left="0" w:leftChars="0" w:firstLine="480"/>
            </w:pPr>
            <w:r>
              <w:rPr>
                <w:rFonts w:hint="eastAsia"/>
              </w:rPr>
              <w:t>堤防基础开挖前先填筑好围堰，待主体工程水下部分完工后，即可拆除，拆除料部分用于堤脚砂卵石回填外，其余部分堆放至临时堆场。</w:t>
            </w:r>
          </w:p>
          <w:p w14:paraId="29C880E0">
            <w:pPr>
              <w:pStyle w:val="118"/>
              <w:spacing w:after="0" w:line="360" w:lineRule="auto"/>
              <w:ind w:left="0" w:leftChars="0" w:firstLine="480"/>
            </w:pPr>
            <w:r>
              <w:rPr>
                <w:rFonts w:hint="eastAsia"/>
              </w:rPr>
              <w:t>根据《水利水电工程施工组织设计规范》（SL303—2017）的规定，本工程导流建筑物级别为5级。本着就地取材，充分利用基础开挖料和便于施工等目的，受洪水影响的防洪堤在堤脚开挖线外1m修筑土石围堰进行封堵挡水。</w:t>
            </w:r>
          </w:p>
          <w:p w14:paraId="0C04D2F1">
            <w:pPr>
              <w:pStyle w:val="118"/>
              <w:spacing w:after="0" w:line="360" w:lineRule="auto"/>
              <w:ind w:left="0" w:leftChars="0" w:firstLine="480"/>
            </w:pPr>
            <w:r>
              <w:rPr>
                <w:rFonts w:hint="eastAsia"/>
              </w:rPr>
              <w:t>根据分期洪水，河道束窄后，经水力计算，海螺沟相应河段最大水深为0.8～1.0m，根据《水利水电工程围堰设计规范》（SL645-2013）围堰级别为5级的土石围堰安全加高下限值为0.5m。因此，本工程围堰设计高度取2.5m。</w:t>
            </w:r>
          </w:p>
          <w:p w14:paraId="301D188E">
            <w:pPr>
              <w:pStyle w:val="118"/>
              <w:spacing w:after="0" w:line="360" w:lineRule="auto"/>
              <w:ind w:left="0" w:leftChars="0" w:firstLine="480"/>
            </w:pPr>
            <w:r>
              <w:rPr>
                <w:rFonts w:hint="eastAsia"/>
              </w:rPr>
              <w:t>本工程临时施工围堰采用土石围堰，围堰主体采用堤防基础开挖料填筑，顶宽4.0m，迎水面及背水面坡比1:1，迎水面采用编织袋装土砌筑及复合土工膜防渗，复合土工膜为2布1膜，规格为300g/m²，背水面为砂卵石填筑坡面。施工围堰顶高程根据5年一遇洪水水面线确定，堤防超高取0.5m。</w:t>
            </w:r>
          </w:p>
          <w:p w14:paraId="6743D17B">
            <w:pPr>
              <w:pStyle w:val="106"/>
            </w:pPr>
            <w:r>
              <w:rPr>
                <w:rFonts w:hint="eastAsia"/>
              </w:rPr>
              <w:t>本工程临时施工围堰采用土石围堰，围堰主体采用堤防基础开挖料填筑，顶宽4.0m，迎水面及背水面坡比1:1，迎水面采用编织袋装土砌筑及复合土工膜防渗，复合土工膜为2布1膜，规格为300g/m²，背水面表层为编织袋装土砌筑坡面。施工单位应在开工前根据实际施工时段及施工安排，确定合理的导流时段及导流方式，根据监理审批后的施工组织设计执行。</w:t>
            </w:r>
          </w:p>
          <w:p w14:paraId="2FC849FB">
            <w:pPr>
              <w:pStyle w:val="106"/>
            </w:pPr>
            <w:r>
              <w:rPr>
                <w:rFonts w:hint="eastAsia"/>
              </w:rPr>
              <w:t>一期围堰总长673m，二期围堰总长212m。</w:t>
            </w:r>
          </w:p>
          <w:p w14:paraId="31CAE40C">
            <w:pPr>
              <w:jc w:val="center"/>
            </w:pPr>
            <w:r>
              <w:drawing>
                <wp:inline distT="0" distB="0" distL="114300" distR="114300">
                  <wp:extent cx="5403215" cy="2108200"/>
                  <wp:effectExtent l="0" t="0" r="6985" b="6350"/>
                  <wp:docPr id="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
                          <pic:cNvPicPr>
                            <a:picLocks noChangeAspect="1"/>
                          </pic:cNvPicPr>
                        </pic:nvPicPr>
                        <pic:blipFill>
                          <a:blip r:embed="rId24"/>
                          <a:stretch>
                            <a:fillRect/>
                          </a:stretch>
                        </pic:blipFill>
                        <pic:spPr>
                          <a:xfrm>
                            <a:off x="0" y="0"/>
                            <a:ext cx="5403215" cy="2108200"/>
                          </a:xfrm>
                          <a:prstGeom prst="rect">
                            <a:avLst/>
                          </a:prstGeom>
                          <a:noFill/>
                          <a:ln>
                            <a:noFill/>
                          </a:ln>
                        </pic:spPr>
                      </pic:pic>
                    </a:graphicData>
                  </a:graphic>
                </wp:inline>
              </w:drawing>
            </w:r>
          </w:p>
          <w:p w14:paraId="4F9B6D3C">
            <w:pPr>
              <w:pStyle w:val="7"/>
              <w:rPr>
                <w:rFonts w:cs="Times New Roman"/>
                <w:szCs w:val="21"/>
              </w:rPr>
            </w:pPr>
            <w:r>
              <w:rPr>
                <w:rFonts w:hint="eastAsia" w:cs="Times New Roman"/>
              </w:rPr>
              <w:t xml:space="preserve">图2- </w:t>
            </w:r>
            <w:r>
              <w:rPr>
                <w:rFonts w:cs="Times New Roman"/>
              </w:rPr>
              <w:fldChar w:fldCharType="begin"/>
            </w:r>
            <w:r>
              <w:rPr>
                <w:rFonts w:hint="eastAsia" w:cs="Times New Roman"/>
              </w:rPr>
              <w:instrText xml:space="preserve"> SEQ 图2- \* ARABIC </w:instrText>
            </w:r>
            <w:r>
              <w:rPr>
                <w:rFonts w:cs="Times New Roman"/>
              </w:rPr>
              <w:fldChar w:fldCharType="separate"/>
            </w:r>
            <w:r>
              <w:rPr>
                <w:rFonts w:hint="eastAsia" w:cs="Times New Roman"/>
              </w:rPr>
              <w:t>4</w:t>
            </w:r>
            <w:r>
              <w:rPr>
                <w:rFonts w:cs="Times New Roman"/>
              </w:rPr>
              <w:fldChar w:fldCharType="end"/>
            </w:r>
            <w:r>
              <w:rPr>
                <w:rFonts w:cs="Times New Roman"/>
              </w:rPr>
              <w:t xml:space="preserve">  </w:t>
            </w:r>
            <w:r>
              <w:rPr>
                <w:rFonts w:hint="eastAsia" w:cs="Times New Roman"/>
                <w:szCs w:val="21"/>
              </w:rPr>
              <w:t>土石围堰断面设计图</w:t>
            </w:r>
          </w:p>
          <w:p w14:paraId="18BA7E93">
            <w:pPr>
              <w:pStyle w:val="106"/>
            </w:pPr>
            <w:r>
              <w:rPr>
                <w:rFonts w:hint="eastAsia"/>
              </w:rPr>
              <w:t>（4）基坑排水</w:t>
            </w:r>
          </w:p>
          <w:p w14:paraId="459696D5">
            <w:pPr>
              <w:pStyle w:val="106"/>
              <w:rPr>
                <w:b/>
                <w:bCs/>
              </w:rPr>
            </w:pPr>
            <w:r>
              <w:rPr>
                <w:rFonts w:hint="eastAsia"/>
              </w:rPr>
              <w:t>围堰临水侧设一层土工膜进行防渗，但是基础仍为卵石层，属于强透水层，基坑排水主要为围堰基础渗水量。基坑排水包括初期排水和经常性排水，初期排水选用2台4.0kW污水泵。经常性排水包括基坑积水、渗透水、降雨及施工废水等，采用明沟排至沉沙池，再由水泵抽至围堰外侧排出，选用3台4kW潜污泵同时进行抽水，同时备用2台，潜污泵型号80QW-40-15-4.0，单台抽水能力为40m³/h。</w:t>
            </w:r>
          </w:p>
          <w:p w14:paraId="3D254385">
            <w:pPr>
              <w:pStyle w:val="106"/>
              <w:ind w:firstLine="482"/>
              <w:rPr>
                <w:b/>
                <w:bCs/>
              </w:rPr>
            </w:pPr>
            <w:r>
              <w:rPr>
                <w:rFonts w:hint="eastAsia"/>
                <w:b/>
                <w:bCs/>
              </w:rPr>
              <w:t>三、工程占地</w:t>
            </w:r>
          </w:p>
          <w:p w14:paraId="599C0C7F">
            <w:pPr>
              <w:pStyle w:val="106"/>
              <w:rPr>
                <w:lang w:val="zh-CN"/>
              </w:rPr>
            </w:pPr>
            <w:r>
              <w:rPr>
                <w:rFonts w:hint="eastAsia"/>
                <w:lang w:val="zh-CN"/>
              </w:rPr>
              <w:t>本方案工程占地面积根据《泸定县海螺沟山洪沟（共和村、柏秧坪村段）治理工程初步设计》确定，主体设计中考虑了新建护脚堤防永久占地，以及施工作业带、施工场地等临时占地。</w:t>
            </w:r>
          </w:p>
          <w:p w14:paraId="52985368">
            <w:pPr>
              <w:pStyle w:val="106"/>
              <w:rPr>
                <w:lang w:val="zh-CN"/>
              </w:rPr>
            </w:pPr>
            <w:r>
              <w:rPr>
                <w:rFonts w:hint="eastAsia"/>
                <w:lang w:val="zh-CN"/>
              </w:rPr>
              <w:t>根据项目初步设计资料结合项目施工布置情况，确定本项目共占用土地面积1.11hm²，其中永久占地0.31hm²、临时占地0.80hm²，占地类型包括水域及水利设施用地、商服用地，占地区属泸定县磨西镇管辖。</w:t>
            </w:r>
          </w:p>
          <w:p w14:paraId="38C48C81">
            <w:pPr>
              <w:pStyle w:val="106"/>
            </w:pPr>
            <w:r>
              <w:rPr>
                <w:rFonts w:hint="eastAsia"/>
                <w:lang w:val="zh-CN"/>
              </w:rPr>
              <w:t>本项目</w:t>
            </w:r>
            <w:r>
              <w:rPr>
                <w:rFonts w:hint="eastAsia"/>
              </w:rPr>
              <w:t>施工场地</w:t>
            </w:r>
            <w:r>
              <w:rPr>
                <w:rFonts w:hint="eastAsia"/>
                <w:lang w:val="zh-CN"/>
              </w:rPr>
              <w:t>占用的商服用地主要为左岸施工扰动的海螺沟贡嘎神汤温泉酒店占地，由于海螺沟贡嘎神汤温泉酒店受损被泥石流淹没，</w:t>
            </w:r>
            <w:r>
              <w:rPr>
                <w:rFonts w:hint="eastAsia"/>
              </w:rPr>
              <w:t>项目需进行</w:t>
            </w:r>
            <w:r>
              <w:rPr>
                <w:rFonts w:hint="eastAsia"/>
                <w:lang w:val="zh-CN"/>
              </w:rPr>
              <w:t>重建，计划于2025年1月至2027年10月建设，海螺沟贡嘎神汤温泉酒店灾后恢复提升工程业主为本项目建设单位子公司，为避免新增临时占地，因此本项目施工期间施工场地布置在该项目场地内，本项目</w:t>
            </w:r>
            <w:r>
              <w:rPr>
                <w:rFonts w:hint="eastAsia"/>
              </w:rPr>
              <w:t>已于</w:t>
            </w:r>
            <w:r>
              <w:rPr>
                <w:rFonts w:hint="eastAsia"/>
                <w:lang w:val="zh-CN"/>
              </w:rPr>
              <w:t>2025年12月完工，本项目施工结束后</w:t>
            </w:r>
            <w:r>
              <w:rPr>
                <w:rFonts w:hint="eastAsia"/>
              </w:rPr>
              <w:t>施工场地由</w:t>
            </w:r>
            <w:r>
              <w:rPr>
                <w:rFonts w:hint="eastAsia"/>
                <w:lang w:val="zh-CN"/>
              </w:rPr>
              <w:t>海螺沟贡嘎神汤温泉酒店灾后恢复提升工程</w:t>
            </w:r>
            <w:r>
              <w:rPr>
                <w:rFonts w:hint="eastAsia"/>
              </w:rPr>
              <w:t>继续使用，</w:t>
            </w:r>
            <w:r>
              <w:rPr>
                <w:rFonts w:hint="eastAsia"/>
                <w:b/>
                <w:bCs/>
              </w:rPr>
              <w:t>施工场地的</w:t>
            </w:r>
            <w:r>
              <w:rPr>
                <w:rFonts w:hint="eastAsia"/>
                <w:b/>
                <w:bCs/>
                <w:lang w:val="zh-CN"/>
              </w:rPr>
              <w:t>拆除</w:t>
            </w:r>
            <w:r>
              <w:rPr>
                <w:rFonts w:hint="eastAsia"/>
                <w:b/>
                <w:bCs/>
              </w:rPr>
              <w:t>及占地恢复</w:t>
            </w:r>
            <w:r>
              <w:rPr>
                <w:rFonts w:hint="eastAsia"/>
                <w:b/>
                <w:bCs/>
                <w:lang w:val="zh-CN"/>
              </w:rPr>
              <w:t>由海螺沟贡嘎神汤温泉酒店灾后恢复提升工程进行，本方案不再对其进行</w:t>
            </w:r>
            <w:r>
              <w:rPr>
                <w:rFonts w:hint="eastAsia"/>
                <w:b/>
                <w:bCs/>
              </w:rPr>
              <w:t>占地</w:t>
            </w:r>
            <w:r>
              <w:rPr>
                <w:rFonts w:hint="eastAsia"/>
                <w:b/>
                <w:bCs/>
                <w:lang w:val="zh-CN"/>
              </w:rPr>
              <w:t>恢复。</w:t>
            </w:r>
          </w:p>
          <w:p w14:paraId="674F14E4">
            <w:pPr>
              <w:pStyle w:val="7"/>
              <w:rPr>
                <w:rFonts w:cs="Times New Roman"/>
              </w:rPr>
            </w:pPr>
            <w:r>
              <w:rPr>
                <w:rFonts w:hint="eastAsia" w:cs="Times New Roman"/>
              </w:rPr>
              <w:t xml:space="preserve">表2- </w:t>
            </w:r>
            <w:r>
              <w:rPr>
                <w:rFonts w:cs="Times New Roman"/>
              </w:rPr>
              <w:fldChar w:fldCharType="begin"/>
            </w:r>
            <w:r>
              <w:rPr>
                <w:rFonts w:hint="eastAsia" w:cs="Times New Roman"/>
              </w:rPr>
              <w:instrText xml:space="preserve"> SEQ 表2- \* ARABIC </w:instrText>
            </w:r>
            <w:r>
              <w:rPr>
                <w:rFonts w:cs="Times New Roman"/>
              </w:rPr>
              <w:fldChar w:fldCharType="separate"/>
            </w:r>
            <w:r>
              <w:rPr>
                <w:rFonts w:cs="Times New Roman"/>
              </w:rPr>
              <w:t>3</w:t>
            </w:r>
            <w:r>
              <w:rPr>
                <w:rFonts w:cs="Times New Roman"/>
              </w:rPr>
              <w:fldChar w:fldCharType="end"/>
            </w:r>
            <w:r>
              <w:rPr>
                <w:rFonts w:hint="eastAsia" w:cs="Times New Roman"/>
              </w:rPr>
              <w:t xml:space="preserve">  工程占地概况表  单位：hm²</w:t>
            </w:r>
          </w:p>
          <w:tbl>
            <w:tblPr>
              <w:tblStyle w:val="2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239"/>
              <w:gridCol w:w="2389"/>
              <w:gridCol w:w="1008"/>
              <w:gridCol w:w="1274"/>
              <w:gridCol w:w="2068"/>
            </w:tblGrid>
            <w:tr w14:paraId="7E1098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29" w:type="pct"/>
                  <w:vMerge w:val="restart"/>
                  <w:tcBorders>
                    <w:tl2br w:val="nil"/>
                    <w:tr2bl w:val="nil"/>
                  </w:tcBorders>
                  <w:vAlign w:val="center"/>
                </w:tcPr>
                <w:p w14:paraId="5FE15B79">
                  <w:pPr>
                    <w:pStyle w:val="59"/>
                    <w:rPr>
                      <w:rFonts w:cs="Times New Roman"/>
                      <w:b/>
                      <w:bCs/>
                    </w:rPr>
                  </w:pPr>
                  <w:r>
                    <w:rPr>
                      <w:rFonts w:hint="eastAsia" w:cs="Times New Roman"/>
                      <w:b/>
                      <w:bCs/>
                    </w:rPr>
                    <w:t>项目名称</w:t>
                  </w:r>
                </w:p>
              </w:tc>
              <w:tc>
                <w:tcPr>
                  <w:tcW w:w="1987" w:type="pct"/>
                  <w:gridSpan w:val="2"/>
                  <w:tcBorders>
                    <w:tl2br w:val="nil"/>
                    <w:tr2bl w:val="nil"/>
                  </w:tcBorders>
                  <w:vAlign w:val="center"/>
                </w:tcPr>
                <w:p w14:paraId="637F1955">
                  <w:pPr>
                    <w:pStyle w:val="59"/>
                    <w:rPr>
                      <w:rFonts w:cs="Times New Roman"/>
                      <w:b/>
                      <w:bCs/>
                    </w:rPr>
                  </w:pPr>
                  <w:r>
                    <w:rPr>
                      <w:rFonts w:hint="eastAsia" w:cs="Times New Roman"/>
                      <w:b/>
                      <w:bCs/>
                    </w:rPr>
                    <w:t>占地性质</w:t>
                  </w:r>
                </w:p>
              </w:tc>
              <w:tc>
                <w:tcPr>
                  <w:tcW w:w="552" w:type="pct"/>
                  <w:vMerge w:val="restart"/>
                  <w:tcBorders>
                    <w:tl2br w:val="nil"/>
                    <w:tr2bl w:val="nil"/>
                  </w:tcBorders>
                  <w:vAlign w:val="center"/>
                </w:tcPr>
                <w:p w14:paraId="1DFBACB2">
                  <w:pPr>
                    <w:pStyle w:val="59"/>
                    <w:rPr>
                      <w:rFonts w:cs="Times New Roman"/>
                      <w:b/>
                      <w:bCs/>
                    </w:rPr>
                  </w:pPr>
                  <w:r>
                    <w:rPr>
                      <w:rFonts w:hint="eastAsia" w:cs="Times New Roman"/>
                      <w:b/>
                      <w:bCs/>
                    </w:rPr>
                    <w:t>合计</w:t>
                  </w:r>
                </w:p>
              </w:tc>
              <w:tc>
                <w:tcPr>
                  <w:tcW w:w="1831" w:type="pct"/>
                  <w:gridSpan w:val="2"/>
                  <w:tcBorders>
                    <w:tl2br w:val="nil"/>
                    <w:tr2bl w:val="nil"/>
                  </w:tcBorders>
                  <w:vAlign w:val="center"/>
                </w:tcPr>
                <w:p w14:paraId="5B1CE1D5">
                  <w:pPr>
                    <w:pStyle w:val="59"/>
                    <w:rPr>
                      <w:rFonts w:cs="Times New Roman"/>
                      <w:b/>
                      <w:bCs/>
                    </w:rPr>
                  </w:pPr>
                  <w:r>
                    <w:rPr>
                      <w:rFonts w:hint="eastAsia" w:cs="Times New Roman"/>
                      <w:b/>
                      <w:bCs/>
                    </w:rPr>
                    <w:t>占地性质</w:t>
                  </w:r>
                </w:p>
              </w:tc>
            </w:tr>
            <w:tr w14:paraId="7D6E12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29" w:type="pct"/>
                  <w:vMerge w:val="continue"/>
                  <w:tcBorders>
                    <w:tl2br w:val="nil"/>
                    <w:tr2bl w:val="nil"/>
                  </w:tcBorders>
                  <w:vAlign w:val="center"/>
                </w:tcPr>
                <w:p w14:paraId="5DC768D4">
                  <w:pPr>
                    <w:pStyle w:val="59"/>
                    <w:rPr>
                      <w:rFonts w:cs="Times New Roman"/>
                      <w:b/>
                      <w:bCs/>
                    </w:rPr>
                  </w:pPr>
                </w:p>
              </w:tc>
              <w:tc>
                <w:tcPr>
                  <w:tcW w:w="678" w:type="pct"/>
                  <w:tcBorders>
                    <w:tl2br w:val="nil"/>
                    <w:tr2bl w:val="nil"/>
                  </w:tcBorders>
                  <w:vAlign w:val="center"/>
                </w:tcPr>
                <w:p w14:paraId="460D77CA">
                  <w:pPr>
                    <w:pStyle w:val="59"/>
                    <w:rPr>
                      <w:rFonts w:cs="Times New Roman"/>
                      <w:b/>
                      <w:bCs/>
                    </w:rPr>
                  </w:pPr>
                  <w:r>
                    <w:rPr>
                      <w:rFonts w:hint="eastAsia" w:cs="Times New Roman"/>
                      <w:b/>
                      <w:bCs/>
                    </w:rPr>
                    <w:t>商服用地</w:t>
                  </w:r>
                </w:p>
              </w:tc>
              <w:tc>
                <w:tcPr>
                  <w:tcW w:w="1308" w:type="pct"/>
                  <w:tcBorders>
                    <w:tl2br w:val="nil"/>
                    <w:tr2bl w:val="nil"/>
                  </w:tcBorders>
                  <w:vAlign w:val="center"/>
                </w:tcPr>
                <w:p w14:paraId="0DB95402">
                  <w:pPr>
                    <w:pStyle w:val="59"/>
                    <w:rPr>
                      <w:rFonts w:cs="Times New Roman"/>
                      <w:b/>
                      <w:bCs/>
                    </w:rPr>
                  </w:pPr>
                  <w:r>
                    <w:rPr>
                      <w:rFonts w:hint="eastAsia" w:cs="Times New Roman"/>
                      <w:b/>
                      <w:bCs/>
                    </w:rPr>
                    <w:t>水域及水利设施用地</w:t>
                  </w:r>
                </w:p>
              </w:tc>
              <w:tc>
                <w:tcPr>
                  <w:tcW w:w="552" w:type="pct"/>
                  <w:vMerge w:val="continue"/>
                  <w:tcBorders>
                    <w:tl2br w:val="nil"/>
                    <w:tr2bl w:val="nil"/>
                  </w:tcBorders>
                  <w:vAlign w:val="center"/>
                </w:tcPr>
                <w:p w14:paraId="19D8791E">
                  <w:pPr>
                    <w:pStyle w:val="59"/>
                    <w:rPr>
                      <w:rFonts w:cs="Times New Roman"/>
                      <w:b/>
                      <w:bCs/>
                    </w:rPr>
                  </w:pPr>
                </w:p>
              </w:tc>
              <w:tc>
                <w:tcPr>
                  <w:tcW w:w="698" w:type="pct"/>
                  <w:tcBorders>
                    <w:tl2br w:val="nil"/>
                    <w:tr2bl w:val="nil"/>
                  </w:tcBorders>
                  <w:vAlign w:val="center"/>
                </w:tcPr>
                <w:p w14:paraId="20AB23B4">
                  <w:pPr>
                    <w:pStyle w:val="59"/>
                    <w:rPr>
                      <w:rFonts w:cs="Times New Roman"/>
                      <w:b/>
                      <w:bCs/>
                    </w:rPr>
                  </w:pPr>
                  <w:r>
                    <w:rPr>
                      <w:rFonts w:hint="eastAsia" w:cs="Times New Roman"/>
                      <w:b/>
                      <w:bCs/>
                    </w:rPr>
                    <w:t>永久占地</w:t>
                  </w:r>
                </w:p>
              </w:tc>
              <w:tc>
                <w:tcPr>
                  <w:tcW w:w="1133" w:type="pct"/>
                  <w:tcBorders>
                    <w:tl2br w:val="nil"/>
                    <w:tr2bl w:val="nil"/>
                  </w:tcBorders>
                  <w:vAlign w:val="center"/>
                </w:tcPr>
                <w:p w14:paraId="608585E2">
                  <w:pPr>
                    <w:pStyle w:val="59"/>
                    <w:rPr>
                      <w:rFonts w:cs="Times New Roman"/>
                      <w:b/>
                      <w:bCs/>
                    </w:rPr>
                  </w:pPr>
                  <w:r>
                    <w:rPr>
                      <w:rFonts w:hint="eastAsia" w:cs="Times New Roman"/>
                      <w:b/>
                      <w:bCs/>
                    </w:rPr>
                    <w:t>临时占地</w:t>
                  </w:r>
                </w:p>
              </w:tc>
            </w:tr>
            <w:tr w14:paraId="33865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29" w:type="pct"/>
                  <w:tcBorders>
                    <w:tl2br w:val="nil"/>
                    <w:tr2bl w:val="nil"/>
                  </w:tcBorders>
                  <w:vAlign w:val="center"/>
                </w:tcPr>
                <w:p w14:paraId="02CCA68B">
                  <w:pPr>
                    <w:pStyle w:val="59"/>
                    <w:rPr>
                      <w:rFonts w:cs="Times New Roman"/>
                    </w:rPr>
                  </w:pPr>
                  <w:r>
                    <w:rPr>
                      <w:rFonts w:hint="eastAsia" w:cs="Times New Roman"/>
                    </w:rPr>
                    <w:t>主体工程</w:t>
                  </w:r>
                </w:p>
              </w:tc>
              <w:tc>
                <w:tcPr>
                  <w:tcW w:w="678" w:type="pct"/>
                  <w:tcBorders>
                    <w:tl2br w:val="nil"/>
                    <w:tr2bl w:val="nil"/>
                  </w:tcBorders>
                  <w:vAlign w:val="center"/>
                </w:tcPr>
                <w:p w14:paraId="001DDB12">
                  <w:pPr>
                    <w:pStyle w:val="59"/>
                    <w:rPr>
                      <w:rFonts w:cs="Times New Roman"/>
                    </w:rPr>
                  </w:pPr>
                  <w:r>
                    <w:rPr>
                      <w:rFonts w:cs="Times New Roman"/>
                    </w:rPr>
                    <w:t>/</w:t>
                  </w:r>
                </w:p>
              </w:tc>
              <w:tc>
                <w:tcPr>
                  <w:tcW w:w="1308" w:type="pct"/>
                  <w:tcBorders>
                    <w:tl2br w:val="nil"/>
                    <w:tr2bl w:val="nil"/>
                  </w:tcBorders>
                  <w:vAlign w:val="center"/>
                </w:tcPr>
                <w:p w14:paraId="1469FA57">
                  <w:pPr>
                    <w:pStyle w:val="59"/>
                    <w:rPr>
                      <w:rFonts w:cs="Times New Roman"/>
                    </w:rPr>
                  </w:pPr>
                  <w:r>
                    <w:rPr>
                      <w:rFonts w:cs="Times New Roman"/>
                    </w:rPr>
                    <w:t>1.01</w:t>
                  </w:r>
                </w:p>
              </w:tc>
              <w:tc>
                <w:tcPr>
                  <w:tcW w:w="552" w:type="pct"/>
                  <w:tcBorders>
                    <w:tl2br w:val="nil"/>
                    <w:tr2bl w:val="nil"/>
                  </w:tcBorders>
                  <w:vAlign w:val="center"/>
                </w:tcPr>
                <w:p w14:paraId="40B599F1">
                  <w:pPr>
                    <w:pStyle w:val="59"/>
                    <w:rPr>
                      <w:rFonts w:cs="Times New Roman"/>
                    </w:rPr>
                  </w:pPr>
                  <w:r>
                    <w:rPr>
                      <w:rFonts w:cs="Times New Roman"/>
                    </w:rPr>
                    <w:t>1.01</w:t>
                  </w:r>
                </w:p>
              </w:tc>
              <w:tc>
                <w:tcPr>
                  <w:tcW w:w="698" w:type="pct"/>
                  <w:tcBorders>
                    <w:tl2br w:val="nil"/>
                    <w:tr2bl w:val="nil"/>
                  </w:tcBorders>
                  <w:vAlign w:val="center"/>
                </w:tcPr>
                <w:p w14:paraId="11DF80EE">
                  <w:pPr>
                    <w:pStyle w:val="59"/>
                    <w:rPr>
                      <w:rFonts w:cs="Times New Roman"/>
                    </w:rPr>
                  </w:pPr>
                  <w:r>
                    <w:rPr>
                      <w:rFonts w:cs="Times New Roman"/>
                    </w:rPr>
                    <w:t>0.31</w:t>
                  </w:r>
                </w:p>
              </w:tc>
              <w:tc>
                <w:tcPr>
                  <w:tcW w:w="1133" w:type="pct"/>
                  <w:tcBorders>
                    <w:tl2br w:val="nil"/>
                    <w:tr2bl w:val="nil"/>
                  </w:tcBorders>
                  <w:vAlign w:val="center"/>
                </w:tcPr>
                <w:p w14:paraId="4661DDC9">
                  <w:pPr>
                    <w:pStyle w:val="59"/>
                    <w:rPr>
                      <w:rFonts w:cs="Times New Roman"/>
                    </w:rPr>
                  </w:pPr>
                  <w:r>
                    <w:rPr>
                      <w:rFonts w:cs="Times New Roman"/>
                    </w:rPr>
                    <w:t>0.70</w:t>
                  </w:r>
                </w:p>
              </w:tc>
            </w:tr>
            <w:tr w14:paraId="4C900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29" w:type="pct"/>
                  <w:tcBorders>
                    <w:tl2br w:val="nil"/>
                    <w:tr2bl w:val="nil"/>
                  </w:tcBorders>
                  <w:vAlign w:val="center"/>
                </w:tcPr>
                <w:p w14:paraId="43092A88">
                  <w:pPr>
                    <w:pStyle w:val="59"/>
                    <w:rPr>
                      <w:rFonts w:cs="Times New Roman"/>
                    </w:rPr>
                  </w:pPr>
                  <w:r>
                    <w:rPr>
                      <w:rFonts w:hint="eastAsia" w:cs="Times New Roman"/>
                    </w:rPr>
                    <w:t>施工场地</w:t>
                  </w:r>
                </w:p>
              </w:tc>
              <w:tc>
                <w:tcPr>
                  <w:tcW w:w="678" w:type="pct"/>
                  <w:tcBorders>
                    <w:tl2br w:val="nil"/>
                    <w:tr2bl w:val="nil"/>
                  </w:tcBorders>
                  <w:vAlign w:val="center"/>
                </w:tcPr>
                <w:p w14:paraId="51B170E2">
                  <w:pPr>
                    <w:pStyle w:val="59"/>
                    <w:rPr>
                      <w:rFonts w:cs="Times New Roman"/>
                    </w:rPr>
                  </w:pPr>
                  <w:r>
                    <w:rPr>
                      <w:rFonts w:cs="Times New Roman"/>
                    </w:rPr>
                    <w:t>0.10</w:t>
                  </w:r>
                </w:p>
              </w:tc>
              <w:tc>
                <w:tcPr>
                  <w:tcW w:w="1308" w:type="pct"/>
                  <w:tcBorders>
                    <w:tl2br w:val="nil"/>
                    <w:tr2bl w:val="nil"/>
                  </w:tcBorders>
                  <w:vAlign w:val="center"/>
                </w:tcPr>
                <w:p w14:paraId="1F4460E6">
                  <w:pPr>
                    <w:pStyle w:val="59"/>
                    <w:rPr>
                      <w:rFonts w:cs="Times New Roman"/>
                    </w:rPr>
                  </w:pPr>
                  <w:r>
                    <w:rPr>
                      <w:rFonts w:cs="Times New Roman"/>
                    </w:rPr>
                    <w:t>/</w:t>
                  </w:r>
                </w:p>
              </w:tc>
              <w:tc>
                <w:tcPr>
                  <w:tcW w:w="552" w:type="pct"/>
                  <w:tcBorders>
                    <w:tl2br w:val="nil"/>
                    <w:tr2bl w:val="nil"/>
                  </w:tcBorders>
                  <w:vAlign w:val="center"/>
                </w:tcPr>
                <w:p w14:paraId="1D462662">
                  <w:pPr>
                    <w:pStyle w:val="59"/>
                    <w:rPr>
                      <w:rFonts w:cs="Times New Roman"/>
                    </w:rPr>
                  </w:pPr>
                  <w:r>
                    <w:rPr>
                      <w:rFonts w:cs="Times New Roman"/>
                    </w:rPr>
                    <w:t>0.10</w:t>
                  </w:r>
                </w:p>
              </w:tc>
              <w:tc>
                <w:tcPr>
                  <w:tcW w:w="698" w:type="pct"/>
                  <w:tcBorders>
                    <w:tl2br w:val="nil"/>
                    <w:tr2bl w:val="nil"/>
                  </w:tcBorders>
                  <w:vAlign w:val="center"/>
                </w:tcPr>
                <w:p w14:paraId="273B3460">
                  <w:pPr>
                    <w:pStyle w:val="59"/>
                    <w:rPr>
                      <w:rFonts w:cs="Times New Roman"/>
                    </w:rPr>
                  </w:pPr>
                  <w:r>
                    <w:rPr>
                      <w:rFonts w:cs="Times New Roman"/>
                    </w:rPr>
                    <w:t>/</w:t>
                  </w:r>
                </w:p>
              </w:tc>
              <w:tc>
                <w:tcPr>
                  <w:tcW w:w="1133" w:type="pct"/>
                  <w:tcBorders>
                    <w:tl2br w:val="nil"/>
                    <w:tr2bl w:val="nil"/>
                  </w:tcBorders>
                  <w:vAlign w:val="center"/>
                </w:tcPr>
                <w:p w14:paraId="25551840">
                  <w:pPr>
                    <w:pStyle w:val="59"/>
                    <w:rPr>
                      <w:rFonts w:cs="Times New Roman"/>
                    </w:rPr>
                  </w:pPr>
                  <w:r>
                    <w:rPr>
                      <w:rFonts w:cs="Times New Roman"/>
                    </w:rPr>
                    <w:t>0.10</w:t>
                  </w:r>
                </w:p>
              </w:tc>
            </w:tr>
            <w:tr w14:paraId="03CC50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29" w:type="pct"/>
                  <w:tcBorders>
                    <w:tl2br w:val="nil"/>
                    <w:tr2bl w:val="nil"/>
                  </w:tcBorders>
                  <w:vAlign w:val="center"/>
                </w:tcPr>
                <w:p w14:paraId="4D4699E9">
                  <w:pPr>
                    <w:pStyle w:val="59"/>
                    <w:rPr>
                      <w:rFonts w:cs="Times New Roman"/>
                    </w:rPr>
                  </w:pPr>
                  <w:r>
                    <w:rPr>
                      <w:rFonts w:hint="eastAsia" w:cs="Times New Roman"/>
                    </w:rPr>
                    <w:t>合计</w:t>
                  </w:r>
                </w:p>
              </w:tc>
              <w:tc>
                <w:tcPr>
                  <w:tcW w:w="678" w:type="pct"/>
                  <w:tcBorders>
                    <w:tl2br w:val="nil"/>
                    <w:tr2bl w:val="nil"/>
                  </w:tcBorders>
                  <w:vAlign w:val="center"/>
                </w:tcPr>
                <w:p w14:paraId="288B7043">
                  <w:pPr>
                    <w:pStyle w:val="59"/>
                    <w:rPr>
                      <w:rFonts w:cs="Times New Roman"/>
                    </w:rPr>
                  </w:pPr>
                  <w:r>
                    <w:rPr>
                      <w:rFonts w:cs="Times New Roman"/>
                    </w:rPr>
                    <w:t>0.10</w:t>
                  </w:r>
                </w:p>
              </w:tc>
              <w:tc>
                <w:tcPr>
                  <w:tcW w:w="1308" w:type="pct"/>
                  <w:tcBorders>
                    <w:tl2br w:val="nil"/>
                    <w:tr2bl w:val="nil"/>
                  </w:tcBorders>
                  <w:vAlign w:val="center"/>
                </w:tcPr>
                <w:p w14:paraId="085E9468">
                  <w:pPr>
                    <w:pStyle w:val="59"/>
                    <w:rPr>
                      <w:rFonts w:cs="Times New Roman"/>
                    </w:rPr>
                  </w:pPr>
                  <w:r>
                    <w:rPr>
                      <w:rFonts w:cs="Times New Roman"/>
                    </w:rPr>
                    <w:t>1.01</w:t>
                  </w:r>
                </w:p>
              </w:tc>
              <w:tc>
                <w:tcPr>
                  <w:tcW w:w="552" w:type="pct"/>
                  <w:tcBorders>
                    <w:tl2br w:val="nil"/>
                    <w:tr2bl w:val="nil"/>
                  </w:tcBorders>
                  <w:vAlign w:val="center"/>
                </w:tcPr>
                <w:p w14:paraId="2F7019FF">
                  <w:pPr>
                    <w:pStyle w:val="59"/>
                    <w:rPr>
                      <w:rFonts w:cs="Times New Roman"/>
                    </w:rPr>
                  </w:pPr>
                  <w:r>
                    <w:rPr>
                      <w:rFonts w:cs="Times New Roman"/>
                    </w:rPr>
                    <w:t>1.11</w:t>
                  </w:r>
                </w:p>
              </w:tc>
              <w:tc>
                <w:tcPr>
                  <w:tcW w:w="698" w:type="pct"/>
                  <w:tcBorders>
                    <w:tl2br w:val="nil"/>
                    <w:tr2bl w:val="nil"/>
                  </w:tcBorders>
                  <w:vAlign w:val="center"/>
                </w:tcPr>
                <w:p w14:paraId="7AA218A9">
                  <w:pPr>
                    <w:pStyle w:val="59"/>
                    <w:rPr>
                      <w:rFonts w:cs="Times New Roman"/>
                    </w:rPr>
                  </w:pPr>
                  <w:r>
                    <w:rPr>
                      <w:rFonts w:cs="Times New Roman"/>
                    </w:rPr>
                    <w:t>0.31</w:t>
                  </w:r>
                </w:p>
              </w:tc>
              <w:tc>
                <w:tcPr>
                  <w:tcW w:w="1133" w:type="pct"/>
                  <w:tcBorders>
                    <w:tl2br w:val="nil"/>
                    <w:tr2bl w:val="nil"/>
                  </w:tcBorders>
                  <w:vAlign w:val="center"/>
                </w:tcPr>
                <w:p w14:paraId="3799011C">
                  <w:pPr>
                    <w:pStyle w:val="59"/>
                    <w:rPr>
                      <w:rFonts w:cs="Times New Roman"/>
                    </w:rPr>
                  </w:pPr>
                  <w:r>
                    <w:rPr>
                      <w:rFonts w:cs="Times New Roman"/>
                    </w:rPr>
                    <w:t>0.80</w:t>
                  </w:r>
                </w:p>
              </w:tc>
            </w:tr>
          </w:tbl>
          <w:p w14:paraId="5036942E">
            <w:pPr>
              <w:pStyle w:val="106"/>
              <w:ind w:firstLine="482"/>
              <w:rPr>
                <w:b/>
                <w:bCs/>
              </w:rPr>
            </w:pPr>
            <w:r>
              <w:rPr>
                <w:rFonts w:hint="eastAsia"/>
                <w:b/>
                <w:bCs/>
              </w:rPr>
              <w:t>四、土石方</w:t>
            </w:r>
          </w:p>
          <w:p w14:paraId="58DF8B17">
            <w:pPr>
              <w:spacing w:line="360" w:lineRule="auto"/>
              <w:ind w:firstLine="480" w:firstLineChars="200"/>
            </w:pPr>
            <w:r>
              <w:rPr>
                <w:rFonts w:hint="eastAsia"/>
              </w:rPr>
              <w:t>本项目土石方开挖总量2.32万m³（自然方，下同）；土石方回填总量2.32万m³；项目挖方全部回填，不产生弃方。</w:t>
            </w:r>
          </w:p>
          <w:p w14:paraId="12E7DE28">
            <w:pPr>
              <w:pStyle w:val="7"/>
              <w:rPr>
                <w:rFonts w:cs="Times New Roman"/>
              </w:rPr>
            </w:pPr>
            <w:r>
              <w:rPr>
                <w:rFonts w:hint="eastAsia" w:cs="Times New Roman"/>
              </w:rPr>
              <w:t xml:space="preserve">表2- </w:t>
            </w:r>
            <w:r>
              <w:rPr>
                <w:rFonts w:cs="Times New Roman"/>
              </w:rPr>
              <w:fldChar w:fldCharType="begin"/>
            </w:r>
            <w:r>
              <w:rPr>
                <w:rFonts w:hint="eastAsia" w:cs="Times New Roman"/>
              </w:rPr>
              <w:instrText xml:space="preserve"> SEQ 表2- \* ARABIC </w:instrText>
            </w:r>
            <w:r>
              <w:rPr>
                <w:rFonts w:cs="Times New Roman"/>
              </w:rPr>
              <w:fldChar w:fldCharType="separate"/>
            </w:r>
            <w:r>
              <w:rPr>
                <w:rFonts w:cs="Times New Roman"/>
              </w:rPr>
              <w:t>4</w:t>
            </w:r>
            <w:r>
              <w:rPr>
                <w:rFonts w:cs="Times New Roman"/>
              </w:rPr>
              <w:fldChar w:fldCharType="end"/>
            </w:r>
            <w:r>
              <w:rPr>
                <w:rFonts w:hint="eastAsia" w:cs="Times New Roman"/>
              </w:rPr>
              <w:t xml:space="preserve">  项目土石方平衡分析表  单位：万m³</w:t>
            </w:r>
          </w:p>
          <w:tbl>
            <w:tblPr>
              <w:tblStyle w:val="2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3"/>
              <w:gridCol w:w="715"/>
              <w:gridCol w:w="544"/>
              <w:gridCol w:w="453"/>
              <w:gridCol w:w="542"/>
              <w:gridCol w:w="456"/>
              <w:gridCol w:w="372"/>
              <w:gridCol w:w="456"/>
              <w:gridCol w:w="453"/>
              <w:gridCol w:w="544"/>
              <w:gridCol w:w="367"/>
              <w:gridCol w:w="820"/>
              <w:gridCol w:w="455"/>
              <w:gridCol w:w="705"/>
              <w:gridCol w:w="382"/>
              <w:gridCol w:w="376"/>
              <w:gridCol w:w="380"/>
              <w:gridCol w:w="376"/>
              <w:gridCol w:w="378"/>
            </w:tblGrid>
            <w:tr w14:paraId="2B7A99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84" w:type="pct"/>
                  <w:gridSpan w:val="2"/>
                  <w:vMerge w:val="restart"/>
                  <w:tcBorders>
                    <w:tl2br w:val="nil"/>
                    <w:tr2bl w:val="nil"/>
                  </w:tcBorders>
                  <w:vAlign w:val="center"/>
                </w:tcPr>
                <w:p w14:paraId="64424E1D">
                  <w:pPr>
                    <w:pStyle w:val="59"/>
                    <w:ind w:left="-120" w:leftChars="-50" w:right="-120" w:rightChars="-50"/>
                    <w:rPr>
                      <w:rFonts w:cs="Times New Roman"/>
                      <w:b/>
                      <w:bCs/>
                    </w:rPr>
                  </w:pPr>
                  <w:r>
                    <w:rPr>
                      <w:rFonts w:hint="eastAsia" w:cs="Times New Roman"/>
                      <w:b/>
                      <w:bCs/>
                    </w:rPr>
                    <w:t>项目名称</w:t>
                  </w:r>
                </w:p>
              </w:tc>
              <w:tc>
                <w:tcPr>
                  <w:tcW w:w="1093" w:type="pct"/>
                  <w:gridSpan w:val="4"/>
                  <w:tcBorders>
                    <w:tl2br w:val="nil"/>
                    <w:tr2bl w:val="nil"/>
                  </w:tcBorders>
                  <w:vAlign w:val="center"/>
                </w:tcPr>
                <w:p w14:paraId="5EBBA778">
                  <w:pPr>
                    <w:pStyle w:val="59"/>
                    <w:ind w:left="-120" w:leftChars="-50" w:right="-120" w:rightChars="-50"/>
                    <w:rPr>
                      <w:rFonts w:cs="Times New Roman"/>
                      <w:b/>
                      <w:bCs/>
                    </w:rPr>
                  </w:pPr>
                  <w:r>
                    <w:rPr>
                      <w:rFonts w:hint="eastAsia" w:cs="Times New Roman"/>
                      <w:b/>
                      <w:bCs/>
                    </w:rPr>
                    <w:t>挖方（万m³</w:t>
                  </w:r>
                  <w:r>
                    <w:rPr>
                      <w:rFonts w:hint="eastAsia" w:cs="Times New Roman"/>
                      <w:b/>
                      <w:bCs/>
                      <w:vertAlign w:val="superscript"/>
                    </w:rPr>
                    <w:t>）</w:t>
                  </w:r>
                </w:p>
              </w:tc>
              <w:tc>
                <w:tcPr>
                  <w:tcW w:w="1201" w:type="pct"/>
                  <w:gridSpan w:val="5"/>
                  <w:tcBorders>
                    <w:tl2br w:val="nil"/>
                    <w:tr2bl w:val="nil"/>
                  </w:tcBorders>
                  <w:vAlign w:val="center"/>
                </w:tcPr>
                <w:p w14:paraId="601486E0">
                  <w:pPr>
                    <w:pStyle w:val="59"/>
                    <w:ind w:left="-120" w:leftChars="-50" w:right="-120" w:rightChars="-50"/>
                    <w:rPr>
                      <w:rFonts w:cs="Times New Roman"/>
                      <w:b/>
                      <w:bCs/>
                    </w:rPr>
                  </w:pPr>
                  <w:r>
                    <w:rPr>
                      <w:rFonts w:hint="eastAsia" w:cs="Times New Roman"/>
                      <w:b/>
                      <w:bCs/>
                    </w:rPr>
                    <w:t>填方（万m³</w:t>
                  </w:r>
                  <w:r>
                    <w:rPr>
                      <w:rFonts w:hint="eastAsia" w:cs="Times New Roman"/>
                      <w:b/>
                      <w:bCs/>
                      <w:vertAlign w:val="superscript"/>
                    </w:rPr>
                    <w:t>）</w:t>
                  </w:r>
                </w:p>
              </w:tc>
              <w:tc>
                <w:tcPr>
                  <w:tcW w:w="698" w:type="pct"/>
                  <w:gridSpan w:val="2"/>
                  <w:tcBorders>
                    <w:tl2br w:val="nil"/>
                    <w:tr2bl w:val="nil"/>
                  </w:tcBorders>
                  <w:vAlign w:val="center"/>
                </w:tcPr>
                <w:p w14:paraId="0E8728E1">
                  <w:pPr>
                    <w:pStyle w:val="59"/>
                    <w:ind w:left="-120" w:leftChars="-50" w:right="-120" w:rightChars="-50"/>
                    <w:rPr>
                      <w:rFonts w:cs="Times New Roman"/>
                      <w:b/>
                      <w:bCs/>
                    </w:rPr>
                  </w:pPr>
                  <w:r>
                    <w:rPr>
                      <w:rFonts w:hint="eastAsia" w:cs="Times New Roman"/>
                      <w:b/>
                      <w:bCs/>
                    </w:rPr>
                    <w:t>调入方（万m³</w:t>
                  </w:r>
                  <w:r>
                    <w:rPr>
                      <w:rFonts w:hint="eastAsia" w:cs="Times New Roman"/>
                      <w:b/>
                      <w:bCs/>
                      <w:vertAlign w:val="superscript"/>
                    </w:rPr>
                    <w:t>）</w:t>
                  </w:r>
                </w:p>
              </w:tc>
              <w:tc>
                <w:tcPr>
                  <w:tcW w:w="595" w:type="pct"/>
                  <w:gridSpan w:val="2"/>
                  <w:tcBorders>
                    <w:tl2br w:val="nil"/>
                    <w:tr2bl w:val="nil"/>
                  </w:tcBorders>
                  <w:vAlign w:val="center"/>
                </w:tcPr>
                <w:p w14:paraId="7237E99F">
                  <w:pPr>
                    <w:pStyle w:val="59"/>
                    <w:ind w:left="-120" w:leftChars="-50" w:right="-120" w:rightChars="-50"/>
                    <w:rPr>
                      <w:rFonts w:cs="Times New Roman"/>
                      <w:b/>
                      <w:bCs/>
                    </w:rPr>
                  </w:pPr>
                  <w:r>
                    <w:rPr>
                      <w:rFonts w:hint="eastAsia" w:cs="Times New Roman"/>
                      <w:b/>
                      <w:bCs/>
                    </w:rPr>
                    <w:t>调出方（万m³</w:t>
                  </w:r>
                  <w:r>
                    <w:rPr>
                      <w:rFonts w:hint="eastAsia" w:cs="Times New Roman"/>
                      <w:b/>
                      <w:bCs/>
                      <w:vertAlign w:val="superscript"/>
                    </w:rPr>
                    <w:t>）</w:t>
                  </w:r>
                </w:p>
              </w:tc>
              <w:tc>
                <w:tcPr>
                  <w:tcW w:w="414" w:type="pct"/>
                  <w:gridSpan w:val="2"/>
                  <w:tcBorders>
                    <w:tl2br w:val="nil"/>
                    <w:tr2bl w:val="nil"/>
                  </w:tcBorders>
                  <w:vAlign w:val="center"/>
                </w:tcPr>
                <w:p w14:paraId="660A6734">
                  <w:pPr>
                    <w:pStyle w:val="59"/>
                    <w:ind w:left="-120" w:leftChars="-50" w:right="-120" w:rightChars="-50"/>
                    <w:rPr>
                      <w:rFonts w:cs="Times New Roman"/>
                      <w:b/>
                      <w:bCs/>
                    </w:rPr>
                  </w:pPr>
                  <w:r>
                    <w:rPr>
                      <w:rFonts w:hint="eastAsia" w:cs="Times New Roman"/>
                      <w:b/>
                      <w:bCs/>
                    </w:rPr>
                    <w:t>借方（万m³</w:t>
                  </w:r>
                  <w:r>
                    <w:rPr>
                      <w:rFonts w:hint="eastAsia" w:cs="Times New Roman"/>
                      <w:b/>
                      <w:bCs/>
                      <w:vertAlign w:val="superscript"/>
                    </w:rPr>
                    <w:t>）</w:t>
                  </w:r>
                </w:p>
              </w:tc>
              <w:tc>
                <w:tcPr>
                  <w:tcW w:w="413" w:type="pct"/>
                  <w:gridSpan w:val="2"/>
                  <w:tcBorders>
                    <w:tl2br w:val="nil"/>
                    <w:tr2bl w:val="nil"/>
                  </w:tcBorders>
                  <w:vAlign w:val="center"/>
                </w:tcPr>
                <w:p w14:paraId="38262C34">
                  <w:pPr>
                    <w:pStyle w:val="59"/>
                    <w:ind w:left="-120" w:leftChars="-50" w:right="-120" w:rightChars="-50"/>
                    <w:rPr>
                      <w:rFonts w:cs="Times New Roman"/>
                      <w:b/>
                      <w:bCs/>
                    </w:rPr>
                  </w:pPr>
                  <w:r>
                    <w:rPr>
                      <w:rFonts w:hint="eastAsia" w:cs="Times New Roman"/>
                      <w:b/>
                      <w:bCs/>
                    </w:rPr>
                    <w:t>弃方（万m³</w:t>
                  </w:r>
                  <w:r>
                    <w:rPr>
                      <w:rFonts w:hint="eastAsia" w:cs="Times New Roman"/>
                      <w:b/>
                      <w:bCs/>
                      <w:vertAlign w:val="superscript"/>
                    </w:rPr>
                    <w:t>）</w:t>
                  </w:r>
                </w:p>
              </w:tc>
            </w:tr>
            <w:tr w14:paraId="241CD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84" w:type="pct"/>
                  <w:gridSpan w:val="2"/>
                  <w:vMerge w:val="continue"/>
                  <w:tcBorders>
                    <w:tl2br w:val="nil"/>
                    <w:tr2bl w:val="nil"/>
                  </w:tcBorders>
                  <w:vAlign w:val="center"/>
                </w:tcPr>
                <w:p w14:paraId="195E2427">
                  <w:pPr>
                    <w:pStyle w:val="59"/>
                    <w:ind w:left="-120" w:leftChars="-50" w:right="-120" w:rightChars="-50"/>
                    <w:rPr>
                      <w:rFonts w:cs="Times New Roman"/>
                      <w:b/>
                      <w:bCs/>
                    </w:rPr>
                  </w:pPr>
                </w:p>
              </w:tc>
              <w:tc>
                <w:tcPr>
                  <w:tcW w:w="298" w:type="pct"/>
                  <w:tcBorders>
                    <w:tl2br w:val="nil"/>
                    <w:tr2bl w:val="nil"/>
                  </w:tcBorders>
                  <w:vAlign w:val="center"/>
                </w:tcPr>
                <w:p w14:paraId="4B9DAF4E">
                  <w:pPr>
                    <w:pStyle w:val="59"/>
                    <w:ind w:left="-120" w:leftChars="-50" w:right="-120" w:rightChars="-50"/>
                    <w:rPr>
                      <w:rFonts w:cs="Times New Roman"/>
                      <w:b/>
                      <w:bCs/>
                    </w:rPr>
                  </w:pPr>
                  <w:r>
                    <w:rPr>
                      <w:rFonts w:hint="eastAsia" w:cs="Times New Roman"/>
                      <w:b/>
                      <w:bCs/>
                    </w:rPr>
                    <w:t>表土剥离</w:t>
                  </w:r>
                </w:p>
              </w:tc>
              <w:tc>
                <w:tcPr>
                  <w:tcW w:w="248" w:type="pct"/>
                  <w:tcBorders>
                    <w:tl2br w:val="nil"/>
                    <w:tr2bl w:val="nil"/>
                  </w:tcBorders>
                  <w:vAlign w:val="center"/>
                </w:tcPr>
                <w:p w14:paraId="7B5B1395">
                  <w:pPr>
                    <w:pStyle w:val="59"/>
                    <w:ind w:left="-120" w:leftChars="-50" w:right="-120" w:rightChars="-50"/>
                    <w:rPr>
                      <w:rFonts w:cs="Times New Roman"/>
                      <w:b/>
                      <w:bCs/>
                    </w:rPr>
                  </w:pPr>
                  <w:r>
                    <w:rPr>
                      <w:rFonts w:hint="eastAsia" w:cs="Times New Roman"/>
                      <w:b/>
                      <w:bCs/>
                    </w:rPr>
                    <w:t>挖土方</w:t>
                  </w:r>
                </w:p>
              </w:tc>
              <w:tc>
                <w:tcPr>
                  <w:tcW w:w="297" w:type="pct"/>
                  <w:tcBorders>
                    <w:tl2br w:val="nil"/>
                    <w:tr2bl w:val="nil"/>
                  </w:tcBorders>
                  <w:vAlign w:val="center"/>
                </w:tcPr>
                <w:p w14:paraId="700B2992">
                  <w:pPr>
                    <w:pStyle w:val="59"/>
                    <w:ind w:left="-120" w:leftChars="-50" w:right="-120" w:rightChars="-50"/>
                    <w:rPr>
                      <w:rFonts w:cs="Times New Roman"/>
                      <w:b/>
                      <w:bCs/>
                    </w:rPr>
                  </w:pPr>
                  <w:r>
                    <w:rPr>
                      <w:rFonts w:hint="eastAsia" w:cs="Times New Roman"/>
                      <w:b/>
                      <w:bCs/>
                    </w:rPr>
                    <w:t>挖石方</w:t>
                  </w:r>
                </w:p>
              </w:tc>
              <w:tc>
                <w:tcPr>
                  <w:tcW w:w="247" w:type="pct"/>
                  <w:tcBorders>
                    <w:tl2br w:val="nil"/>
                    <w:tr2bl w:val="nil"/>
                  </w:tcBorders>
                  <w:vAlign w:val="center"/>
                </w:tcPr>
                <w:p w14:paraId="7746BC59">
                  <w:pPr>
                    <w:pStyle w:val="59"/>
                    <w:ind w:left="-120" w:leftChars="-50" w:right="-120" w:rightChars="-50"/>
                    <w:rPr>
                      <w:rFonts w:cs="Times New Roman"/>
                      <w:b/>
                      <w:bCs/>
                    </w:rPr>
                  </w:pPr>
                  <w:r>
                    <w:rPr>
                      <w:rFonts w:hint="eastAsia" w:cs="Times New Roman"/>
                      <w:b/>
                      <w:bCs/>
                    </w:rPr>
                    <w:t>合计</w:t>
                  </w:r>
                </w:p>
              </w:tc>
              <w:tc>
                <w:tcPr>
                  <w:tcW w:w="204" w:type="pct"/>
                  <w:tcBorders>
                    <w:tl2br w:val="nil"/>
                    <w:tr2bl w:val="nil"/>
                  </w:tcBorders>
                  <w:vAlign w:val="center"/>
                </w:tcPr>
                <w:p w14:paraId="6FB49B57">
                  <w:pPr>
                    <w:pStyle w:val="59"/>
                    <w:ind w:left="-120" w:leftChars="-50" w:right="-120" w:rightChars="-50"/>
                    <w:rPr>
                      <w:rFonts w:cs="Times New Roman"/>
                      <w:b/>
                      <w:bCs/>
                    </w:rPr>
                  </w:pPr>
                  <w:r>
                    <w:rPr>
                      <w:rFonts w:hint="eastAsia" w:cs="Times New Roman"/>
                      <w:b/>
                      <w:bCs/>
                    </w:rPr>
                    <w:t>表土回覆</w:t>
                  </w:r>
                </w:p>
              </w:tc>
              <w:tc>
                <w:tcPr>
                  <w:tcW w:w="250" w:type="pct"/>
                  <w:tcBorders>
                    <w:tl2br w:val="nil"/>
                    <w:tr2bl w:val="nil"/>
                  </w:tcBorders>
                  <w:vAlign w:val="center"/>
                </w:tcPr>
                <w:p w14:paraId="7EB83FEE">
                  <w:pPr>
                    <w:pStyle w:val="59"/>
                    <w:ind w:left="-120" w:leftChars="-50" w:right="-120" w:rightChars="-50"/>
                    <w:rPr>
                      <w:rFonts w:cs="Times New Roman"/>
                      <w:b/>
                      <w:bCs/>
                    </w:rPr>
                  </w:pPr>
                  <w:r>
                    <w:rPr>
                      <w:rFonts w:hint="eastAsia" w:cs="Times New Roman"/>
                      <w:b/>
                      <w:bCs/>
                    </w:rPr>
                    <w:t>填土方</w:t>
                  </w:r>
                </w:p>
              </w:tc>
              <w:tc>
                <w:tcPr>
                  <w:tcW w:w="248" w:type="pct"/>
                  <w:tcBorders>
                    <w:tl2br w:val="nil"/>
                    <w:tr2bl w:val="nil"/>
                  </w:tcBorders>
                  <w:vAlign w:val="center"/>
                </w:tcPr>
                <w:p w14:paraId="7D7979E1">
                  <w:pPr>
                    <w:pStyle w:val="59"/>
                    <w:ind w:left="-120" w:leftChars="-50" w:right="-120" w:rightChars="-50"/>
                    <w:rPr>
                      <w:rFonts w:cs="Times New Roman"/>
                      <w:b/>
                      <w:bCs/>
                    </w:rPr>
                  </w:pPr>
                  <w:r>
                    <w:rPr>
                      <w:rFonts w:hint="eastAsia" w:cs="Times New Roman"/>
                      <w:b/>
                      <w:bCs/>
                    </w:rPr>
                    <w:t>填石方</w:t>
                  </w:r>
                </w:p>
              </w:tc>
              <w:tc>
                <w:tcPr>
                  <w:tcW w:w="298" w:type="pct"/>
                  <w:tcBorders>
                    <w:tl2br w:val="nil"/>
                    <w:tr2bl w:val="nil"/>
                  </w:tcBorders>
                  <w:vAlign w:val="center"/>
                </w:tcPr>
                <w:p w14:paraId="3845A6A6">
                  <w:pPr>
                    <w:pStyle w:val="59"/>
                    <w:ind w:left="-120" w:leftChars="-50" w:right="-120" w:rightChars="-50"/>
                    <w:rPr>
                      <w:rFonts w:cs="Times New Roman"/>
                      <w:b/>
                      <w:bCs/>
                    </w:rPr>
                  </w:pPr>
                  <w:r>
                    <w:rPr>
                      <w:rFonts w:hint="eastAsia" w:cs="Times New Roman"/>
                      <w:b/>
                      <w:bCs/>
                    </w:rPr>
                    <w:t>作为建筑材料</w:t>
                  </w:r>
                </w:p>
              </w:tc>
              <w:tc>
                <w:tcPr>
                  <w:tcW w:w="199" w:type="pct"/>
                  <w:tcBorders>
                    <w:tl2br w:val="nil"/>
                    <w:tr2bl w:val="nil"/>
                  </w:tcBorders>
                  <w:vAlign w:val="center"/>
                </w:tcPr>
                <w:p w14:paraId="6316F629">
                  <w:pPr>
                    <w:pStyle w:val="59"/>
                    <w:ind w:left="-120" w:leftChars="-50" w:right="-120" w:rightChars="-50"/>
                    <w:rPr>
                      <w:rFonts w:cs="Times New Roman"/>
                      <w:b/>
                      <w:bCs/>
                    </w:rPr>
                  </w:pPr>
                  <w:r>
                    <w:rPr>
                      <w:rFonts w:hint="eastAsia" w:cs="Times New Roman"/>
                      <w:b/>
                      <w:bCs/>
                    </w:rPr>
                    <w:t>合计</w:t>
                  </w:r>
                </w:p>
              </w:tc>
              <w:tc>
                <w:tcPr>
                  <w:tcW w:w="449" w:type="pct"/>
                  <w:tcBorders>
                    <w:tl2br w:val="nil"/>
                    <w:tr2bl w:val="nil"/>
                  </w:tcBorders>
                  <w:vAlign w:val="center"/>
                </w:tcPr>
                <w:p w14:paraId="02EE6428">
                  <w:pPr>
                    <w:pStyle w:val="59"/>
                    <w:ind w:left="-120" w:leftChars="-50" w:right="-120" w:rightChars="-50"/>
                    <w:rPr>
                      <w:rFonts w:cs="Times New Roman"/>
                      <w:b/>
                      <w:bCs/>
                    </w:rPr>
                  </w:pPr>
                  <w:r>
                    <w:rPr>
                      <w:rFonts w:hint="eastAsia" w:cs="Times New Roman"/>
                      <w:b/>
                      <w:bCs/>
                    </w:rPr>
                    <w:t>来源</w:t>
                  </w:r>
                </w:p>
              </w:tc>
              <w:tc>
                <w:tcPr>
                  <w:tcW w:w="248" w:type="pct"/>
                  <w:tcBorders>
                    <w:tl2br w:val="nil"/>
                    <w:tr2bl w:val="nil"/>
                  </w:tcBorders>
                  <w:vAlign w:val="center"/>
                </w:tcPr>
                <w:p w14:paraId="0E84FD2B">
                  <w:pPr>
                    <w:pStyle w:val="59"/>
                    <w:ind w:left="-120" w:leftChars="-50" w:right="-120" w:rightChars="-50"/>
                    <w:rPr>
                      <w:rFonts w:cs="Times New Roman"/>
                      <w:b/>
                      <w:bCs/>
                    </w:rPr>
                  </w:pPr>
                  <w:r>
                    <w:rPr>
                      <w:rFonts w:hint="eastAsia" w:cs="Times New Roman"/>
                      <w:b/>
                      <w:bCs/>
                    </w:rPr>
                    <w:t>数量</w:t>
                  </w:r>
                </w:p>
              </w:tc>
              <w:tc>
                <w:tcPr>
                  <w:tcW w:w="386" w:type="pct"/>
                  <w:tcBorders>
                    <w:tl2br w:val="nil"/>
                    <w:tr2bl w:val="nil"/>
                  </w:tcBorders>
                  <w:vAlign w:val="center"/>
                </w:tcPr>
                <w:p w14:paraId="1EF11BAA">
                  <w:pPr>
                    <w:pStyle w:val="59"/>
                    <w:ind w:left="-120" w:leftChars="-50" w:right="-120" w:rightChars="-50"/>
                    <w:rPr>
                      <w:rFonts w:cs="Times New Roman"/>
                      <w:b/>
                      <w:bCs/>
                    </w:rPr>
                  </w:pPr>
                  <w:r>
                    <w:rPr>
                      <w:rFonts w:hint="eastAsia" w:cs="Times New Roman"/>
                      <w:b/>
                      <w:bCs/>
                    </w:rPr>
                    <w:t>去向</w:t>
                  </w:r>
                </w:p>
              </w:tc>
              <w:tc>
                <w:tcPr>
                  <w:tcW w:w="208" w:type="pct"/>
                  <w:tcBorders>
                    <w:tl2br w:val="nil"/>
                    <w:tr2bl w:val="nil"/>
                  </w:tcBorders>
                  <w:vAlign w:val="center"/>
                </w:tcPr>
                <w:p w14:paraId="22BF065A">
                  <w:pPr>
                    <w:pStyle w:val="59"/>
                    <w:ind w:left="-120" w:leftChars="-50" w:right="-120" w:rightChars="-50"/>
                    <w:rPr>
                      <w:rFonts w:cs="Times New Roman"/>
                      <w:b/>
                      <w:bCs/>
                    </w:rPr>
                  </w:pPr>
                  <w:r>
                    <w:rPr>
                      <w:rFonts w:hint="eastAsia" w:cs="Times New Roman"/>
                      <w:b/>
                      <w:bCs/>
                    </w:rPr>
                    <w:t>数量</w:t>
                  </w:r>
                </w:p>
              </w:tc>
              <w:tc>
                <w:tcPr>
                  <w:tcW w:w="206" w:type="pct"/>
                  <w:tcBorders>
                    <w:tl2br w:val="nil"/>
                    <w:tr2bl w:val="nil"/>
                  </w:tcBorders>
                  <w:vAlign w:val="center"/>
                </w:tcPr>
                <w:p w14:paraId="15636A03">
                  <w:pPr>
                    <w:pStyle w:val="59"/>
                    <w:ind w:left="-120" w:leftChars="-50" w:right="-120" w:rightChars="-50"/>
                    <w:rPr>
                      <w:rFonts w:cs="Times New Roman"/>
                      <w:b/>
                      <w:bCs/>
                    </w:rPr>
                  </w:pPr>
                  <w:r>
                    <w:rPr>
                      <w:rFonts w:hint="eastAsia" w:cs="Times New Roman"/>
                      <w:b/>
                      <w:bCs/>
                    </w:rPr>
                    <w:t>来源</w:t>
                  </w:r>
                </w:p>
              </w:tc>
              <w:tc>
                <w:tcPr>
                  <w:tcW w:w="207" w:type="pct"/>
                  <w:tcBorders>
                    <w:tl2br w:val="nil"/>
                    <w:tr2bl w:val="nil"/>
                  </w:tcBorders>
                  <w:vAlign w:val="center"/>
                </w:tcPr>
                <w:p w14:paraId="21E6BB3A">
                  <w:pPr>
                    <w:pStyle w:val="59"/>
                    <w:ind w:left="-120" w:leftChars="-50" w:right="-120" w:rightChars="-50"/>
                    <w:rPr>
                      <w:rFonts w:cs="Times New Roman"/>
                      <w:b/>
                      <w:bCs/>
                    </w:rPr>
                  </w:pPr>
                  <w:r>
                    <w:rPr>
                      <w:rFonts w:hint="eastAsia" w:cs="Times New Roman"/>
                      <w:b/>
                      <w:bCs/>
                    </w:rPr>
                    <w:t>数量</w:t>
                  </w:r>
                </w:p>
              </w:tc>
              <w:tc>
                <w:tcPr>
                  <w:tcW w:w="206" w:type="pct"/>
                  <w:tcBorders>
                    <w:tl2br w:val="nil"/>
                    <w:tr2bl w:val="nil"/>
                  </w:tcBorders>
                  <w:vAlign w:val="center"/>
                </w:tcPr>
                <w:p w14:paraId="2BA95426">
                  <w:pPr>
                    <w:pStyle w:val="59"/>
                    <w:ind w:left="-120" w:leftChars="-50" w:right="-120" w:rightChars="-50"/>
                    <w:rPr>
                      <w:rFonts w:cs="Times New Roman"/>
                      <w:b/>
                      <w:bCs/>
                    </w:rPr>
                  </w:pPr>
                  <w:r>
                    <w:rPr>
                      <w:rFonts w:hint="eastAsia" w:cs="Times New Roman"/>
                      <w:b/>
                      <w:bCs/>
                    </w:rPr>
                    <w:t>去向</w:t>
                  </w:r>
                </w:p>
              </w:tc>
              <w:tc>
                <w:tcPr>
                  <w:tcW w:w="206" w:type="pct"/>
                  <w:tcBorders>
                    <w:tl2br w:val="nil"/>
                    <w:tr2bl w:val="nil"/>
                  </w:tcBorders>
                  <w:vAlign w:val="center"/>
                </w:tcPr>
                <w:p w14:paraId="1A0DF280">
                  <w:pPr>
                    <w:pStyle w:val="59"/>
                    <w:ind w:left="-120" w:leftChars="-50" w:right="-120" w:rightChars="-50"/>
                    <w:rPr>
                      <w:rFonts w:cs="Times New Roman"/>
                      <w:b/>
                      <w:bCs/>
                    </w:rPr>
                  </w:pPr>
                  <w:r>
                    <w:rPr>
                      <w:rFonts w:hint="eastAsia" w:cs="Times New Roman"/>
                      <w:b/>
                      <w:bCs/>
                    </w:rPr>
                    <w:t>合计</w:t>
                  </w:r>
                </w:p>
              </w:tc>
            </w:tr>
            <w:tr w14:paraId="26410A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3" w:type="pct"/>
                  <w:vMerge w:val="restart"/>
                  <w:tcBorders>
                    <w:tl2br w:val="nil"/>
                    <w:tr2bl w:val="nil"/>
                  </w:tcBorders>
                  <w:vAlign w:val="center"/>
                </w:tcPr>
                <w:p w14:paraId="0087BEF6">
                  <w:pPr>
                    <w:pStyle w:val="59"/>
                    <w:ind w:left="-120" w:leftChars="-50" w:right="-120" w:rightChars="-50"/>
                    <w:rPr>
                      <w:rFonts w:cs="Times New Roman"/>
                    </w:rPr>
                  </w:pPr>
                  <w:r>
                    <w:rPr>
                      <w:rFonts w:hint="eastAsia" w:cs="Times New Roman"/>
                    </w:rPr>
                    <w:t>主体工程</w:t>
                  </w:r>
                </w:p>
              </w:tc>
              <w:tc>
                <w:tcPr>
                  <w:tcW w:w="390" w:type="pct"/>
                  <w:tcBorders>
                    <w:tl2br w:val="nil"/>
                    <w:tr2bl w:val="nil"/>
                  </w:tcBorders>
                  <w:vAlign w:val="center"/>
                </w:tcPr>
                <w:p w14:paraId="72B592F2">
                  <w:pPr>
                    <w:pStyle w:val="59"/>
                    <w:ind w:left="-120" w:leftChars="-50" w:right="-120" w:rightChars="-50"/>
                    <w:rPr>
                      <w:rFonts w:cs="Times New Roman"/>
                    </w:rPr>
                  </w:pPr>
                  <w:r>
                    <w:rPr>
                      <w:rFonts w:hint="eastAsia" w:cs="Times New Roman"/>
                    </w:rPr>
                    <w:t>堤防及护脚</w:t>
                  </w:r>
                </w:p>
              </w:tc>
              <w:tc>
                <w:tcPr>
                  <w:tcW w:w="298" w:type="pct"/>
                  <w:tcBorders>
                    <w:tl2br w:val="nil"/>
                    <w:tr2bl w:val="nil"/>
                  </w:tcBorders>
                  <w:vAlign w:val="center"/>
                </w:tcPr>
                <w:p w14:paraId="3AD334DE">
                  <w:pPr>
                    <w:pStyle w:val="59"/>
                    <w:ind w:left="-120" w:leftChars="-50" w:right="-120" w:rightChars="-50"/>
                    <w:rPr>
                      <w:rFonts w:cs="Times New Roman"/>
                    </w:rPr>
                  </w:pPr>
                </w:p>
              </w:tc>
              <w:tc>
                <w:tcPr>
                  <w:tcW w:w="248" w:type="pct"/>
                  <w:tcBorders>
                    <w:tl2br w:val="nil"/>
                    <w:tr2bl w:val="nil"/>
                  </w:tcBorders>
                  <w:vAlign w:val="center"/>
                </w:tcPr>
                <w:p w14:paraId="539FFDB1">
                  <w:pPr>
                    <w:pStyle w:val="59"/>
                    <w:ind w:left="-120" w:leftChars="-50" w:right="-120" w:rightChars="-50"/>
                    <w:rPr>
                      <w:rFonts w:cs="Times New Roman"/>
                    </w:rPr>
                  </w:pPr>
                  <w:r>
                    <w:rPr>
                      <w:rFonts w:cs="Times New Roman"/>
                    </w:rPr>
                    <w:t>0.11</w:t>
                  </w:r>
                </w:p>
              </w:tc>
              <w:tc>
                <w:tcPr>
                  <w:tcW w:w="297" w:type="pct"/>
                  <w:tcBorders>
                    <w:tl2br w:val="nil"/>
                    <w:tr2bl w:val="nil"/>
                  </w:tcBorders>
                  <w:vAlign w:val="center"/>
                </w:tcPr>
                <w:p w14:paraId="3BD44F5C">
                  <w:pPr>
                    <w:pStyle w:val="59"/>
                    <w:ind w:left="-120" w:leftChars="-50" w:right="-120" w:rightChars="-50"/>
                    <w:rPr>
                      <w:rFonts w:cs="Times New Roman"/>
                    </w:rPr>
                  </w:pPr>
                  <w:r>
                    <w:rPr>
                      <w:rFonts w:cs="Times New Roman"/>
                    </w:rPr>
                    <w:t>1.35</w:t>
                  </w:r>
                </w:p>
              </w:tc>
              <w:tc>
                <w:tcPr>
                  <w:tcW w:w="247" w:type="pct"/>
                  <w:tcBorders>
                    <w:tl2br w:val="nil"/>
                    <w:tr2bl w:val="nil"/>
                  </w:tcBorders>
                  <w:vAlign w:val="center"/>
                </w:tcPr>
                <w:p w14:paraId="5AF55104">
                  <w:pPr>
                    <w:pStyle w:val="59"/>
                    <w:ind w:left="-120" w:leftChars="-50" w:right="-120" w:rightChars="-50"/>
                    <w:rPr>
                      <w:rFonts w:cs="Times New Roman"/>
                    </w:rPr>
                  </w:pPr>
                  <w:r>
                    <w:rPr>
                      <w:rFonts w:cs="Times New Roman"/>
                    </w:rPr>
                    <w:t>1.46</w:t>
                  </w:r>
                </w:p>
              </w:tc>
              <w:tc>
                <w:tcPr>
                  <w:tcW w:w="204" w:type="pct"/>
                  <w:tcBorders>
                    <w:tl2br w:val="nil"/>
                    <w:tr2bl w:val="nil"/>
                  </w:tcBorders>
                  <w:vAlign w:val="center"/>
                </w:tcPr>
                <w:p w14:paraId="1031E311">
                  <w:pPr>
                    <w:pStyle w:val="59"/>
                    <w:ind w:left="-120" w:leftChars="-50" w:right="-120" w:rightChars="-50"/>
                    <w:rPr>
                      <w:rFonts w:cs="Times New Roman"/>
                    </w:rPr>
                  </w:pPr>
                </w:p>
              </w:tc>
              <w:tc>
                <w:tcPr>
                  <w:tcW w:w="250" w:type="pct"/>
                  <w:tcBorders>
                    <w:tl2br w:val="nil"/>
                    <w:tr2bl w:val="nil"/>
                  </w:tcBorders>
                  <w:vAlign w:val="center"/>
                </w:tcPr>
                <w:p w14:paraId="64E0CA22">
                  <w:pPr>
                    <w:pStyle w:val="59"/>
                    <w:ind w:left="-120" w:leftChars="-50" w:right="-120" w:rightChars="-50"/>
                    <w:rPr>
                      <w:rFonts w:cs="Times New Roman"/>
                    </w:rPr>
                  </w:pPr>
                  <w:r>
                    <w:rPr>
                      <w:rFonts w:cs="Times New Roman"/>
                    </w:rPr>
                    <w:t>0.11</w:t>
                  </w:r>
                </w:p>
              </w:tc>
              <w:tc>
                <w:tcPr>
                  <w:tcW w:w="248" w:type="pct"/>
                  <w:tcBorders>
                    <w:tl2br w:val="nil"/>
                    <w:tr2bl w:val="nil"/>
                  </w:tcBorders>
                  <w:vAlign w:val="center"/>
                </w:tcPr>
                <w:p w14:paraId="1EB754B8">
                  <w:pPr>
                    <w:pStyle w:val="59"/>
                    <w:ind w:left="-120" w:leftChars="-50" w:right="-120" w:rightChars="-50"/>
                    <w:rPr>
                      <w:rFonts w:cs="Times New Roman"/>
                    </w:rPr>
                  </w:pPr>
                  <w:r>
                    <w:rPr>
                      <w:rFonts w:cs="Times New Roman"/>
                    </w:rPr>
                    <w:t>0.97</w:t>
                  </w:r>
                </w:p>
              </w:tc>
              <w:tc>
                <w:tcPr>
                  <w:tcW w:w="298" w:type="pct"/>
                  <w:tcBorders>
                    <w:tl2br w:val="nil"/>
                    <w:tr2bl w:val="nil"/>
                  </w:tcBorders>
                  <w:vAlign w:val="center"/>
                </w:tcPr>
                <w:p w14:paraId="7A39CC90">
                  <w:pPr>
                    <w:pStyle w:val="59"/>
                    <w:ind w:left="-120" w:leftChars="-50" w:right="-120" w:rightChars="-50"/>
                    <w:rPr>
                      <w:rFonts w:cs="Times New Roman"/>
                    </w:rPr>
                  </w:pPr>
                  <w:r>
                    <w:rPr>
                      <w:rFonts w:cs="Times New Roman"/>
                    </w:rPr>
                    <w:t>0.47</w:t>
                  </w:r>
                </w:p>
              </w:tc>
              <w:tc>
                <w:tcPr>
                  <w:tcW w:w="199" w:type="pct"/>
                  <w:tcBorders>
                    <w:tl2br w:val="nil"/>
                    <w:tr2bl w:val="nil"/>
                  </w:tcBorders>
                  <w:vAlign w:val="center"/>
                </w:tcPr>
                <w:p w14:paraId="1669B996">
                  <w:pPr>
                    <w:pStyle w:val="59"/>
                    <w:ind w:left="-120" w:leftChars="-50" w:right="-120" w:rightChars="-50"/>
                    <w:rPr>
                      <w:rFonts w:cs="Times New Roman"/>
                    </w:rPr>
                  </w:pPr>
                  <w:r>
                    <w:rPr>
                      <w:rFonts w:cs="Times New Roman"/>
                    </w:rPr>
                    <w:t>1.55</w:t>
                  </w:r>
                </w:p>
              </w:tc>
              <w:tc>
                <w:tcPr>
                  <w:tcW w:w="449" w:type="pct"/>
                  <w:tcBorders>
                    <w:tl2br w:val="nil"/>
                    <w:tr2bl w:val="nil"/>
                  </w:tcBorders>
                  <w:vAlign w:val="center"/>
                </w:tcPr>
                <w:p w14:paraId="710159F9">
                  <w:pPr>
                    <w:pStyle w:val="59"/>
                    <w:ind w:left="-120" w:leftChars="-50" w:right="-120" w:rightChars="-50"/>
                    <w:rPr>
                      <w:rFonts w:cs="Times New Roman"/>
                    </w:rPr>
                  </w:pPr>
                  <w:r>
                    <w:rPr>
                      <w:rFonts w:hint="eastAsia" w:cs="Times New Roman"/>
                    </w:rPr>
                    <w:t>丁坝及固床梁、施工围堰</w:t>
                  </w:r>
                </w:p>
              </w:tc>
              <w:tc>
                <w:tcPr>
                  <w:tcW w:w="248" w:type="pct"/>
                  <w:tcBorders>
                    <w:tl2br w:val="nil"/>
                    <w:tr2bl w:val="nil"/>
                  </w:tcBorders>
                  <w:vAlign w:val="center"/>
                </w:tcPr>
                <w:p w14:paraId="5BE5A549">
                  <w:pPr>
                    <w:pStyle w:val="59"/>
                    <w:ind w:left="-120" w:leftChars="-50" w:right="-120" w:rightChars="-50"/>
                    <w:rPr>
                      <w:rFonts w:cs="Times New Roman"/>
                    </w:rPr>
                  </w:pPr>
                  <w:r>
                    <w:rPr>
                      <w:rFonts w:cs="Times New Roman"/>
                    </w:rPr>
                    <w:t>0.54</w:t>
                  </w:r>
                </w:p>
              </w:tc>
              <w:tc>
                <w:tcPr>
                  <w:tcW w:w="386" w:type="pct"/>
                  <w:tcBorders>
                    <w:tl2br w:val="nil"/>
                    <w:tr2bl w:val="nil"/>
                  </w:tcBorders>
                  <w:vAlign w:val="center"/>
                </w:tcPr>
                <w:p w14:paraId="1402B6DE">
                  <w:pPr>
                    <w:pStyle w:val="59"/>
                    <w:ind w:left="-120" w:leftChars="-50" w:right="-120" w:rightChars="-50"/>
                    <w:rPr>
                      <w:rFonts w:cs="Times New Roman"/>
                    </w:rPr>
                  </w:pPr>
                  <w:r>
                    <w:rPr>
                      <w:rFonts w:hint="eastAsia" w:cs="Times New Roman"/>
                    </w:rPr>
                    <w:t>施工围堰</w:t>
                  </w:r>
                </w:p>
              </w:tc>
              <w:tc>
                <w:tcPr>
                  <w:tcW w:w="208" w:type="pct"/>
                  <w:tcBorders>
                    <w:tl2br w:val="nil"/>
                    <w:tr2bl w:val="nil"/>
                  </w:tcBorders>
                  <w:vAlign w:val="center"/>
                </w:tcPr>
                <w:p w14:paraId="472E11DA">
                  <w:pPr>
                    <w:pStyle w:val="59"/>
                    <w:ind w:left="-120" w:leftChars="-50" w:right="-120" w:rightChars="-50"/>
                    <w:rPr>
                      <w:rFonts w:cs="Times New Roman"/>
                    </w:rPr>
                  </w:pPr>
                  <w:r>
                    <w:rPr>
                      <w:rFonts w:cs="Times New Roman"/>
                    </w:rPr>
                    <w:t>0.45</w:t>
                  </w:r>
                </w:p>
              </w:tc>
              <w:tc>
                <w:tcPr>
                  <w:tcW w:w="206" w:type="pct"/>
                  <w:tcBorders>
                    <w:tl2br w:val="nil"/>
                    <w:tr2bl w:val="nil"/>
                  </w:tcBorders>
                  <w:vAlign w:val="center"/>
                </w:tcPr>
                <w:p w14:paraId="4D6FC2AB">
                  <w:pPr>
                    <w:pStyle w:val="59"/>
                    <w:ind w:left="-120" w:leftChars="-50" w:right="-120" w:rightChars="-50"/>
                    <w:rPr>
                      <w:rFonts w:cs="Times New Roman"/>
                    </w:rPr>
                  </w:pPr>
                </w:p>
              </w:tc>
              <w:tc>
                <w:tcPr>
                  <w:tcW w:w="207" w:type="pct"/>
                  <w:tcBorders>
                    <w:tl2br w:val="nil"/>
                    <w:tr2bl w:val="nil"/>
                  </w:tcBorders>
                  <w:vAlign w:val="center"/>
                </w:tcPr>
                <w:p w14:paraId="538BF83B">
                  <w:pPr>
                    <w:pStyle w:val="59"/>
                    <w:ind w:left="-120" w:leftChars="-50" w:right="-120" w:rightChars="-50"/>
                    <w:rPr>
                      <w:rFonts w:cs="Times New Roman"/>
                    </w:rPr>
                  </w:pPr>
                </w:p>
              </w:tc>
              <w:tc>
                <w:tcPr>
                  <w:tcW w:w="206" w:type="pct"/>
                  <w:tcBorders>
                    <w:tl2br w:val="nil"/>
                    <w:tr2bl w:val="nil"/>
                  </w:tcBorders>
                  <w:vAlign w:val="center"/>
                </w:tcPr>
                <w:p w14:paraId="3BBECEAB">
                  <w:pPr>
                    <w:pStyle w:val="59"/>
                    <w:ind w:left="-120" w:leftChars="-50" w:right="-120" w:rightChars="-50"/>
                    <w:rPr>
                      <w:rFonts w:cs="Times New Roman"/>
                    </w:rPr>
                  </w:pPr>
                </w:p>
              </w:tc>
              <w:tc>
                <w:tcPr>
                  <w:tcW w:w="206" w:type="pct"/>
                  <w:tcBorders>
                    <w:tl2br w:val="nil"/>
                    <w:tr2bl w:val="nil"/>
                  </w:tcBorders>
                  <w:vAlign w:val="center"/>
                </w:tcPr>
                <w:p w14:paraId="220B4ACB">
                  <w:pPr>
                    <w:pStyle w:val="59"/>
                    <w:ind w:left="-120" w:leftChars="-50" w:right="-120" w:rightChars="-50"/>
                    <w:rPr>
                      <w:rFonts w:cs="Times New Roman"/>
                    </w:rPr>
                  </w:pPr>
                  <w:r>
                    <w:rPr>
                      <w:rFonts w:cs="Times New Roman"/>
                    </w:rPr>
                    <w:t>0.00</w:t>
                  </w:r>
                </w:p>
              </w:tc>
            </w:tr>
            <w:tr w14:paraId="1300BD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3" w:type="pct"/>
                  <w:vMerge w:val="continue"/>
                  <w:tcBorders>
                    <w:tl2br w:val="nil"/>
                    <w:tr2bl w:val="nil"/>
                  </w:tcBorders>
                  <w:vAlign w:val="center"/>
                </w:tcPr>
                <w:p w14:paraId="284E6891">
                  <w:pPr>
                    <w:pStyle w:val="59"/>
                    <w:ind w:left="-120" w:leftChars="-50" w:right="-120" w:rightChars="-50"/>
                    <w:rPr>
                      <w:rFonts w:cs="Times New Roman"/>
                    </w:rPr>
                  </w:pPr>
                </w:p>
              </w:tc>
              <w:tc>
                <w:tcPr>
                  <w:tcW w:w="390" w:type="pct"/>
                  <w:tcBorders>
                    <w:tl2br w:val="nil"/>
                    <w:tr2bl w:val="nil"/>
                  </w:tcBorders>
                  <w:vAlign w:val="center"/>
                </w:tcPr>
                <w:p w14:paraId="630E5D6A">
                  <w:pPr>
                    <w:pStyle w:val="59"/>
                    <w:ind w:left="-120" w:leftChars="-50" w:right="-120" w:rightChars="-50"/>
                    <w:rPr>
                      <w:rFonts w:cs="Times New Roman"/>
                    </w:rPr>
                  </w:pPr>
                  <w:r>
                    <w:rPr>
                      <w:rFonts w:hint="eastAsia" w:cs="Times New Roman"/>
                    </w:rPr>
                    <w:t>丁坝及固床梁</w:t>
                  </w:r>
                </w:p>
              </w:tc>
              <w:tc>
                <w:tcPr>
                  <w:tcW w:w="298" w:type="pct"/>
                  <w:tcBorders>
                    <w:tl2br w:val="nil"/>
                    <w:tr2bl w:val="nil"/>
                  </w:tcBorders>
                  <w:vAlign w:val="center"/>
                </w:tcPr>
                <w:p w14:paraId="39228413">
                  <w:pPr>
                    <w:pStyle w:val="59"/>
                    <w:ind w:left="-120" w:leftChars="-50" w:right="-120" w:rightChars="-50"/>
                    <w:rPr>
                      <w:rFonts w:cs="Times New Roman"/>
                    </w:rPr>
                  </w:pPr>
                </w:p>
              </w:tc>
              <w:tc>
                <w:tcPr>
                  <w:tcW w:w="248" w:type="pct"/>
                  <w:tcBorders>
                    <w:tl2br w:val="nil"/>
                    <w:tr2bl w:val="nil"/>
                  </w:tcBorders>
                  <w:vAlign w:val="center"/>
                </w:tcPr>
                <w:p w14:paraId="7C319B33">
                  <w:pPr>
                    <w:pStyle w:val="59"/>
                    <w:ind w:left="-120" w:leftChars="-50" w:right="-120" w:rightChars="-50"/>
                    <w:rPr>
                      <w:rFonts w:cs="Times New Roman"/>
                    </w:rPr>
                  </w:pPr>
                  <w:r>
                    <w:rPr>
                      <w:rFonts w:cs="Times New Roman"/>
                    </w:rPr>
                    <w:t>0.03</w:t>
                  </w:r>
                </w:p>
              </w:tc>
              <w:tc>
                <w:tcPr>
                  <w:tcW w:w="297" w:type="pct"/>
                  <w:tcBorders>
                    <w:tl2br w:val="nil"/>
                    <w:tr2bl w:val="nil"/>
                  </w:tcBorders>
                  <w:vAlign w:val="center"/>
                </w:tcPr>
                <w:p w14:paraId="161BEC9D">
                  <w:pPr>
                    <w:pStyle w:val="59"/>
                    <w:ind w:left="-120" w:leftChars="-50" w:right="-120" w:rightChars="-50"/>
                    <w:rPr>
                      <w:rFonts w:cs="Times New Roman"/>
                    </w:rPr>
                  </w:pPr>
                  <w:r>
                    <w:rPr>
                      <w:rFonts w:cs="Times New Roman"/>
                    </w:rPr>
                    <w:t>0.36</w:t>
                  </w:r>
                </w:p>
              </w:tc>
              <w:tc>
                <w:tcPr>
                  <w:tcW w:w="247" w:type="pct"/>
                  <w:tcBorders>
                    <w:tl2br w:val="nil"/>
                    <w:tr2bl w:val="nil"/>
                  </w:tcBorders>
                  <w:vAlign w:val="center"/>
                </w:tcPr>
                <w:p w14:paraId="48510AE4">
                  <w:pPr>
                    <w:pStyle w:val="59"/>
                    <w:ind w:left="-120" w:leftChars="-50" w:right="-120" w:rightChars="-50"/>
                    <w:rPr>
                      <w:rFonts w:cs="Times New Roman"/>
                    </w:rPr>
                  </w:pPr>
                  <w:r>
                    <w:rPr>
                      <w:rFonts w:cs="Times New Roman"/>
                    </w:rPr>
                    <w:t>0.39</w:t>
                  </w:r>
                </w:p>
              </w:tc>
              <w:tc>
                <w:tcPr>
                  <w:tcW w:w="204" w:type="pct"/>
                  <w:tcBorders>
                    <w:tl2br w:val="nil"/>
                    <w:tr2bl w:val="nil"/>
                  </w:tcBorders>
                  <w:vAlign w:val="center"/>
                </w:tcPr>
                <w:p w14:paraId="681BAE15">
                  <w:pPr>
                    <w:pStyle w:val="59"/>
                    <w:ind w:left="-120" w:leftChars="-50" w:right="-120" w:rightChars="-50"/>
                    <w:rPr>
                      <w:rFonts w:cs="Times New Roman"/>
                    </w:rPr>
                  </w:pPr>
                </w:p>
              </w:tc>
              <w:tc>
                <w:tcPr>
                  <w:tcW w:w="250" w:type="pct"/>
                  <w:tcBorders>
                    <w:tl2br w:val="nil"/>
                    <w:tr2bl w:val="nil"/>
                  </w:tcBorders>
                  <w:vAlign w:val="center"/>
                </w:tcPr>
                <w:p w14:paraId="08F252FE">
                  <w:pPr>
                    <w:pStyle w:val="59"/>
                    <w:ind w:left="-120" w:leftChars="-50" w:right="-120" w:rightChars="-50"/>
                    <w:rPr>
                      <w:rFonts w:cs="Times New Roman"/>
                    </w:rPr>
                  </w:pPr>
                  <w:r>
                    <w:rPr>
                      <w:rFonts w:cs="Times New Roman"/>
                    </w:rPr>
                    <w:t>0.03</w:t>
                  </w:r>
                </w:p>
              </w:tc>
              <w:tc>
                <w:tcPr>
                  <w:tcW w:w="248" w:type="pct"/>
                  <w:tcBorders>
                    <w:tl2br w:val="nil"/>
                    <w:tr2bl w:val="nil"/>
                  </w:tcBorders>
                  <w:vAlign w:val="center"/>
                </w:tcPr>
                <w:p w14:paraId="53669B4F">
                  <w:pPr>
                    <w:pStyle w:val="59"/>
                    <w:ind w:left="-120" w:leftChars="-50" w:right="-120" w:rightChars="-50"/>
                    <w:rPr>
                      <w:rFonts w:cs="Times New Roman"/>
                    </w:rPr>
                  </w:pPr>
                  <w:r>
                    <w:rPr>
                      <w:rFonts w:cs="Times New Roman"/>
                    </w:rPr>
                    <w:t>0.27</w:t>
                  </w:r>
                </w:p>
              </w:tc>
              <w:tc>
                <w:tcPr>
                  <w:tcW w:w="298" w:type="pct"/>
                  <w:tcBorders>
                    <w:tl2br w:val="nil"/>
                    <w:tr2bl w:val="nil"/>
                  </w:tcBorders>
                  <w:vAlign w:val="center"/>
                </w:tcPr>
                <w:p w14:paraId="22611904">
                  <w:pPr>
                    <w:pStyle w:val="59"/>
                    <w:ind w:left="-120" w:leftChars="-50" w:right="-120" w:rightChars="-50"/>
                    <w:rPr>
                      <w:rFonts w:cs="Times New Roman"/>
                    </w:rPr>
                  </w:pPr>
                </w:p>
              </w:tc>
              <w:tc>
                <w:tcPr>
                  <w:tcW w:w="199" w:type="pct"/>
                  <w:tcBorders>
                    <w:tl2br w:val="nil"/>
                    <w:tr2bl w:val="nil"/>
                  </w:tcBorders>
                  <w:vAlign w:val="center"/>
                </w:tcPr>
                <w:p w14:paraId="020976D7">
                  <w:pPr>
                    <w:pStyle w:val="59"/>
                    <w:ind w:left="-120" w:leftChars="-50" w:right="-120" w:rightChars="-50"/>
                    <w:rPr>
                      <w:rFonts w:cs="Times New Roman"/>
                    </w:rPr>
                  </w:pPr>
                  <w:r>
                    <w:rPr>
                      <w:rFonts w:cs="Times New Roman"/>
                    </w:rPr>
                    <w:t>0.30</w:t>
                  </w:r>
                </w:p>
              </w:tc>
              <w:tc>
                <w:tcPr>
                  <w:tcW w:w="449" w:type="pct"/>
                  <w:tcBorders>
                    <w:tl2br w:val="nil"/>
                    <w:tr2bl w:val="nil"/>
                  </w:tcBorders>
                  <w:vAlign w:val="center"/>
                </w:tcPr>
                <w:p w14:paraId="4020B50D">
                  <w:pPr>
                    <w:pStyle w:val="59"/>
                    <w:ind w:left="-120" w:leftChars="-50" w:right="-120" w:rightChars="-50"/>
                    <w:rPr>
                      <w:rFonts w:cs="Times New Roman"/>
                    </w:rPr>
                  </w:pPr>
                </w:p>
              </w:tc>
              <w:tc>
                <w:tcPr>
                  <w:tcW w:w="248" w:type="pct"/>
                  <w:tcBorders>
                    <w:tl2br w:val="nil"/>
                    <w:tr2bl w:val="nil"/>
                  </w:tcBorders>
                  <w:vAlign w:val="center"/>
                </w:tcPr>
                <w:p w14:paraId="41CE8E3D">
                  <w:pPr>
                    <w:pStyle w:val="59"/>
                    <w:ind w:left="-120" w:leftChars="-50" w:right="-120" w:rightChars="-50"/>
                    <w:rPr>
                      <w:rFonts w:cs="Times New Roman"/>
                    </w:rPr>
                  </w:pPr>
                </w:p>
              </w:tc>
              <w:tc>
                <w:tcPr>
                  <w:tcW w:w="386" w:type="pct"/>
                  <w:tcBorders>
                    <w:tl2br w:val="nil"/>
                    <w:tr2bl w:val="nil"/>
                  </w:tcBorders>
                  <w:vAlign w:val="center"/>
                </w:tcPr>
                <w:p w14:paraId="2C3394D3">
                  <w:pPr>
                    <w:pStyle w:val="59"/>
                    <w:ind w:left="-120" w:leftChars="-50" w:right="-120" w:rightChars="-50"/>
                    <w:rPr>
                      <w:rFonts w:cs="Times New Roman"/>
                    </w:rPr>
                  </w:pPr>
                  <w:r>
                    <w:rPr>
                      <w:rFonts w:hint="eastAsia" w:cs="Times New Roman"/>
                    </w:rPr>
                    <w:t>堤防及护脚</w:t>
                  </w:r>
                </w:p>
              </w:tc>
              <w:tc>
                <w:tcPr>
                  <w:tcW w:w="208" w:type="pct"/>
                  <w:tcBorders>
                    <w:tl2br w:val="nil"/>
                    <w:tr2bl w:val="nil"/>
                  </w:tcBorders>
                  <w:vAlign w:val="center"/>
                </w:tcPr>
                <w:p w14:paraId="51E13440">
                  <w:pPr>
                    <w:pStyle w:val="59"/>
                    <w:ind w:left="-120" w:leftChars="-50" w:right="-120" w:rightChars="-50"/>
                    <w:rPr>
                      <w:rFonts w:cs="Times New Roman"/>
                    </w:rPr>
                  </w:pPr>
                  <w:r>
                    <w:rPr>
                      <w:rFonts w:cs="Times New Roman"/>
                    </w:rPr>
                    <w:t>0.09</w:t>
                  </w:r>
                </w:p>
              </w:tc>
              <w:tc>
                <w:tcPr>
                  <w:tcW w:w="206" w:type="pct"/>
                  <w:tcBorders>
                    <w:tl2br w:val="nil"/>
                    <w:tr2bl w:val="nil"/>
                  </w:tcBorders>
                  <w:vAlign w:val="center"/>
                </w:tcPr>
                <w:p w14:paraId="479E4DAC">
                  <w:pPr>
                    <w:pStyle w:val="59"/>
                    <w:ind w:left="-120" w:leftChars="-50" w:right="-120" w:rightChars="-50"/>
                    <w:rPr>
                      <w:rFonts w:cs="Times New Roman"/>
                    </w:rPr>
                  </w:pPr>
                </w:p>
              </w:tc>
              <w:tc>
                <w:tcPr>
                  <w:tcW w:w="207" w:type="pct"/>
                  <w:tcBorders>
                    <w:tl2br w:val="nil"/>
                    <w:tr2bl w:val="nil"/>
                  </w:tcBorders>
                  <w:vAlign w:val="center"/>
                </w:tcPr>
                <w:p w14:paraId="1F1691D5">
                  <w:pPr>
                    <w:pStyle w:val="59"/>
                    <w:ind w:left="-120" w:leftChars="-50" w:right="-120" w:rightChars="-50"/>
                    <w:rPr>
                      <w:rFonts w:cs="Times New Roman"/>
                    </w:rPr>
                  </w:pPr>
                </w:p>
              </w:tc>
              <w:tc>
                <w:tcPr>
                  <w:tcW w:w="206" w:type="pct"/>
                  <w:tcBorders>
                    <w:tl2br w:val="nil"/>
                    <w:tr2bl w:val="nil"/>
                  </w:tcBorders>
                  <w:vAlign w:val="center"/>
                </w:tcPr>
                <w:p w14:paraId="3FE563C2">
                  <w:pPr>
                    <w:pStyle w:val="59"/>
                    <w:ind w:left="-120" w:leftChars="-50" w:right="-120" w:rightChars="-50"/>
                    <w:rPr>
                      <w:rFonts w:cs="Times New Roman"/>
                    </w:rPr>
                  </w:pPr>
                </w:p>
              </w:tc>
              <w:tc>
                <w:tcPr>
                  <w:tcW w:w="206" w:type="pct"/>
                  <w:tcBorders>
                    <w:tl2br w:val="nil"/>
                    <w:tr2bl w:val="nil"/>
                  </w:tcBorders>
                  <w:vAlign w:val="center"/>
                </w:tcPr>
                <w:p w14:paraId="5E30D8F9">
                  <w:pPr>
                    <w:pStyle w:val="59"/>
                    <w:ind w:left="-120" w:leftChars="-50" w:right="-120" w:rightChars="-50"/>
                    <w:rPr>
                      <w:rFonts w:cs="Times New Roman"/>
                    </w:rPr>
                  </w:pPr>
                  <w:r>
                    <w:rPr>
                      <w:rFonts w:cs="Times New Roman"/>
                    </w:rPr>
                    <w:t>0.00</w:t>
                  </w:r>
                </w:p>
              </w:tc>
            </w:tr>
            <w:tr w14:paraId="6FD32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3" w:type="pct"/>
                  <w:vMerge w:val="continue"/>
                  <w:tcBorders>
                    <w:tl2br w:val="nil"/>
                    <w:tr2bl w:val="nil"/>
                  </w:tcBorders>
                  <w:vAlign w:val="center"/>
                </w:tcPr>
                <w:p w14:paraId="1E83BF90">
                  <w:pPr>
                    <w:pStyle w:val="59"/>
                    <w:ind w:left="-120" w:leftChars="-50" w:right="-120" w:rightChars="-50"/>
                    <w:rPr>
                      <w:rFonts w:cs="Times New Roman"/>
                    </w:rPr>
                  </w:pPr>
                </w:p>
              </w:tc>
              <w:tc>
                <w:tcPr>
                  <w:tcW w:w="390" w:type="pct"/>
                  <w:tcBorders>
                    <w:tl2br w:val="nil"/>
                    <w:tr2bl w:val="nil"/>
                  </w:tcBorders>
                  <w:vAlign w:val="center"/>
                </w:tcPr>
                <w:p w14:paraId="3F58B833">
                  <w:pPr>
                    <w:pStyle w:val="59"/>
                    <w:ind w:left="-120" w:leftChars="-50" w:right="-120" w:rightChars="-50"/>
                    <w:rPr>
                      <w:rFonts w:cs="Times New Roman"/>
                    </w:rPr>
                  </w:pPr>
                  <w:r>
                    <w:rPr>
                      <w:rFonts w:hint="eastAsia" w:cs="Times New Roman"/>
                    </w:rPr>
                    <w:t>施工围堰</w:t>
                  </w:r>
                </w:p>
              </w:tc>
              <w:tc>
                <w:tcPr>
                  <w:tcW w:w="298" w:type="pct"/>
                  <w:tcBorders>
                    <w:tl2br w:val="nil"/>
                    <w:tr2bl w:val="nil"/>
                  </w:tcBorders>
                  <w:vAlign w:val="center"/>
                </w:tcPr>
                <w:p w14:paraId="499F61E8">
                  <w:pPr>
                    <w:pStyle w:val="59"/>
                    <w:ind w:left="-120" w:leftChars="-50" w:right="-120" w:rightChars="-50"/>
                    <w:rPr>
                      <w:rFonts w:cs="Times New Roman"/>
                    </w:rPr>
                  </w:pPr>
                </w:p>
              </w:tc>
              <w:tc>
                <w:tcPr>
                  <w:tcW w:w="248" w:type="pct"/>
                  <w:tcBorders>
                    <w:tl2br w:val="nil"/>
                    <w:tr2bl w:val="nil"/>
                  </w:tcBorders>
                  <w:vAlign w:val="center"/>
                </w:tcPr>
                <w:p w14:paraId="027BD1E8">
                  <w:pPr>
                    <w:pStyle w:val="59"/>
                    <w:ind w:left="-120" w:leftChars="-50" w:right="-120" w:rightChars="-50"/>
                    <w:rPr>
                      <w:rFonts w:cs="Times New Roman"/>
                    </w:rPr>
                  </w:pPr>
                </w:p>
              </w:tc>
              <w:tc>
                <w:tcPr>
                  <w:tcW w:w="297" w:type="pct"/>
                  <w:tcBorders>
                    <w:tl2br w:val="nil"/>
                    <w:tr2bl w:val="nil"/>
                  </w:tcBorders>
                  <w:vAlign w:val="center"/>
                </w:tcPr>
                <w:p w14:paraId="633075D7">
                  <w:pPr>
                    <w:pStyle w:val="59"/>
                    <w:ind w:left="-120" w:leftChars="-50" w:right="-120" w:rightChars="-50"/>
                    <w:rPr>
                      <w:rFonts w:cs="Times New Roman"/>
                    </w:rPr>
                  </w:pPr>
                  <w:r>
                    <w:rPr>
                      <w:rFonts w:cs="Times New Roman"/>
                    </w:rPr>
                    <w:t>0.45</w:t>
                  </w:r>
                </w:p>
              </w:tc>
              <w:tc>
                <w:tcPr>
                  <w:tcW w:w="247" w:type="pct"/>
                  <w:tcBorders>
                    <w:tl2br w:val="nil"/>
                    <w:tr2bl w:val="nil"/>
                  </w:tcBorders>
                  <w:vAlign w:val="center"/>
                </w:tcPr>
                <w:p w14:paraId="55259AAA">
                  <w:pPr>
                    <w:pStyle w:val="59"/>
                    <w:ind w:left="-120" w:leftChars="-50" w:right="-120" w:rightChars="-50"/>
                    <w:rPr>
                      <w:rFonts w:cs="Times New Roman"/>
                    </w:rPr>
                  </w:pPr>
                  <w:r>
                    <w:rPr>
                      <w:rFonts w:cs="Times New Roman"/>
                    </w:rPr>
                    <w:t>0.45</w:t>
                  </w:r>
                </w:p>
              </w:tc>
              <w:tc>
                <w:tcPr>
                  <w:tcW w:w="204" w:type="pct"/>
                  <w:tcBorders>
                    <w:tl2br w:val="nil"/>
                    <w:tr2bl w:val="nil"/>
                  </w:tcBorders>
                  <w:vAlign w:val="center"/>
                </w:tcPr>
                <w:p w14:paraId="1EAB4945">
                  <w:pPr>
                    <w:pStyle w:val="59"/>
                    <w:ind w:left="-120" w:leftChars="-50" w:right="-120" w:rightChars="-50"/>
                    <w:rPr>
                      <w:rFonts w:cs="Times New Roman"/>
                    </w:rPr>
                  </w:pPr>
                </w:p>
              </w:tc>
              <w:tc>
                <w:tcPr>
                  <w:tcW w:w="250" w:type="pct"/>
                  <w:tcBorders>
                    <w:tl2br w:val="nil"/>
                    <w:tr2bl w:val="nil"/>
                  </w:tcBorders>
                  <w:vAlign w:val="center"/>
                </w:tcPr>
                <w:p w14:paraId="2C26A9EB">
                  <w:pPr>
                    <w:pStyle w:val="59"/>
                    <w:ind w:left="-120" w:leftChars="-50" w:right="-120" w:rightChars="-50"/>
                    <w:rPr>
                      <w:rFonts w:cs="Times New Roman"/>
                    </w:rPr>
                  </w:pPr>
                </w:p>
              </w:tc>
              <w:tc>
                <w:tcPr>
                  <w:tcW w:w="248" w:type="pct"/>
                  <w:tcBorders>
                    <w:tl2br w:val="nil"/>
                    <w:tr2bl w:val="nil"/>
                  </w:tcBorders>
                  <w:vAlign w:val="center"/>
                </w:tcPr>
                <w:p w14:paraId="62516BA5">
                  <w:pPr>
                    <w:pStyle w:val="59"/>
                    <w:ind w:left="-120" w:leftChars="-50" w:right="-120" w:rightChars="-50"/>
                    <w:rPr>
                      <w:rFonts w:cs="Times New Roman"/>
                    </w:rPr>
                  </w:pPr>
                  <w:r>
                    <w:rPr>
                      <w:rFonts w:cs="Times New Roman"/>
                    </w:rPr>
                    <w:t>0.45</w:t>
                  </w:r>
                </w:p>
              </w:tc>
              <w:tc>
                <w:tcPr>
                  <w:tcW w:w="298" w:type="pct"/>
                  <w:tcBorders>
                    <w:tl2br w:val="nil"/>
                    <w:tr2bl w:val="nil"/>
                  </w:tcBorders>
                  <w:vAlign w:val="center"/>
                </w:tcPr>
                <w:p w14:paraId="689B7986">
                  <w:pPr>
                    <w:pStyle w:val="59"/>
                    <w:ind w:left="-120" w:leftChars="-50" w:right="-120" w:rightChars="-50"/>
                    <w:rPr>
                      <w:rFonts w:cs="Times New Roman"/>
                    </w:rPr>
                  </w:pPr>
                </w:p>
              </w:tc>
              <w:tc>
                <w:tcPr>
                  <w:tcW w:w="199" w:type="pct"/>
                  <w:tcBorders>
                    <w:tl2br w:val="nil"/>
                    <w:tr2bl w:val="nil"/>
                  </w:tcBorders>
                  <w:vAlign w:val="center"/>
                </w:tcPr>
                <w:p w14:paraId="2F91E8B1">
                  <w:pPr>
                    <w:pStyle w:val="59"/>
                    <w:ind w:left="-120" w:leftChars="-50" w:right="-120" w:rightChars="-50"/>
                    <w:rPr>
                      <w:rFonts w:cs="Times New Roman"/>
                    </w:rPr>
                  </w:pPr>
                  <w:r>
                    <w:rPr>
                      <w:rFonts w:cs="Times New Roman"/>
                    </w:rPr>
                    <w:t>0.45</w:t>
                  </w:r>
                </w:p>
              </w:tc>
              <w:tc>
                <w:tcPr>
                  <w:tcW w:w="449" w:type="pct"/>
                  <w:tcBorders>
                    <w:tl2br w:val="nil"/>
                    <w:tr2bl w:val="nil"/>
                  </w:tcBorders>
                  <w:vAlign w:val="center"/>
                </w:tcPr>
                <w:p w14:paraId="0B988E11">
                  <w:pPr>
                    <w:pStyle w:val="59"/>
                    <w:ind w:left="-120" w:leftChars="-50" w:right="-120" w:rightChars="-50"/>
                    <w:rPr>
                      <w:rFonts w:cs="Times New Roman"/>
                    </w:rPr>
                  </w:pPr>
                  <w:r>
                    <w:rPr>
                      <w:rFonts w:hint="eastAsia" w:cs="Times New Roman"/>
                    </w:rPr>
                    <w:t>堤防及护脚</w:t>
                  </w:r>
                </w:p>
              </w:tc>
              <w:tc>
                <w:tcPr>
                  <w:tcW w:w="248" w:type="pct"/>
                  <w:tcBorders>
                    <w:tl2br w:val="nil"/>
                    <w:tr2bl w:val="nil"/>
                  </w:tcBorders>
                  <w:vAlign w:val="center"/>
                </w:tcPr>
                <w:p w14:paraId="768EEBC1">
                  <w:pPr>
                    <w:pStyle w:val="59"/>
                    <w:ind w:left="-120" w:leftChars="-50" w:right="-120" w:rightChars="-50"/>
                    <w:rPr>
                      <w:rFonts w:cs="Times New Roman"/>
                    </w:rPr>
                  </w:pPr>
                  <w:r>
                    <w:rPr>
                      <w:rFonts w:cs="Times New Roman"/>
                    </w:rPr>
                    <w:t>0.45</w:t>
                  </w:r>
                </w:p>
              </w:tc>
              <w:tc>
                <w:tcPr>
                  <w:tcW w:w="386" w:type="pct"/>
                  <w:tcBorders>
                    <w:tl2br w:val="nil"/>
                    <w:tr2bl w:val="nil"/>
                  </w:tcBorders>
                  <w:vAlign w:val="center"/>
                </w:tcPr>
                <w:p w14:paraId="63F73330">
                  <w:pPr>
                    <w:pStyle w:val="59"/>
                    <w:ind w:left="-120" w:leftChars="-50" w:right="-120" w:rightChars="-50"/>
                    <w:rPr>
                      <w:rFonts w:cs="Times New Roman"/>
                    </w:rPr>
                  </w:pPr>
                  <w:r>
                    <w:rPr>
                      <w:rFonts w:hint="eastAsia" w:cs="Times New Roman"/>
                    </w:rPr>
                    <w:t>堤防及护脚</w:t>
                  </w:r>
                </w:p>
              </w:tc>
              <w:tc>
                <w:tcPr>
                  <w:tcW w:w="208" w:type="pct"/>
                  <w:tcBorders>
                    <w:tl2br w:val="nil"/>
                    <w:tr2bl w:val="nil"/>
                  </w:tcBorders>
                  <w:vAlign w:val="center"/>
                </w:tcPr>
                <w:p w14:paraId="1D739DD1">
                  <w:pPr>
                    <w:pStyle w:val="59"/>
                    <w:ind w:left="-120" w:leftChars="-50" w:right="-120" w:rightChars="-50"/>
                    <w:rPr>
                      <w:rFonts w:cs="Times New Roman"/>
                    </w:rPr>
                  </w:pPr>
                  <w:r>
                    <w:rPr>
                      <w:rFonts w:cs="Times New Roman"/>
                    </w:rPr>
                    <w:t>0.45</w:t>
                  </w:r>
                </w:p>
              </w:tc>
              <w:tc>
                <w:tcPr>
                  <w:tcW w:w="206" w:type="pct"/>
                  <w:tcBorders>
                    <w:tl2br w:val="nil"/>
                    <w:tr2bl w:val="nil"/>
                  </w:tcBorders>
                  <w:vAlign w:val="center"/>
                </w:tcPr>
                <w:p w14:paraId="777A2B8C">
                  <w:pPr>
                    <w:pStyle w:val="59"/>
                    <w:ind w:left="-120" w:leftChars="-50" w:right="-120" w:rightChars="-50"/>
                    <w:rPr>
                      <w:rFonts w:cs="Times New Roman"/>
                    </w:rPr>
                  </w:pPr>
                </w:p>
              </w:tc>
              <w:tc>
                <w:tcPr>
                  <w:tcW w:w="207" w:type="pct"/>
                  <w:tcBorders>
                    <w:tl2br w:val="nil"/>
                    <w:tr2bl w:val="nil"/>
                  </w:tcBorders>
                  <w:vAlign w:val="center"/>
                </w:tcPr>
                <w:p w14:paraId="24E584C9">
                  <w:pPr>
                    <w:pStyle w:val="59"/>
                    <w:ind w:left="-120" w:leftChars="-50" w:right="-120" w:rightChars="-50"/>
                    <w:rPr>
                      <w:rFonts w:cs="Times New Roman"/>
                    </w:rPr>
                  </w:pPr>
                </w:p>
              </w:tc>
              <w:tc>
                <w:tcPr>
                  <w:tcW w:w="206" w:type="pct"/>
                  <w:tcBorders>
                    <w:tl2br w:val="nil"/>
                    <w:tr2bl w:val="nil"/>
                  </w:tcBorders>
                  <w:vAlign w:val="center"/>
                </w:tcPr>
                <w:p w14:paraId="1423CE4A">
                  <w:pPr>
                    <w:pStyle w:val="59"/>
                    <w:ind w:left="-120" w:leftChars="-50" w:right="-120" w:rightChars="-50"/>
                    <w:rPr>
                      <w:rFonts w:cs="Times New Roman"/>
                    </w:rPr>
                  </w:pPr>
                </w:p>
              </w:tc>
              <w:tc>
                <w:tcPr>
                  <w:tcW w:w="206" w:type="pct"/>
                  <w:tcBorders>
                    <w:tl2br w:val="nil"/>
                    <w:tr2bl w:val="nil"/>
                  </w:tcBorders>
                  <w:vAlign w:val="center"/>
                </w:tcPr>
                <w:p w14:paraId="3CADBA5C">
                  <w:pPr>
                    <w:pStyle w:val="59"/>
                    <w:ind w:left="-120" w:leftChars="-50" w:right="-120" w:rightChars="-50"/>
                    <w:rPr>
                      <w:rFonts w:cs="Times New Roman"/>
                    </w:rPr>
                  </w:pPr>
                  <w:r>
                    <w:rPr>
                      <w:rFonts w:cs="Times New Roman"/>
                    </w:rPr>
                    <w:t>0.00</w:t>
                  </w:r>
                </w:p>
              </w:tc>
            </w:tr>
            <w:tr w14:paraId="747BFA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3" w:type="pct"/>
                  <w:vMerge w:val="continue"/>
                  <w:tcBorders>
                    <w:tl2br w:val="nil"/>
                    <w:tr2bl w:val="nil"/>
                  </w:tcBorders>
                  <w:vAlign w:val="center"/>
                </w:tcPr>
                <w:p w14:paraId="13A0E92C">
                  <w:pPr>
                    <w:pStyle w:val="59"/>
                    <w:ind w:left="-120" w:leftChars="-50" w:right="-120" w:rightChars="-50"/>
                    <w:rPr>
                      <w:rFonts w:cs="Times New Roman"/>
                    </w:rPr>
                  </w:pPr>
                </w:p>
              </w:tc>
              <w:tc>
                <w:tcPr>
                  <w:tcW w:w="390" w:type="pct"/>
                  <w:tcBorders>
                    <w:tl2br w:val="nil"/>
                    <w:tr2bl w:val="nil"/>
                  </w:tcBorders>
                  <w:vAlign w:val="center"/>
                </w:tcPr>
                <w:p w14:paraId="1F1DF3C2">
                  <w:pPr>
                    <w:pStyle w:val="59"/>
                    <w:ind w:left="-120" w:leftChars="-50" w:right="-120" w:rightChars="-50"/>
                    <w:rPr>
                      <w:rFonts w:cs="Times New Roman"/>
                    </w:rPr>
                  </w:pPr>
                  <w:r>
                    <w:rPr>
                      <w:rFonts w:hint="eastAsia" w:cs="Times New Roman"/>
                    </w:rPr>
                    <w:t>小计</w:t>
                  </w:r>
                </w:p>
              </w:tc>
              <w:tc>
                <w:tcPr>
                  <w:tcW w:w="298" w:type="pct"/>
                  <w:tcBorders>
                    <w:tl2br w:val="nil"/>
                    <w:tr2bl w:val="nil"/>
                  </w:tcBorders>
                  <w:vAlign w:val="center"/>
                </w:tcPr>
                <w:p w14:paraId="5B1D2AD9">
                  <w:pPr>
                    <w:pStyle w:val="59"/>
                    <w:ind w:left="-120" w:leftChars="-50" w:right="-120" w:rightChars="-50"/>
                    <w:rPr>
                      <w:rFonts w:cs="Times New Roman"/>
                    </w:rPr>
                  </w:pPr>
                  <w:r>
                    <w:rPr>
                      <w:rFonts w:cs="Times New Roman"/>
                    </w:rPr>
                    <w:t>0.00</w:t>
                  </w:r>
                </w:p>
              </w:tc>
              <w:tc>
                <w:tcPr>
                  <w:tcW w:w="248" w:type="pct"/>
                  <w:tcBorders>
                    <w:tl2br w:val="nil"/>
                    <w:tr2bl w:val="nil"/>
                  </w:tcBorders>
                  <w:vAlign w:val="center"/>
                </w:tcPr>
                <w:p w14:paraId="0901AAB7">
                  <w:pPr>
                    <w:pStyle w:val="59"/>
                    <w:ind w:left="-120" w:leftChars="-50" w:right="-120" w:rightChars="-50"/>
                    <w:rPr>
                      <w:rFonts w:cs="Times New Roman"/>
                    </w:rPr>
                  </w:pPr>
                  <w:r>
                    <w:rPr>
                      <w:rFonts w:cs="Times New Roman"/>
                    </w:rPr>
                    <w:t>0.14</w:t>
                  </w:r>
                </w:p>
              </w:tc>
              <w:tc>
                <w:tcPr>
                  <w:tcW w:w="297" w:type="pct"/>
                  <w:tcBorders>
                    <w:tl2br w:val="nil"/>
                    <w:tr2bl w:val="nil"/>
                  </w:tcBorders>
                  <w:vAlign w:val="center"/>
                </w:tcPr>
                <w:p w14:paraId="1FFEE6D4">
                  <w:pPr>
                    <w:pStyle w:val="59"/>
                    <w:ind w:left="-120" w:leftChars="-50" w:right="-120" w:rightChars="-50"/>
                    <w:rPr>
                      <w:rFonts w:cs="Times New Roman"/>
                    </w:rPr>
                  </w:pPr>
                  <w:r>
                    <w:rPr>
                      <w:rFonts w:cs="Times New Roman"/>
                    </w:rPr>
                    <w:t>2.16</w:t>
                  </w:r>
                </w:p>
              </w:tc>
              <w:tc>
                <w:tcPr>
                  <w:tcW w:w="247" w:type="pct"/>
                  <w:tcBorders>
                    <w:tl2br w:val="nil"/>
                    <w:tr2bl w:val="nil"/>
                  </w:tcBorders>
                  <w:vAlign w:val="center"/>
                </w:tcPr>
                <w:p w14:paraId="10EA1D46">
                  <w:pPr>
                    <w:pStyle w:val="59"/>
                    <w:ind w:left="-120" w:leftChars="-50" w:right="-120" w:rightChars="-50"/>
                    <w:rPr>
                      <w:rFonts w:cs="Times New Roman"/>
                    </w:rPr>
                  </w:pPr>
                  <w:r>
                    <w:rPr>
                      <w:rFonts w:cs="Times New Roman"/>
                    </w:rPr>
                    <w:t>2.30</w:t>
                  </w:r>
                </w:p>
              </w:tc>
              <w:tc>
                <w:tcPr>
                  <w:tcW w:w="204" w:type="pct"/>
                  <w:tcBorders>
                    <w:tl2br w:val="nil"/>
                    <w:tr2bl w:val="nil"/>
                  </w:tcBorders>
                  <w:vAlign w:val="center"/>
                </w:tcPr>
                <w:p w14:paraId="0071BA22">
                  <w:pPr>
                    <w:pStyle w:val="59"/>
                    <w:ind w:left="-120" w:leftChars="-50" w:right="-120" w:rightChars="-50"/>
                    <w:rPr>
                      <w:rFonts w:cs="Times New Roman"/>
                    </w:rPr>
                  </w:pPr>
                  <w:r>
                    <w:rPr>
                      <w:rFonts w:cs="Times New Roman"/>
                    </w:rPr>
                    <w:t>0.00</w:t>
                  </w:r>
                </w:p>
              </w:tc>
              <w:tc>
                <w:tcPr>
                  <w:tcW w:w="250" w:type="pct"/>
                  <w:tcBorders>
                    <w:tl2br w:val="nil"/>
                    <w:tr2bl w:val="nil"/>
                  </w:tcBorders>
                  <w:vAlign w:val="center"/>
                </w:tcPr>
                <w:p w14:paraId="25FE6A91">
                  <w:pPr>
                    <w:pStyle w:val="59"/>
                    <w:ind w:left="-120" w:leftChars="-50" w:right="-120" w:rightChars="-50"/>
                    <w:rPr>
                      <w:rFonts w:cs="Times New Roman"/>
                    </w:rPr>
                  </w:pPr>
                  <w:r>
                    <w:rPr>
                      <w:rFonts w:cs="Times New Roman"/>
                    </w:rPr>
                    <w:t>0.14</w:t>
                  </w:r>
                </w:p>
              </w:tc>
              <w:tc>
                <w:tcPr>
                  <w:tcW w:w="248" w:type="pct"/>
                  <w:tcBorders>
                    <w:tl2br w:val="nil"/>
                    <w:tr2bl w:val="nil"/>
                  </w:tcBorders>
                  <w:vAlign w:val="center"/>
                </w:tcPr>
                <w:p w14:paraId="2C4B09B4">
                  <w:pPr>
                    <w:pStyle w:val="59"/>
                    <w:ind w:left="-120" w:leftChars="-50" w:right="-120" w:rightChars="-50"/>
                    <w:rPr>
                      <w:rFonts w:cs="Times New Roman"/>
                    </w:rPr>
                  </w:pPr>
                  <w:r>
                    <w:rPr>
                      <w:rFonts w:cs="Times New Roman"/>
                    </w:rPr>
                    <w:t>1.69</w:t>
                  </w:r>
                </w:p>
              </w:tc>
              <w:tc>
                <w:tcPr>
                  <w:tcW w:w="298" w:type="pct"/>
                  <w:tcBorders>
                    <w:tl2br w:val="nil"/>
                    <w:tr2bl w:val="nil"/>
                  </w:tcBorders>
                  <w:vAlign w:val="center"/>
                </w:tcPr>
                <w:p w14:paraId="55C0193D">
                  <w:pPr>
                    <w:pStyle w:val="59"/>
                    <w:ind w:left="-120" w:leftChars="-50" w:right="-120" w:rightChars="-50"/>
                    <w:rPr>
                      <w:rFonts w:cs="Times New Roman"/>
                    </w:rPr>
                  </w:pPr>
                  <w:r>
                    <w:rPr>
                      <w:rFonts w:cs="Times New Roman"/>
                    </w:rPr>
                    <w:t>0.47</w:t>
                  </w:r>
                </w:p>
              </w:tc>
              <w:tc>
                <w:tcPr>
                  <w:tcW w:w="199" w:type="pct"/>
                  <w:tcBorders>
                    <w:tl2br w:val="nil"/>
                    <w:tr2bl w:val="nil"/>
                  </w:tcBorders>
                  <w:vAlign w:val="center"/>
                </w:tcPr>
                <w:p w14:paraId="45952F5C">
                  <w:pPr>
                    <w:pStyle w:val="59"/>
                    <w:ind w:left="-120" w:leftChars="-50" w:right="-120" w:rightChars="-50"/>
                    <w:rPr>
                      <w:rFonts w:cs="Times New Roman"/>
                    </w:rPr>
                  </w:pPr>
                  <w:r>
                    <w:rPr>
                      <w:rFonts w:cs="Times New Roman"/>
                    </w:rPr>
                    <w:t>2.30</w:t>
                  </w:r>
                </w:p>
              </w:tc>
              <w:tc>
                <w:tcPr>
                  <w:tcW w:w="449" w:type="pct"/>
                  <w:tcBorders>
                    <w:tl2br w:val="nil"/>
                    <w:tr2bl w:val="nil"/>
                  </w:tcBorders>
                  <w:vAlign w:val="center"/>
                </w:tcPr>
                <w:p w14:paraId="0746B7B0">
                  <w:pPr>
                    <w:pStyle w:val="59"/>
                    <w:ind w:left="-120" w:leftChars="-50" w:right="-120" w:rightChars="-50"/>
                    <w:rPr>
                      <w:rFonts w:cs="Times New Roman"/>
                    </w:rPr>
                  </w:pPr>
                  <w:r>
                    <w:rPr>
                      <w:rFonts w:cs="Times New Roman"/>
                    </w:rPr>
                    <w:t>0.00</w:t>
                  </w:r>
                </w:p>
              </w:tc>
              <w:tc>
                <w:tcPr>
                  <w:tcW w:w="248" w:type="pct"/>
                  <w:tcBorders>
                    <w:tl2br w:val="nil"/>
                    <w:tr2bl w:val="nil"/>
                  </w:tcBorders>
                  <w:vAlign w:val="center"/>
                </w:tcPr>
                <w:p w14:paraId="3F01978E">
                  <w:pPr>
                    <w:pStyle w:val="59"/>
                    <w:ind w:left="-120" w:leftChars="-50" w:right="-120" w:rightChars="-50"/>
                    <w:rPr>
                      <w:rFonts w:cs="Times New Roman"/>
                    </w:rPr>
                  </w:pPr>
                  <w:r>
                    <w:rPr>
                      <w:rFonts w:cs="Times New Roman"/>
                    </w:rPr>
                    <w:t>0.99</w:t>
                  </w:r>
                </w:p>
              </w:tc>
              <w:tc>
                <w:tcPr>
                  <w:tcW w:w="386" w:type="pct"/>
                  <w:tcBorders>
                    <w:tl2br w:val="nil"/>
                    <w:tr2bl w:val="nil"/>
                  </w:tcBorders>
                  <w:vAlign w:val="center"/>
                </w:tcPr>
                <w:p w14:paraId="3B1FFA67">
                  <w:pPr>
                    <w:pStyle w:val="59"/>
                    <w:ind w:left="-120" w:leftChars="-50" w:right="-120" w:rightChars="-50"/>
                    <w:rPr>
                      <w:rFonts w:cs="Times New Roman"/>
                    </w:rPr>
                  </w:pPr>
                  <w:r>
                    <w:rPr>
                      <w:rFonts w:cs="Times New Roman"/>
                    </w:rPr>
                    <w:t>0.00</w:t>
                  </w:r>
                </w:p>
              </w:tc>
              <w:tc>
                <w:tcPr>
                  <w:tcW w:w="208" w:type="pct"/>
                  <w:tcBorders>
                    <w:tl2br w:val="nil"/>
                    <w:tr2bl w:val="nil"/>
                  </w:tcBorders>
                  <w:vAlign w:val="center"/>
                </w:tcPr>
                <w:p w14:paraId="54D616C3">
                  <w:pPr>
                    <w:pStyle w:val="59"/>
                    <w:ind w:left="-120" w:leftChars="-50" w:right="-120" w:rightChars="-50"/>
                    <w:rPr>
                      <w:rFonts w:cs="Times New Roman"/>
                    </w:rPr>
                  </w:pPr>
                  <w:r>
                    <w:rPr>
                      <w:rFonts w:cs="Times New Roman"/>
                    </w:rPr>
                    <w:t>0.99</w:t>
                  </w:r>
                </w:p>
              </w:tc>
              <w:tc>
                <w:tcPr>
                  <w:tcW w:w="206" w:type="pct"/>
                  <w:tcBorders>
                    <w:tl2br w:val="nil"/>
                    <w:tr2bl w:val="nil"/>
                  </w:tcBorders>
                  <w:vAlign w:val="center"/>
                </w:tcPr>
                <w:p w14:paraId="34340C69">
                  <w:pPr>
                    <w:pStyle w:val="59"/>
                    <w:ind w:left="-120" w:leftChars="-50" w:right="-120" w:rightChars="-50"/>
                    <w:rPr>
                      <w:rFonts w:cs="Times New Roman"/>
                    </w:rPr>
                  </w:pPr>
                  <w:r>
                    <w:rPr>
                      <w:rFonts w:cs="Times New Roman"/>
                    </w:rPr>
                    <w:t>0.00</w:t>
                  </w:r>
                </w:p>
              </w:tc>
              <w:tc>
                <w:tcPr>
                  <w:tcW w:w="207" w:type="pct"/>
                  <w:tcBorders>
                    <w:tl2br w:val="nil"/>
                    <w:tr2bl w:val="nil"/>
                  </w:tcBorders>
                  <w:vAlign w:val="center"/>
                </w:tcPr>
                <w:p w14:paraId="4BCCDC41">
                  <w:pPr>
                    <w:pStyle w:val="59"/>
                    <w:ind w:left="-120" w:leftChars="-50" w:right="-120" w:rightChars="-50"/>
                    <w:rPr>
                      <w:rFonts w:cs="Times New Roman"/>
                    </w:rPr>
                  </w:pPr>
                  <w:r>
                    <w:rPr>
                      <w:rFonts w:cs="Times New Roman"/>
                    </w:rPr>
                    <w:t>0.00</w:t>
                  </w:r>
                </w:p>
              </w:tc>
              <w:tc>
                <w:tcPr>
                  <w:tcW w:w="206" w:type="pct"/>
                  <w:tcBorders>
                    <w:tl2br w:val="nil"/>
                    <w:tr2bl w:val="nil"/>
                  </w:tcBorders>
                  <w:vAlign w:val="center"/>
                </w:tcPr>
                <w:p w14:paraId="0D2A87BA">
                  <w:pPr>
                    <w:pStyle w:val="59"/>
                    <w:ind w:left="-120" w:leftChars="-50" w:right="-120" w:rightChars="-50"/>
                    <w:rPr>
                      <w:rFonts w:cs="Times New Roman"/>
                    </w:rPr>
                  </w:pPr>
                  <w:r>
                    <w:rPr>
                      <w:rFonts w:cs="Times New Roman"/>
                    </w:rPr>
                    <w:t>0.00</w:t>
                  </w:r>
                </w:p>
              </w:tc>
              <w:tc>
                <w:tcPr>
                  <w:tcW w:w="206" w:type="pct"/>
                  <w:tcBorders>
                    <w:tl2br w:val="nil"/>
                    <w:tr2bl w:val="nil"/>
                  </w:tcBorders>
                  <w:vAlign w:val="center"/>
                </w:tcPr>
                <w:p w14:paraId="33A5A371">
                  <w:pPr>
                    <w:pStyle w:val="59"/>
                    <w:ind w:left="-120" w:leftChars="-50" w:right="-120" w:rightChars="-50"/>
                    <w:rPr>
                      <w:rFonts w:cs="Times New Roman"/>
                    </w:rPr>
                  </w:pPr>
                  <w:r>
                    <w:rPr>
                      <w:rFonts w:cs="Times New Roman"/>
                    </w:rPr>
                    <w:t>0.00</w:t>
                  </w:r>
                </w:p>
              </w:tc>
            </w:tr>
            <w:tr w14:paraId="49997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84" w:type="pct"/>
                  <w:gridSpan w:val="2"/>
                  <w:tcBorders>
                    <w:tl2br w:val="nil"/>
                    <w:tr2bl w:val="nil"/>
                  </w:tcBorders>
                  <w:vAlign w:val="center"/>
                </w:tcPr>
                <w:p w14:paraId="534E486C">
                  <w:pPr>
                    <w:pStyle w:val="59"/>
                    <w:ind w:left="-120" w:leftChars="-50" w:right="-120" w:rightChars="-50"/>
                    <w:rPr>
                      <w:rFonts w:cs="Times New Roman"/>
                    </w:rPr>
                  </w:pPr>
                  <w:r>
                    <w:rPr>
                      <w:rFonts w:hint="eastAsia" w:cs="Times New Roman"/>
                    </w:rPr>
                    <w:t>施工场地</w:t>
                  </w:r>
                </w:p>
              </w:tc>
              <w:tc>
                <w:tcPr>
                  <w:tcW w:w="298" w:type="pct"/>
                  <w:tcBorders>
                    <w:tl2br w:val="nil"/>
                    <w:tr2bl w:val="nil"/>
                  </w:tcBorders>
                  <w:vAlign w:val="center"/>
                </w:tcPr>
                <w:p w14:paraId="7D3D4081">
                  <w:pPr>
                    <w:pStyle w:val="59"/>
                    <w:ind w:left="-120" w:leftChars="-50" w:right="-120" w:rightChars="-50"/>
                    <w:rPr>
                      <w:rFonts w:cs="Times New Roman"/>
                    </w:rPr>
                  </w:pPr>
                </w:p>
              </w:tc>
              <w:tc>
                <w:tcPr>
                  <w:tcW w:w="248" w:type="pct"/>
                  <w:tcBorders>
                    <w:tl2br w:val="nil"/>
                    <w:tr2bl w:val="nil"/>
                  </w:tcBorders>
                  <w:vAlign w:val="center"/>
                </w:tcPr>
                <w:p w14:paraId="31E09CEF">
                  <w:pPr>
                    <w:pStyle w:val="59"/>
                    <w:ind w:left="-120" w:leftChars="-50" w:right="-120" w:rightChars="-50"/>
                    <w:rPr>
                      <w:rFonts w:cs="Times New Roman"/>
                    </w:rPr>
                  </w:pPr>
                  <w:r>
                    <w:rPr>
                      <w:rFonts w:cs="Times New Roman"/>
                    </w:rPr>
                    <w:t>0.02</w:t>
                  </w:r>
                </w:p>
              </w:tc>
              <w:tc>
                <w:tcPr>
                  <w:tcW w:w="297" w:type="pct"/>
                  <w:tcBorders>
                    <w:tl2br w:val="nil"/>
                    <w:tr2bl w:val="nil"/>
                  </w:tcBorders>
                  <w:vAlign w:val="center"/>
                </w:tcPr>
                <w:p w14:paraId="10F15146">
                  <w:pPr>
                    <w:pStyle w:val="59"/>
                    <w:ind w:left="-120" w:leftChars="-50" w:right="-120" w:rightChars="-50"/>
                    <w:rPr>
                      <w:rFonts w:cs="Times New Roman"/>
                    </w:rPr>
                  </w:pPr>
                </w:p>
              </w:tc>
              <w:tc>
                <w:tcPr>
                  <w:tcW w:w="247" w:type="pct"/>
                  <w:tcBorders>
                    <w:tl2br w:val="nil"/>
                    <w:tr2bl w:val="nil"/>
                  </w:tcBorders>
                  <w:vAlign w:val="center"/>
                </w:tcPr>
                <w:p w14:paraId="14C792BE">
                  <w:pPr>
                    <w:pStyle w:val="59"/>
                    <w:ind w:left="-120" w:leftChars="-50" w:right="-120" w:rightChars="-50"/>
                    <w:rPr>
                      <w:rFonts w:cs="Times New Roman"/>
                    </w:rPr>
                  </w:pPr>
                  <w:r>
                    <w:rPr>
                      <w:rFonts w:cs="Times New Roman"/>
                    </w:rPr>
                    <w:t>0.02</w:t>
                  </w:r>
                </w:p>
              </w:tc>
              <w:tc>
                <w:tcPr>
                  <w:tcW w:w="204" w:type="pct"/>
                  <w:tcBorders>
                    <w:tl2br w:val="nil"/>
                    <w:tr2bl w:val="nil"/>
                  </w:tcBorders>
                  <w:vAlign w:val="center"/>
                </w:tcPr>
                <w:p w14:paraId="47555239">
                  <w:pPr>
                    <w:pStyle w:val="59"/>
                    <w:ind w:left="-120" w:leftChars="-50" w:right="-120" w:rightChars="-50"/>
                    <w:rPr>
                      <w:rFonts w:cs="Times New Roman"/>
                    </w:rPr>
                  </w:pPr>
                </w:p>
              </w:tc>
              <w:tc>
                <w:tcPr>
                  <w:tcW w:w="250" w:type="pct"/>
                  <w:tcBorders>
                    <w:tl2br w:val="nil"/>
                    <w:tr2bl w:val="nil"/>
                  </w:tcBorders>
                  <w:vAlign w:val="center"/>
                </w:tcPr>
                <w:p w14:paraId="2F402E53">
                  <w:pPr>
                    <w:pStyle w:val="59"/>
                    <w:ind w:left="-120" w:leftChars="-50" w:right="-120" w:rightChars="-50"/>
                    <w:rPr>
                      <w:rFonts w:cs="Times New Roman"/>
                    </w:rPr>
                  </w:pPr>
                  <w:r>
                    <w:rPr>
                      <w:rFonts w:cs="Times New Roman"/>
                    </w:rPr>
                    <w:t>0.02</w:t>
                  </w:r>
                </w:p>
              </w:tc>
              <w:tc>
                <w:tcPr>
                  <w:tcW w:w="248" w:type="pct"/>
                  <w:tcBorders>
                    <w:tl2br w:val="nil"/>
                    <w:tr2bl w:val="nil"/>
                  </w:tcBorders>
                  <w:vAlign w:val="center"/>
                </w:tcPr>
                <w:p w14:paraId="4C3DE2EB">
                  <w:pPr>
                    <w:pStyle w:val="59"/>
                    <w:ind w:left="-120" w:leftChars="-50" w:right="-120" w:rightChars="-50"/>
                    <w:rPr>
                      <w:rFonts w:cs="Times New Roman"/>
                    </w:rPr>
                  </w:pPr>
                </w:p>
              </w:tc>
              <w:tc>
                <w:tcPr>
                  <w:tcW w:w="298" w:type="pct"/>
                  <w:tcBorders>
                    <w:tl2br w:val="nil"/>
                    <w:tr2bl w:val="nil"/>
                  </w:tcBorders>
                  <w:vAlign w:val="center"/>
                </w:tcPr>
                <w:p w14:paraId="7D37371F">
                  <w:pPr>
                    <w:pStyle w:val="59"/>
                    <w:ind w:left="-120" w:leftChars="-50" w:right="-120" w:rightChars="-50"/>
                    <w:rPr>
                      <w:rFonts w:cs="Times New Roman"/>
                    </w:rPr>
                  </w:pPr>
                </w:p>
              </w:tc>
              <w:tc>
                <w:tcPr>
                  <w:tcW w:w="199" w:type="pct"/>
                  <w:tcBorders>
                    <w:tl2br w:val="nil"/>
                    <w:tr2bl w:val="nil"/>
                  </w:tcBorders>
                  <w:vAlign w:val="center"/>
                </w:tcPr>
                <w:p w14:paraId="4A4A93BA">
                  <w:pPr>
                    <w:pStyle w:val="59"/>
                    <w:ind w:left="-120" w:leftChars="-50" w:right="-120" w:rightChars="-50"/>
                    <w:rPr>
                      <w:rFonts w:cs="Times New Roman"/>
                    </w:rPr>
                  </w:pPr>
                  <w:r>
                    <w:rPr>
                      <w:rFonts w:cs="Times New Roman"/>
                    </w:rPr>
                    <w:t>0.02</w:t>
                  </w:r>
                </w:p>
              </w:tc>
              <w:tc>
                <w:tcPr>
                  <w:tcW w:w="449" w:type="pct"/>
                  <w:tcBorders>
                    <w:tl2br w:val="nil"/>
                    <w:tr2bl w:val="nil"/>
                  </w:tcBorders>
                  <w:vAlign w:val="center"/>
                </w:tcPr>
                <w:p w14:paraId="2A121CF7">
                  <w:pPr>
                    <w:pStyle w:val="59"/>
                    <w:ind w:left="-120" w:leftChars="-50" w:right="-120" w:rightChars="-50"/>
                    <w:rPr>
                      <w:rFonts w:cs="Times New Roman"/>
                    </w:rPr>
                  </w:pPr>
                </w:p>
              </w:tc>
              <w:tc>
                <w:tcPr>
                  <w:tcW w:w="248" w:type="pct"/>
                  <w:tcBorders>
                    <w:tl2br w:val="nil"/>
                    <w:tr2bl w:val="nil"/>
                  </w:tcBorders>
                  <w:vAlign w:val="center"/>
                </w:tcPr>
                <w:p w14:paraId="13EDF3C5">
                  <w:pPr>
                    <w:pStyle w:val="59"/>
                    <w:ind w:left="-120" w:leftChars="-50" w:right="-120" w:rightChars="-50"/>
                    <w:rPr>
                      <w:rFonts w:cs="Times New Roman"/>
                    </w:rPr>
                  </w:pPr>
                </w:p>
              </w:tc>
              <w:tc>
                <w:tcPr>
                  <w:tcW w:w="386" w:type="pct"/>
                  <w:tcBorders>
                    <w:tl2br w:val="nil"/>
                    <w:tr2bl w:val="nil"/>
                  </w:tcBorders>
                  <w:vAlign w:val="center"/>
                </w:tcPr>
                <w:p w14:paraId="2AAD7D59">
                  <w:pPr>
                    <w:pStyle w:val="59"/>
                    <w:ind w:left="-120" w:leftChars="-50" w:right="-120" w:rightChars="-50"/>
                    <w:rPr>
                      <w:rFonts w:cs="Times New Roman"/>
                    </w:rPr>
                  </w:pPr>
                </w:p>
              </w:tc>
              <w:tc>
                <w:tcPr>
                  <w:tcW w:w="208" w:type="pct"/>
                  <w:tcBorders>
                    <w:tl2br w:val="nil"/>
                    <w:tr2bl w:val="nil"/>
                  </w:tcBorders>
                  <w:vAlign w:val="center"/>
                </w:tcPr>
                <w:p w14:paraId="5CAE7C52">
                  <w:pPr>
                    <w:pStyle w:val="59"/>
                    <w:ind w:left="-120" w:leftChars="-50" w:right="-120" w:rightChars="-50"/>
                    <w:rPr>
                      <w:rFonts w:cs="Times New Roman"/>
                    </w:rPr>
                  </w:pPr>
                </w:p>
              </w:tc>
              <w:tc>
                <w:tcPr>
                  <w:tcW w:w="206" w:type="pct"/>
                  <w:tcBorders>
                    <w:tl2br w:val="nil"/>
                    <w:tr2bl w:val="nil"/>
                  </w:tcBorders>
                  <w:vAlign w:val="center"/>
                </w:tcPr>
                <w:p w14:paraId="2CE45073">
                  <w:pPr>
                    <w:pStyle w:val="59"/>
                    <w:ind w:left="-120" w:leftChars="-50" w:right="-120" w:rightChars="-50"/>
                    <w:rPr>
                      <w:rFonts w:cs="Times New Roman"/>
                    </w:rPr>
                  </w:pPr>
                </w:p>
              </w:tc>
              <w:tc>
                <w:tcPr>
                  <w:tcW w:w="207" w:type="pct"/>
                  <w:tcBorders>
                    <w:tl2br w:val="nil"/>
                    <w:tr2bl w:val="nil"/>
                  </w:tcBorders>
                  <w:vAlign w:val="center"/>
                </w:tcPr>
                <w:p w14:paraId="4DEF0C84">
                  <w:pPr>
                    <w:pStyle w:val="59"/>
                    <w:ind w:left="-120" w:leftChars="-50" w:right="-120" w:rightChars="-50"/>
                    <w:rPr>
                      <w:rFonts w:cs="Times New Roman"/>
                    </w:rPr>
                  </w:pPr>
                </w:p>
              </w:tc>
              <w:tc>
                <w:tcPr>
                  <w:tcW w:w="206" w:type="pct"/>
                  <w:tcBorders>
                    <w:tl2br w:val="nil"/>
                    <w:tr2bl w:val="nil"/>
                  </w:tcBorders>
                  <w:vAlign w:val="center"/>
                </w:tcPr>
                <w:p w14:paraId="66BFFB64">
                  <w:pPr>
                    <w:pStyle w:val="59"/>
                    <w:ind w:left="-120" w:leftChars="-50" w:right="-120" w:rightChars="-50"/>
                    <w:rPr>
                      <w:rFonts w:cs="Times New Roman"/>
                    </w:rPr>
                  </w:pPr>
                </w:p>
              </w:tc>
              <w:tc>
                <w:tcPr>
                  <w:tcW w:w="206" w:type="pct"/>
                  <w:tcBorders>
                    <w:tl2br w:val="nil"/>
                    <w:tr2bl w:val="nil"/>
                  </w:tcBorders>
                  <w:vAlign w:val="center"/>
                </w:tcPr>
                <w:p w14:paraId="6E1C2A8E">
                  <w:pPr>
                    <w:pStyle w:val="59"/>
                    <w:ind w:left="-120" w:leftChars="-50" w:right="-120" w:rightChars="-50"/>
                    <w:rPr>
                      <w:rFonts w:cs="Times New Roman"/>
                    </w:rPr>
                  </w:pPr>
                  <w:r>
                    <w:rPr>
                      <w:rFonts w:cs="Times New Roman"/>
                    </w:rPr>
                    <w:t>0.00</w:t>
                  </w:r>
                </w:p>
              </w:tc>
            </w:tr>
            <w:tr w14:paraId="424E3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84" w:type="pct"/>
                  <w:gridSpan w:val="2"/>
                  <w:tcBorders>
                    <w:tl2br w:val="nil"/>
                    <w:tr2bl w:val="nil"/>
                  </w:tcBorders>
                  <w:vAlign w:val="center"/>
                </w:tcPr>
                <w:p w14:paraId="1EFAC227">
                  <w:pPr>
                    <w:pStyle w:val="59"/>
                    <w:ind w:left="-120" w:leftChars="-50" w:right="-120" w:rightChars="-50"/>
                    <w:rPr>
                      <w:rFonts w:cs="Times New Roman"/>
                    </w:rPr>
                  </w:pPr>
                  <w:r>
                    <w:rPr>
                      <w:rFonts w:hint="eastAsia" w:cs="Times New Roman"/>
                    </w:rPr>
                    <w:t>合计</w:t>
                  </w:r>
                </w:p>
              </w:tc>
              <w:tc>
                <w:tcPr>
                  <w:tcW w:w="298" w:type="pct"/>
                  <w:tcBorders>
                    <w:tl2br w:val="nil"/>
                    <w:tr2bl w:val="nil"/>
                  </w:tcBorders>
                  <w:vAlign w:val="center"/>
                </w:tcPr>
                <w:p w14:paraId="14F7227E">
                  <w:pPr>
                    <w:pStyle w:val="59"/>
                    <w:ind w:left="-120" w:leftChars="-50" w:right="-120" w:rightChars="-50"/>
                    <w:rPr>
                      <w:rFonts w:cs="Times New Roman"/>
                    </w:rPr>
                  </w:pPr>
                  <w:r>
                    <w:rPr>
                      <w:rFonts w:cs="Times New Roman"/>
                    </w:rPr>
                    <w:t>0.00</w:t>
                  </w:r>
                </w:p>
              </w:tc>
              <w:tc>
                <w:tcPr>
                  <w:tcW w:w="248" w:type="pct"/>
                  <w:tcBorders>
                    <w:tl2br w:val="nil"/>
                    <w:tr2bl w:val="nil"/>
                  </w:tcBorders>
                  <w:vAlign w:val="center"/>
                </w:tcPr>
                <w:p w14:paraId="67F30AD2">
                  <w:pPr>
                    <w:pStyle w:val="59"/>
                    <w:ind w:left="-120" w:leftChars="-50" w:right="-120" w:rightChars="-50"/>
                    <w:rPr>
                      <w:rFonts w:cs="Times New Roman"/>
                    </w:rPr>
                  </w:pPr>
                  <w:r>
                    <w:rPr>
                      <w:rFonts w:cs="Times New Roman"/>
                    </w:rPr>
                    <w:t>0.16</w:t>
                  </w:r>
                </w:p>
              </w:tc>
              <w:tc>
                <w:tcPr>
                  <w:tcW w:w="297" w:type="pct"/>
                  <w:tcBorders>
                    <w:tl2br w:val="nil"/>
                    <w:tr2bl w:val="nil"/>
                  </w:tcBorders>
                  <w:vAlign w:val="center"/>
                </w:tcPr>
                <w:p w14:paraId="71F30C54">
                  <w:pPr>
                    <w:pStyle w:val="59"/>
                    <w:ind w:left="-120" w:leftChars="-50" w:right="-120" w:rightChars="-50"/>
                    <w:rPr>
                      <w:rFonts w:cs="Times New Roman"/>
                    </w:rPr>
                  </w:pPr>
                  <w:r>
                    <w:rPr>
                      <w:rFonts w:cs="Times New Roman"/>
                    </w:rPr>
                    <w:t>2.16</w:t>
                  </w:r>
                </w:p>
              </w:tc>
              <w:tc>
                <w:tcPr>
                  <w:tcW w:w="247" w:type="pct"/>
                  <w:tcBorders>
                    <w:tl2br w:val="nil"/>
                    <w:tr2bl w:val="nil"/>
                  </w:tcBorders>
                  <w:vAlign w:val="center"/>
                </w:tcPr>
                <w:p w14:paraId="142CDDE4">
                  <w:pPr>
                    <w:pStyle w:val="59"/>
                    <w:ind w:left="-120" w:leftChars="-50" w:right="-120" w:rightChars="-50"/>
                    <w:rPr>
                      <w:rFonts w:cs="Times New Roman"/>
                    </w:rPr>
                  </w:pPr>
                  <w:r>
                    <w:rPr>
                      <w:rFonts w:cs="Times New Roman"/>
                    </w:rPr>
                    <w:t>2.32</w:t>
                  </w:r>
                </w:p>
              </w:tc>
              <w:tc>
                <w:tcPr>
                  <w:tcW w:w="204" w:type="pct"/>
                  <w:tcBorders>
                    <w:tl2br w:val="nil"/>
                    <w:tr2bl w:val="nil"/>
                  </w:tcBorders>
                  <w:vAlign w:val="center"/>
                </w:tcPr>
                <w:p w14:paraId="1849328C">
                  <w:pPr>
                    <w:pStyle w:val="59"/>
                    <w:ind w:left="-120" w:leftChars="-50" w:right="-120" w:rightChars="-50"/>
                    <w:rPr>
                      <w:rFonts w:cs="Times New Roman"/>
                    </w:rPr>
                  </w:pPr>
                  <w:r>
                    <w:rPr>
                      <w:rFonts w:cs="Times New Roman"/>
                    </w:rPr>
                    <w:t>0.00</w:t>
                  </w:r>
                </w:p>
              </w:tc>
              <w:tc>
                <w:tcPr>
                  <w:tcW w:w="250" w:type="pct"/>
                  <w:tcBorders>
                    <w:tl2br w:val="nil"/>
                    <w:tr2bl w:val="nil"/>
                  </w:tcBorders>
                  <w:vAlign w:val="center"/>
                </w:tcPr>
                <w:p w14:paraId="4B24D99C">
                  <w:pPr>
                    <w:pStyle w:val="59"/>
                    <w:ind w:left="-120" w:leftChars="-50" w:right="-120" w:rightChars="-50"/>
                    <w:rPr>
                      <w:rFonts w:cs="Times New Roman"/>
                    </w:rPr>
                  </w:pPr>
                  <w:r>
                    <w:rPr>
                      <w:rFonts w:cs="Times New Roman"/>
                    </w:rPr>
                    <w:t>0.16</w:t>
                  </w:r>
                </w:p>
              </w:tc>
              <w:tc>
                <w:tcPr>
                  <w:tcW w:w="248" w:type="pct"/>
                  <w:tcBorders>
                    <w:tl2br w:val="nil"/>
                    <w:tr2bl w:val="nil"/>
                  </w:tcBorders>
                  <w:vAlign w:val="center"/>
                </w:tcPr>
                <w:p w14:paraId="5FBD0AB7">
                  <w:pPr>
                    <w:pStyle w:val="59"/>
                    <w:ind w:left="-120" w:leftChars="-50" w:right="-120" w:rightChars="-50"/>
                    <w:rPr>
                      <w:rFonts w:cs="Times New Roman"/>
                    </w:rPr>
                  </w:pPr>
                  <w:r>
                    <w:rPr>
                      <w:rFonts w:cs="Times New Roman"/>
                    </w:rPr>
                    <w:t>1.69</w:t>
                  </w:r>
                </w:p>
              </w:tc>
              <w:tc>
                <w:tcPr>
                  <w:tcW w:w="298" w:type="pct"/>
                  <w:tcBorders>
                    <w:tl2br w:val="nil"/>
                    <w:tr2bl w:val="nil"/>
                  </w:tcBorders>
                  <w:vAlign w:val="center"/>
                </w:tcPr>
                <w:p w14:paraId="7250EE89">
                  <w:pPr>
                    <w:pStyle w:val="59"/>
                    <w:ind w:left="-120" w:leftChars="-50" w:right="-120" w:rightChars="-50"/>
                    <w:rPr>
                      <w:rFonts w:cs="Times New Roman"/>
                    </w:rPr>
                  </w:pPr>
                  <w:r>
                    <w:rPr>
                      <w:rFonts w:cs="Times New Roman"/>
                    </w:rPr>
                    <w:t>0.47</w:t>
                  </w:r>
                </w:p>
              </w:tc>
              <w:tc>
                <w:tcPr>
                  <w:tcW w:w="199" w:type="pct"/>
                  <w:tcBorders>
                    <w:tl2br w:val="nil"/>
                    <w:tr2bl w:val="nil"/>
                  </w:tcBorders>
                  <w:vAlign w:val="center"/>
                </w:tcPr>
                <w:p w14:paraId="25DBF8BB">
                  <w:pPr>
                    <w:pStyle w:val="59"/>
                    <w:ind w:left="-120" w:leftChars="-50" w:right="-120" w:rightChars="-50"/>
                    <w:rPr>
                      <w:rFonts w:cs="Times New Roman"/>
                    </w:rPr>
                  </w:pPr>
                  <w:r>
                    <w:rPr>
                      <w:rFonts w:cs="Times New Roman"/>
                    </w:rPr>
                    <w:t>2.32</w:t>
                  </w:r>
                </w:p>
              </w:tc>
              <w:tc>
                <w:tcPr>
                  <w:tcW w:w="449" w:type="pct"/>
                  <w:tcBorders>
                    <w:tl2br w:val="nil"/>
                    <w:tr2bl w:val="nil"/>
                  </w:tcBorders>
                  <w:vAlign w:val="center"/>
                </w:tcPr>
                <w:p w14:paraId="02E1D443">
                  <w:pPr>
                    <w:pStyle w:val="59"/>
                    <w:ind w:left="-120" w:leftChars="-50" w:right="-120" w:rightChars="-50"/>
                    <w:rPr>
                      <w:rFonts w:cs="Times New Roman"/>
                    </w:rPr>
                  </w:pPr>
                  <w:r>
                    <w:rPr>
                      <w:rFonts w:cs="Times New Roman"/>
                    </w:rPr>
                    <w:t>0.00</w:t>
                  </w:r>
                </w:p>
              </w:tc>
              <w:tc>
                <w:tcPr>
                  <w:tcW w:w="248" w:type="pct"/>
                  <w:tcBorders>
                    <w:tl2br w:val="nil"/>
                    <w:tr2bl w:val="nil"/>
                  </w:tcBorders>
                  <w:vAlign w:val="center"/>
                </w:tcPr>
                <w:p w14:paraId="2C98B5E7">
                  <w:pPr>
                    <w:pStyle w:val="59"/>
                    <w:ind w:left="-120" w:leftChars="-50" w:right="-120" w:rightChars="-50"/>
                    <w:rPr>
                      <w:rFonts w:cs="Times New Roman"/>
                    </w:rPr>
                  </w:pPr>
                  <w:r>
                    <w:rPr>
                      <w:rFonts w:cs="Times New Roman"/>
                    </w:rPr>
                    <w:t>0.99</w:t>
                  </w:r>
                </w:p>
              </w:tc>
              <w:tc>
                <w:tcPr>
                  <w:tcW w:w="386" w:type="pct"/>
                  <w:tcBorders>
                    <w:tl2br w:val="nil"/>
                    <w:tr2bl w:val="nil"/>
                  </w:tcBorders>
                  <w:vAlign w:val="center"/>
                </w:tcPr>
                <w:p w14:paraId="79873529">
                  <w:pPr>
                    <w:pStyle w:val="59"/>
                    <w:ind w:left="-120" w:leftChars="-50" w:right="-120" w:rightChars="-50"/>
                    <w:rPr>
                      <w:rFonts w:cs="Times New Roman"/>
                    </w:rPr>
                  </w:pPr>
                  <w:r>
                    <w:rPr>
                      <w:rFonts w:cs="Times New Roman"/>
                    </w:rPr>
                    <w:t>0.00</w:t>
                  </w:r>
                </w:p>
              </w:tc>
              <w:tc>
                <w:tcPr>
                  <w:tcW w:w="208" w:type="pct"/>
                  <w:tcBorders>
                    <w:tl2br w:val="nil"/>
                    <w:tr2bl w:val="nil"/>
                  </w:tcBorders>
                  <w:vAlign w:val="center"/>
                </w:tcPr>
                <w:p w14:paraId="530F595C">
                  <w:pPr>
                    <w:pStyle w:val="59"/>
                    <w:ind w:left="-120" w:leftChars="-50" w:right="-120" w:rightChars="-50"/>
                    <w:rPr>
                      <w:rFonts w:cs="Times New Roman"/>
                    </w:rPr>
                  </w:pPr>
                  <w:r>
                    <w:rPr>
                      <w:rFonts w:cs="Times New Roman"/>
                    </w:rPr>
                    <w:t>0.99</w:t>
                  </w:r>
                </w:p>
              </w:tc>
              <w:tc>
                <w:tcPr>
                  <w:tcW w:w="206" w:type="pct"/>
                  <w:tcBorders>
                    <w:tl2br w:val="nil"/>
                    <w:tr2bl w:val="nil"/>
                  </w:tcBorders>
                  <w:vAlign w:val="center"/>
                </w:tcPr>
                <w:p w14:paraId="0EE3F4D1">
                  <w:pPr>
                    <w:pStyle w:val="59"/>
                    <w:ind w:left="-120" w:leftChars="-50" w:right="-120" w:rightChars="-50"/>
                    <w:rPr>
                      <w:rFonts w:cs="Times New Roman"/>
                    </w:rPr>
                  </w:pPr>
                  <w:r>
                    <w:rPr>
                      <w:rFonts w:cs="Times New Roman"/>
                    </w:rPr>
                    <w:t>0.00</w:t>
                  </w:r>
                </w:p>
              </w:tc>
              <w:tc>
                <w:tcPr>
                  <w:tcW w:w="207" w:type="pct"/>
                  <w:tcBorders>
                    <w:tl2br w:val="nil"/>
                    <w:tr2bl w:val="nil"/>
                  </w:tcBorders>
                  <w:vAlign w:val="center"/>
                </w:tcPr>
                <w:p w14:paraId="5A33B9F6">
                  <w:pPr>
                    <w:pStyle w:val="59"/>
                    <w:ind w:left="-120" w:leftChars="-50" w:right="-120" w:rightChars="-50"/>
                    <w:rPr>
                      <w:rFonts w:cs="Times New Roman"/>
                    </w:rPr>
                  </w:pPr>
                  <w:r>
                    <w:rPr>
                      <w:rFonts w:cs="Times New Roman"/>
                    </w:rPr>
                    <w:t>0.00</w:t>
                  </w:r>
                </w:p>
              </w:tc>
              <w:tc>
                <w:tcPr>
                  <w:tcW w:w="206" w:type="pct"/>
                  <w:tcBorders>
                    <w:tl2br w:val="nil"/>
                    <w:tr2bl w:val="nil"/>
                  </w:tcBorders>
                  <w:vAlign w:val="center"/>
                </w:tcPr>
                <w:p w14:paraId="0D71E983">
                  <w:pPr>
                    <w:pStyle w:val="59"/>
                    <w:ind w:left="-120" w:leftChars="-50" w:right="-120" w:rightChars="-50"/>
                    <w:rPr>
                      <w:rFonts w:cs="Times New Roman"/>
                    </w:rPr>
                  </w:pPr>
                  <w:r>
                    <w:rPr>
                      <w:rFonts w:cs="Times New Roman"/>
                    </w:rPr>
                    <w:t>0.00</w:t>
                  </w:r>
                </w:p>
              </w:tc>
              <w:tc>
                <w:tcPr>
                  <w:tcW w:w="206" w:type="pct"/>
                  <w:tcBorders>
                    <w:tl2br w:val="nil"/>
                    <w:tr2bl w:val="nil"/>
                  </w:tcBorders>
                  <w:vAlign w:val="center"/>
                </w:tcPr>
                <w:p w14:paraId="66180394">
                  <w:pPr>
                    <w:pStyle w:val="59"/>
                    <w:ind w:left="-120" w:leftChars="-50" w:right="-120" w:rightChars="-50"/>
                    <w:rPr>
                      <w:rFonts w:cs="Times New Roman"/>
                    </w:rPr>
                  </w:pPr>
                  <w:r>
                    <w:rPr>
                      <w:rFonts w:cs="Times New Roman"/>
                    </w:rPr>
                    <w:t>0.00</w:t>
                  </w:r>
                </w:p>
              </w:tc>
            </w:tr>
          </w:tbl>
          <w:p w14:paraId="4EE3F956">
            <w:pPr>
              <w:pStyle w:val="106"/>
              <w:ind w:firstLine="0" w:firstLineChars="0"/>
            </w:pPr>
          </w:p>
          <w:p w14:paraId="1AE12FB0">
            <w:pPr>
              <w:pStyle w:val="106"/>
              <w:ind w:firstLine="0" w:firstLineChars="0"/>
              <w:jc w:val="center"/>
            </w:pPr>
            <w:r>
              <mc:AlternateContent>
                <mc:Choice Requires="wpc">
                  <w:drawing>
                    <wp:inline distT="0" distB="0" distL="114300" distR="114300">
                      <wp:extent cx="5690235" cy="2717800"/>
                      <wp:effectExtent l="4445" t="4445" r="20320" b="20955"/>
                      <wp:docPr id="46" name="画布 3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a:ln w="9525" cap="flat" cmpd="sng">
                                <a:solidFill>
                                  <a:srgbClr val="000000"/>
                                </a:solidFill>
                                <a:prstDash val="solid"/>
                                <a:miter/>
                                <a:headEnd type="none" w="med" len="med"/>
                                <a:tailEnd type="none" w="med" len="med"/>
                              </a:ln>
                            </wpc:whole>
                            <wps:wsp>
                              <wps:cNvPr id="24" name="矩形 15"/>
                              <wps:cNvSpPr/>
                              <wps:spPr>
                                <a:xfrm>
                                  <a:off x="0" y="2327910"/>
                                  <a:ext cx="4709795" cy="365760"/>
                                </a:xfrm>
                                <a:prstGeom prst="rect">
                                  <a:avLst/>
                                </a:prstGeom>
                                <a:noFill/>
                                <a:ln>
                                  <a:noFill/>
                                </a:ln>
                              </wps:spPr>
                              <wps:txbx>
                                <w:txbxContent>
                                  <w:p w14:paraId="5BA61A9C">
                                    <w:pPr>
                                      <w:spacing w:line="320" w:lineRule="exact"/>
                                      <w:rPr>
                                        <w:rFonts w:eastAsia="仿宋_GB2312"/>
                                        <w:sz w:val="18"/>
                                        <w:szCs w:val="18"/>
                                      </w:rPr>
                                    </w:pPr>
                                    <w:r>
                                      <w:rPr>
                                        <w:rFonts w:hint="eastAsia" w:eastAsia="仿宋_GB2312"/>
                                        <w:sz w:val="18"/>
                                        <w:szCs w:val="18"/>
                                      </w:rPr>
                                      <w:t>注：图中均为自然方 单位：万m³</w:t>
                                    </w:r>
                                  </w:p>
                                </w:txbxContent>
                              </wps:txbx>
                              <wps:bodyPr lIns="85954" tIns="42977" rIns="85954" bIns="42977" upright="1"/>
                            </wps:wsp>
                            <wps:wsp>
                              <wps:cNvPr id="26" name="圆角矩形 17"/>
                              <wps:cNvSpPr/>
                              <wps:spPr>
                                <a:xfrm>
                                  <a:off x="76200" y="1040130"/>
                                  <a:ext cx="852170" cy="4876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58C07E60">
                                    <w:pPr>
                                      <w:jc w:val="center"/>
                                      <w:rPr>
                                        <w:rFonts w:eastAsia="仿宋_GB2312"/>
                                        <w:spacing w:val="-16"/>
                                        <w:sz w:val="20"/>
                                        <w:szCs w:val="21"/>
                                      </w:rPr>
                                    </w:pPr>
                                    <w:r>
                                      <w:rPr>
                                        <w:rFonts w:hint="eastAsia" w:eastAsia="仿宋_GB2312"/>
                                        <w:kern w:val="0"/>
                                        <w:sz w:val="18"/>
                                        <w:szCs w:val="18"/>
                                      </w:rPr>
                                      <w:t>主体工程</w:t>
                                    </w:r>
                                  </w:p>
                                </w:txbxContent>
                              </wps:txbx>
                              <wps:bodyPr lIns="85954" tIns="42977" rIns="85954" bIns="42977" upright="1"/>
                            </wps:wsp>
                            <wps:wsp>
                              <wps:cNvPr id="27" name="圆角矩形 18"/>
                              <wps:cNvSpPr/>
                              <wps:spPr>
                                <a:xfrm>
                                  <a:off x="3402330" y="135255"/>
                                  <a:ext cx="692785" cy="5416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F515ECE">
                                    <w:pPr>
                                      <w:spacing w:line="240" w:lineRule="exact"/>
                                      <w:ind w:left="-240" w:leftChars="-100" w:right="-240" w:rightChars="-100"/>
                                      <w:jc w:val="center"/>
                                      <w:rPr>
                                        <w:rFonts w:eastAsia="仿宋_GB2312"/>
                                        <w:sz w:val="17"/>
                                        <w:szCs w:val="18"/>
                                      </w:rPr>
                                    </w:pPr>
                                    <w:r>
                                      <w:rPr>
                                        <w:rFonts w:hint="eastAsia" w:eastAsia="仿宋_GB2312"/>
                                        <w:sz w:val="17"/>
                                        <w:szCs w:val="18"/>
                                      </w:rPr>
                                      <w:t>挖方2.32</w:t>
                                    </w:r>
                                  </w:p>
                                  <w:p w14:paraId="7FAEDC46">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土石2.32</w:t>
                                    </w:r>
                                  </w:p>
                                  <w:p w14:paraId="724568A8">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表土0.00</w:t>
                                    </w:r>
                                  </w:p>
                                </w:txbxContent>
                              </wps:txbx>
                              <wps:bodyPr lIns="85954" tIns="0" rIns="85954" bIns="0" upright="1"/>
                            </wps:wsp>
                            <wps:wsp>
                              <wps:cNvPr id="29" name="圆角矩形 19"/>
                              <wps:cNvSpPr/>
                              <wps:spPr>
                                <a:xfrm>
                                  <a:off x="2159000" y="143510"/>
                                  <a:ext cx="824230" cy="5334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DA1764F">
                                    <w:pPr>
                                      <w:spacing w:line="240" w:lineRule="exact"/>
                                      <w:ind w:left="-240" w:leftChars="-100" w:right="-240" w:rightChars="-100" w:firstLine="255" w:firstLineChars="150"/>
                                      <w:rPr>
                                        <w:rFonts w:eastAsia="仿宋_GB2312"/>
                                        <w:sz w:val="17"/>
                                        <w:szCs w:val="18"/>
                                      </w:rPr>
                                    </w:pPr>
                                    <w:r>
                                      <w:rPr>
                                        <w:rFonts w:hint="eastAsia" w:eastAsia="仿宋_GB2312"/>
                                        <w:sz w:val="17"/>
                                        <w:szCs w:val="18"/>
                                      </w:rPr>
                                      <w:t>填方2.32</w:t>
                                    </w:r>
                                  </w:p>
                                  <w:p w14:paraId="26447CDB">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土石2.32</w:t>
                                    </w:r>
                                  </w:p>
                                  <w:p w14:paraId="2C76B454">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表土0.00</w:t>
                                    </w:r>
                                  </w:p>
                                  <w:p w14:paraId="60F0BB07">
                                    <w:pPr>
                                      <w:spacing w:line="240" w:lineRule="exact"/>
                                      <w:ind w:left="-240" w:leftChars="-100" w:right="-240" w:rightChars="-100"/>
                                      <w:jc w:val="center"/>
                                      <w:rPr>
                                        <w:rFonts w:eastAsia="仿宋_GB2312"/>
                                        <w:sz w:val="17"/>
                                        <w:szCs w:val="18"/>
                                      </w:rPr>
                                    </w:pPr>
                                  </w:p>
                                </w:txbxContent>
                              </wps:txbx>
                              <wps:bodyPr lIns="85954" tIns="0" rIns="85954" bIns="0" upright="1"/>
                            </wps:wsp>
                            <wps:wsp>
                              <wps:cNvPr id="30" name="圆角矩形 20"/>
                              <wps:cNvSpPr/>
                              <wps:spPr>
                                <a:xfrm>
                                  <a:off x="3445510" y="1250950"/>
                                  <a:ext cx="631825" cy="2794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5D9FA847">
                                    <w:pPr>
                                      <w:spacing w:line="240" w:lineRule="atLeast"/>
                                      <w:ind w:left="-240" w:leftChars="-100" w:right="-240" w:rightChars="-100" w:firstLine="85" w:firstLineChars="50"/>
                                      <w:rPr>
                                        <w:rFonts w:eastAsia="仿宋_GB2312"/>
                                        <w:sz w:val="20"/>
                                        <w:szCs w:val="21"/>
                                      </w:rPr>
                                    </w:pPr>
                                    <w:r>
                                      <w:rPr>
                                        <w:rFonts w:hint="eastAsia" w:eastAsia="仿宋_GB2312"/>
                                        <w:sz w:val="17"/>
                                        <w:szCs w:val="18"/>
                                      </w:rPr>
                                      <w:t>土石2.30</w:t>
                                    </w:r>
                                  </w:p>
                                </w:txbxContent>
                              </wps:txbx>
                              <wps:bodyPr lIns="85954" tIns="42977" rIns="85954" bIns="42977" upright="1"/>
                            </wps:wsp>
                            <wps:wsp>
                              <wps:cNvPr id="32" name="圆角矩形 21"/>
                              <wps:cNvSpPr/>
                              <wps:spPr>
                                <a:xfrm>
                                  <a:off x="2212340" y="1258570"/>
                                  <a:ext cx="769620" cy="2794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AE5EF46">
                                    <w:pPr>
                                      <w:ind w:left="-120" w:leftChars="-50" w:right="-120" w:rightChars="-50"/>
                                      <w:jc w:val="center"/>
                                      <w:rPr>
                                        <w:rFonts w:eastAsia="仿宋_GB2312"/>
                                        <w:sz w:val="17"/>
                                        <w:szCs w:val="18"/>
                                      </w:rPr>
                                    </w:pPr>
                                    <w:r>
                                      <w:rPr>
                                        <w:rFonts w:hint="eastAsia" w:eastAsia="仿宋_GB2312"/>
                                        <w:sz w:val="17"/>
                                        <w:szCs w:val="18"/>
                                      </w:rPr>
                                      <w:t>土石2.30</w:t>
                                    </w:r>
                                  </w:p>
                                  <w:p w14:paraId="52190ADF">
                                    <w:pPr>
                                      <w:rPr>
                                        <w:rFonts w:eastAsia="仿宋_GB2312"/>
                                        <w:sz w:val="20"/>
                                        <w:szCs w:val="21"/>
                                      </w:rPr>
                                    </w:pPr>
                                  </w:p>
                                </w:txbxContent>
                              </wps:txbx>
                              <wps:bodyPr lIns="85954" tIns="42977" rIns="85954" bIns="42977" upright="1"/>
                            </wps:wsp>
                            <wps:wsp>
                              <wps:cNvPr id="33" name="圆角矩形 22"/>
                              <wps:cNvSpPr/>
                              <wps:spPr>
                                <a:xfrm>
                                  <a:off x="4653915" y="137160"/>
                                  <a:ext cx="647700" cy="5334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5075DDD">
                                    <w:pPr>
                                      <w:spacing w:line="240" w:lineRule="exact"/>
                                      <w:ind w:left="-240" w:leftChars="-100" w:right="-240" w:rightChars="-100" w:firstLine="170" w:firstLineChars="100"/>
                                      <w:rPr>
                                        <w:rFonts w:eastAsia="仿宋_GB2312"/>
                                        <w:sz w:val="17"/>
                                        <w:szCs w:val="18"/>
                                      </w:rPr>
                                    </w:pPr>
                                    <w:r>
                                      <w:rPr>
                                        <w:rFonts w:hint="eastAsia" w:eastAsia="仿宋_GB2312"/>
                                        <w:sz w:val="17"/>
                                        <w:szCs w:val="18"/>
                                      </w:rPr>
                                      <w:t>弃方0.00</w:t>
                                    </w:r>
                                  </w:p>
                                  <w:p w14:paraId="46A8B1FD">
                                    <w:pPr>
                                      <w:spacing w:line="240" w:lineRule="exact"/>
                                      <w:ind w:left="-240" w:leftChars="-100" w:right="-240" w:rightChars="-100" w:firstLine="170" w:firstLineChars="100"/>
                                      <w:jc w:val="left"/>
                                      <w:rPr>
                                        <w:rFonts w:eastAsia="仿宋_GB2312"/>
                                        <w:sz w:val="17"/>
                                        <w:szCs w:val="18"/>
                                      </w:rPr>
                                    </w:pPr>
                                    <w:r>
                                      <w:rPr>
                                        <w:rFonts w:hint="eastAsia" w:eastAsia="仿宋_GB2312"/>
                                        <w:sz w:val="17"/>
                                        <w:szCs w:val="18"/>
                                      </w:rPr>
                                      <w:t>土石方</w:t>
                                    </w:r>
                                    <w:r>
                                      <w:rPr>
                                        <w:rFonts w:eastAsia="仿宋_GB2312"/>
                                        <w:sz w:val="17"/>
                                        <w:szCs w:val="18"/>
                                      </w:rPr>
                                      <w:t>0.</w:t>
                                    </w:r>
                                    <w:r>
                                      <w:rPr>
                                        <w:rFonts w:hint="eastAsia" w:eastAsia="仿宋_GB2312"/>
                                        <w:sz w:val="17"/>
                                        <w:szCs w:val="18"/>
                                      </w:rPr>
                                      <w:t>00</w:t>
                                    </w:r>
                                  </w:p>
                                </w:txbxContent>
                              </wps:txbx>
                              <wps:bodyPr lIns="85954" tIns="0" rIns="85954" bIns="0" upright="1"/>
                            </wps:wsp>
                            <wps:wsp>
                              <wps:cNvPr id="35" name="圆角矩形 23"/>
                              <wps:cNvSpPr/>
                              <wps:spPr>
                                <a:xfrm>
                                  <a:off x="1047115" y="144145"/>
                                  <a:ext cx="647700" cy="5334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A394116">
                                    <w:pPr>
                                      <w:spacing w:line="240" w:lineRule="exact"/>
                                      <w:ind w:left="-240" w:leftChars="-100" w:right="-240" w:rightChars="-100" w:firstLine="170" w:firstLineChars="100"/>
                                      <w:rPr>
                                        <w:rFonts w:eastAsia="仿宋_GB2312"/>
                                        <w:sz w:val="17"/>
                                        <w:szCs w:val="18"/>
                                      </w:rPr>
                                    </w:pPr>
                                    <w:r>
                                      <w:rPr>
                                        <w:rFonts w:hint="eastAsia" w:eastAsia="仿宋_GB2312"/>
                                        <w:sz w:val="17"/>
                                        <w:szCs w:val="18"/>
                                      </w:rPr>
                                      <w:t>借方</w:t>
                                    </w:r>
                                    <w:r>
                                      <w:rPr>
                                        <w:rFonts w:eastAsia="仿宋_GB2312"/>
                                        <w:sz w:val="17"/>
                                        <w:szCs w:val="18"/>
                                      </w:rPr>
                                      <w:t>0.00</w:t>
                                    </w:r>
                                  </w:p>
                                </w:txbxContent>
                              </wps:txbx>
                              <wps:bodyPr lIns="85954" tIns="0" rIns="85954" bIns="0" upright="1"/>
                            </wps:wsp>
                            <wps:wsp>
                              <wps:cNvPr id="36" name="直接连接符 24"/>
                              <wps:cNvCnPr/>
                              <wps:spPr>
                                <a:xfrm flipH="1">
                                  <a:off x="2981960" y="1412240"/>
                                  <a:ext cx="449580" cy="635"/>
                                </a:xfrm>
                                <a:prstGeom prst="line">
                                  <a:avLst/>
                                </a:prstGeom>
                                <a:ln w="9525" cap="flat" cmpd="sng">
                                  <a:solidFill>
                                    <a:srgbClr val="000000"/>
                                  </a:solidFill>
                                  <a:prstDash val="solid"/>
                                  <a:headEnd type="none" w="med" len="med"/>
                                  <a:tailEnd type="triangle" w="med" len="med"/>
                                </a:ln>
                              </wps:spPr>
                              <wps:bodyPr/>
                            </wps:wsp>
                            <wps:wsp>
                              <wps:cNvPr id="38" name="矩形 25"/>
                              <wps:cNvSpPr/>
                              <wps:spPr>
                                <a:xfrm>
                                  <a:off x="2811145" y="1217930"/>
                                  <a:ext cx="859790" cy="280035"/>
                                </a:xfrm>
                                <a:prstGeom prst="rect">
                                  <a:avLst/>
                                </a:prstGeom>
                                <a:noFill/>
                                <a:ln>
                                  <a:noFill/>
                                </a:ln>
                              </wps:spPr>
                              <wps:txbx>
                                <w:txbxContent>
                                  <w:p w14:paraId="2EE3E949">
                                    <w:pPr>
                                      <w:spacing w:line="240" w:lineRule="exact"/>
                                      <w:jc w:val="center"/>
                                      <w:rPr>
                                        <w:rFonts w:eastAsia="仿宋_GB2312"/>
                                        <w:sz w:val="17"/>
                                        <w:szCs w:val="18"/>
                                      </w:rPr>
                                    </w:pPr>
                                    <w:r>
                                      <w:rPr>
                                        <w:rFonts w:hint="eastAsia" w:eastAsia="仿宋_GB2312"/>
                                        <w:sz w:val="17"/>
                                        <w:szCs w:val="18"/>
                                      </w:rPr>
                                      <w:t>2.30</w:t>
                                    </w:r>
                                  </w:p>
                                </w:txbxContent>
                              </wps:txbx>
                              <wps:bodyPr lIns="85954" tIns="42977" rIns="85954" bIns="42977" upright="1"/>
                            </wps:wsp>
                            <wps:wsp>
                              <wps:cNvPr id="39" name="圆角矩形 26"/>
                              <wps:cNvSpPr/>
                              <wps:spPr>
                                <a:xfrm>
                                  <a:off x="97155" y="1789430"/>
                                  <a:ext cx="852170" cy="4876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678452B">
                                    <w:pPr>
                                      <w:jc w:val="center"/>
                                      <w:rPr>
                                        <w:rFonts w:eastAsia="仿宋_GB2312"/>
                                        <w:spacing w:val="-16"/>
                                        <w:sz w:val="20"/>
                                        <w:szCs w:val="21"/>
                                      </w:rPr>
                                    </w:pPr>
                                    <w:r>
                                      <w:rPr>
                                        <w:rFonts w:hint="eastAsia" w:eastAsia="仿宋_GB2312"/>
                                        <w:kern w:val="0"/>
                                        <w:sz w:val="18"/>
                                        <w:szCs w:val="18"/>
                                      </w:rPr>
                                      <w:t>施工场地</w:t>
                                    </w:r>
                                  </w:p>
                                  <w:p w14:paraId="2F0272A4">
                                    <w:pPr>
                                      <w:jc w:val="center"/>
                                      <w:rPr>
                                        <w:rFonts w:eastAsia="仿宋_GB2312"/>
                                        <w:spacing w:val="-16"/>
                                        <w:sz w:val="20"/>
                                        <w:szCs w:val="21"/>
                                      </w:rPr>
                                    </w:pPr>
                                  </w:p>
                                </w:txbxContent>
                              </wps:txbx>
                              <wps:bodyPr lIns="85954" tIns="42977" rIns="85954" bIns="42977" upright="1"/>
                            </wps:wsp>
                            <wps:wsp>
                              <wps:cNvPr id="41" name="圆角矩形 27"/>
                              <wps:cNvSpPr/>
                              <wps:spPr>
                                <a:xfrm>
                                  <a:off x="2206625" y="1841500"/>
                                  <a:ext cx="800735" cy="2794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866B329">
                                    <w:pPr>
                                      <w:ind w:left="-120" w:leftChars="-50" w:right="-120" w:rightChars="-50"/>
                                      <w:jc w:val="center"/>
                                      <w:rPr>
                                        <w:rFonts w:eastAsia="仿宋_GB2312"/>
                                        <w:sz w:val="17"/>
                                        <w:szCs w:val="18"/>
                                      </w:rPr>
                                    </w:pPr>
                                    <w:r>
                                      <w:rPr>
                                        <w:rFonts w:hint="eastAsia" w:eastAsia="仿宋_GB2312"/>
                                        <w:sz w:val="17"/>
                                        <w:szCs w:val="18"/>
                                      </w:rPr>
                                      <w:t>土石0.02</w:t>
                                    </w:r>
                                  </w:p>
                                  <w:p w14:paraId="26F3F5ED">
                                    <w:pPr>
                                      <w:rPr>
                                        <w:rFonts w:eastAsia="仿宋_GB2312"/>
                                        <w:sz w:val="20"/>
                                        <w:szCs w:val="21"/>
                                      </w:rPr>
                                    </w:pPr>
                                  </w:p>
                                </w:txbxContent>
                              </wps:txbx>
                              <wps:bodyPr lIns="85954" tIns="42977" rIns="85954" bIns="42977" upright="1"/>
                            </wps:wsp>
                            <wps:wsp>
                              <wps:cNvPr id="42" name="圆角矩形 28"/>
                              <wps:cNvSpPr/>
                              <wps:spPr>
                                <a:xfrm>
                                  <a:off x="3446780" y="1841500"/>
                                  <a:ext cx="648335" cy="2794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2E3928E">
                                    <w:pPr>
                                      <w:ind w:left="-120" w:leftChars="-50" w:right="-120" w:rightChars="-50"/>
                                      <w:jc w:val="center"/>
                                      <w:rPr>
                                        <w:rFonts w:eastAsia="仿宋_GB2312"/>
                                        <w:sz w:val="20"/>
                                        <w:szCs w:val="21"/>
                                      </w:rPr>
                                    </w:pPr>
                                    <w:r>
                                      <w:rPr>
                                        <w:rFonts w:hint="eastAsia" w:eastAsia="仿宋_GB2312"/>
                                        <w:sz w:val="17"/>
                                        <w:szCs w:val="18"/>
                                      </w:rPr>
                                      <w:t>土石0.02</w:t>
                                    </w:r>
                                  </w:p>
                                </w:txbxContent>
                              </wps:txbx>
                              <wps:bodyPr lIns="85954" tIns="42977" rIns="85954" bIns="42977" upright="1"/>
                            </wps:wsp>
                            <wps:wsp>
                              <wps:cNvPr id="44" name="直接连接符 29"/>
                              <wps:cNvCnPr/>
                              <wps:spPr>
                                <a:xfrm flipH="1">
                                  <a:off x="2999740" y="1994535"/>
                                  <a:ext cx="449580" cy="635"/>
                                </a:xfrm>
                                <a:prstGeom prst="line">
                                  <a:avLst/>
                                </a:prstGeom>
                                <a:ln w="9525" cap="flat" cmpd="sng">
                                  <a:solidFill>
                                    <a:srgbClr val="000000"/>
                                  </a:solidFill>
                                  <a:prstDash val="solid"/>
                                  <a:headEnd type="none" w="med" len="med"/>
                                  <a:tailEnd type="triangle" w="med" len="med"/>
                                </a:ln>
                              </wps:spPr>
                              <wps:bodyPr/>
                            </wps:wsp>
                            <wps:wsp>
                              <wps:cNvPr id="45" name="矩形 30"/>
                              <wps:cNvSpPr/>
                              <wps:spPr>
                                <a:xfrm>
                                  <a:off x="2828925" y="1762125"/>
                                  <a:ext cx="859790" cy="280035"/>
                                </a:xfrm>
                                <a:prstGeom prst="rect">
                                  <a:avLst/>
                                </a:prstGeom>
                                <a:noFill/>
                                <a:ln>
                                  <a:noFill/>
                                </a:ln>
                              </wps:spPr>
                              <wps:txbx>
                                <w:txbxContent>
                                  <w:p w14:paraId="5ACFDE10">
                                    <w:pPr>
                                      <w:spacing w:line="240" w:lineRule="exact"/>
                                      <w:jc w:val="center"/>
                                      <w:rPr>
                                        <w:rFonts w:eastAsia="仿宋_GB2312"/>
                                        <w:sz w:val="17"/>
                                        <w:szCs w:val="18"/>
                                      </w:rPr>
                                    </w:pPr>
                                    <w:r>
                                      <w:rPr>
                                        <w:rFonts w:eastAsia="仿宋_GB2312"/>
                                        <w:sz w:val="17"/>
                                        <w:szCs w:val="18"/>
                                      </w:rPr>
                                      <w:t>0.0</w:t>
                                    </w:r>
                                    <w:r>
                                      <w:rPr>
                                        <w:rFonts w:hint="eastAsia" w:eastAsia="仿宋_GB2312"/>
                                        <w:sz w:val="17"/>
                                        <w:szCs w:val="18"/>
                                      </w:rPr>
                                      <w:t>2</w:t>
                                    </w:r>
                                  </w:p>
                                </w:txbxContent>
                              </wps:txbx>
                              <wps:bodyPr lIns="85954" tIns="42977" rIns="85954" bIns="42977" upright="1"/>
                            </wps:wsp>
                          </wpc:wpc>
                        </a:graphicData>
                      </a:graphic>
                    </wp:inline>
                  </w:drawing>
                </mc:Choice>
                <mc:Fallback>
                  <w:pict>
                    <v:group id="画布 31" o:spid="_x0000_s1026" o:spt="203" style="height:214pt;width:448.05pt;" coordsize="5690235,2717800" editas="canvas" o:gfxdata="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">
                      <o:lock v:ext="edit" aspectratio="f"/>
                      <v:shape id="画布 31" o:spid="_x0000_s1026" style="position:absolute;left:0;top:0;height:2717800;width:5690235;" fillcolor="#FFFFFF" filled="t" stroked="t" coordsize="21600,21600" o:gfxdata="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&#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">
                        <v:fill on="t" focussize="0,0"/>
                        <v:stroke color="#000000" joinstyle="miter"/>
                        <v:imagedata o:title=""/>
                        <o:lock v:ext="edit" aspectratio="t"/>
                      </v:shape>
                      <v:rect id="矩形 15" o:spid="_x0000_s1026" o:spt="1" style="position:absolute;left:0;top:2327910;height:365760;width:4709795;" filled="f" stroked="f" coordsize="21600,21600" o:gfxdata="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yQh4T1AAAAAUBAAAPAAAAAAAAAAEAIAAAACIAAABkcnMvZG93bnJldi54bWxQ&#10;SwECFAAUAAAACACHTuJA314AGsIBAAB9AwAADgAAAAAAAAABACAAAAAjAQAAZHJzL2Uyb0RvYy54&#10;bWxQSwUGAAAAAAYABgBZAQAAVwUAAAAA&#10;">
                        <v:fill on="f" focussize="0,0"/>
                        <v:stroke on="f"/>
                        <v:imagedata o:title=""/>
                        <o:lock v:ext="edit" aspectratio="f"/>
                        <v:textbox inset="6.76803149606299pt,3.3840157480315pt,6.76803149606299pt,3.3840157480315pt">
                          <w:txbxContent>
                            <w:p w14:paraId="5BA61A9C">
                              <w:pPr>
                                <w:spacing w:line="320" w:lineRule="exact"/>
                                <w:rPr>
                                  <w:rFonts w:eastAsia="仿宋_GB2312"/>
                                  <w:sz w:val="18"/>
                                  <w:szCs w:val="18"/>
                                </w:rPr>
                              </w:pPr>
                              <w:r>
                                <w:rPr>
                                  <w:rFonts w:hint="eastAsia" w:eastAsia="仿宋_GB2312"/>
                                  <w:sz w:val="18"/>
                                  <w:szCs w:val="18"/>
                                </w:rPr>
                                <w:t>注：图中均为自然方 单位：万m³</w:t>
                              </w:r>
                            </w:p>
                          </w:txbxContent>
                        </v:textbox>
                      </v:rect>
                      <v:roundrect id="圆角矩形 17" o:spid="_x0000_s1026" o:spt="2" style="position:absolute;left:76200;top:1040130;height:487680;width:852170;" fillcolor="#FFFFFF" filled="t" stroked="t" coordsize="21600,21600" arcsize="0.166666666666667" o:gfxdata="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Z7MZKdcAAAAFAQAADwAAAAAAAAABACAA&#10;AAAiAAAAZHJzL2Rvd25yZXYueG1sUEsBAhQAFAAAAAgAh07iQBnWsp1HAgAAlQQAAA4AAAAAAAAA&#10;AQAgAAAAJgEAAGRycy9lMm9Eb2MueG1sUEsFBgAAAAAGAAYAWQEAAN8FAAAAAA==&#10;">
                        <v:fill on="t" focussize="0,0"/>
                        <v:stroke color="#000000" joinstyle="round"/>
                        <v:imagedata o:title=""/>
                        <o:lock v:ext="edit" aspectratio="f"/>
                        <v:textbox inset="6.76803149606299pt,3.3840157480315pt,6.76803149606299pt,3.3840157480315pt">
                          <w:txbxContent>
                            <w:p w14:paraId="58C07E60">
                              <w:pPr>
                                <w:jc w:val="center"/>
                                <w:rPr>
                                  <w:rFonts w:eastAsia="仿宋_GB2312"/>
                                  <w:spacing w:val="-16"/>
                                  <w:sz w:val="20"/>
                                  <w:szCs w:val="21"/>
                                </w:rPr>
                              </w:pPr>
                              <w:r>
                                <w:rPr>
                                  <w:rFonts w:hint="eastAsia" w:eastAsia="仿宋_GB2312"/>
                                  <w:kern w:val="0"/>
                                  <w:sz w:val="18"/>
                                  <w:szCs w:val="18"/>
                                </w:rPr>
                                <w:t>主体工程</w:t>
                              </w:r>
                            </w:p>
                          </w:txbxContent>
                        </v:textbox>
                      </v:roundrect>
                      <v:roundrect id="圆角矩形 18" o:spid="_x0000_s1026" o:spt="2" style="position:absolute;left:3402330;top:135255;height:541655;width:692785;" fillcolor="#FFFFFF" filled="t" stroked="t" coordsize="21600,21600" arcsize="0.166666666666667" o:gfxdata="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Ksy2h1QAAAAUBAAAPAAAAAAAAAAEAIAAAACIA&#10;AABkcnMvZG93bnJldi54bWxQSwECFAAUAAAACACHTuJAhTOkb0UCAACOBAAADgAAAAAAAAABACAA&#10;AAAkAQAAZHJzL2Uyb0RvYy54bWxQSwUGAAAAAAYABgBZAQAA2wUAAAAA&#10;">
                        <v:fill on="t" focussize="0,0"/>
                        <v:stroke color="#000000" joinstyle="round"/>
                        <v:imagedata o:title=""/>
                        <o:lock v:ext="edit" aspectratio="f"/>
                        <v:textbox inset="6.76803149606299pt,0mm,6.76803149606299pt,0mm">
                          <w:txbxContent>
                            <w:p w14:paraId="4F515ECE">
                              <w:pPr>
                                <w:spacing w:line="240" w:lineRule="exact"/>
                                <w:ind w:left="-240" w:leftChars="-100" w:right="-240" w:rightChars="-100"/>
                                <w:jc w:val="center"/>
                                <w:rPr>
                                  <w:rFonts w:eastAsia="仿宋_GB2312"/>
                                  <w:sz w:val="17"/>
                                  <w:szCs w:val="18"/>
                                </w:rPr>
                              </w:pPr>
                              <w:r>
                                <w:rPr>
                                  <w:rFonts w:hint="eastAsia" w:eastAsia="仿宋_GB2312"/>
                                  <w:sz w:val="17"/>
                                  <w:szCs w:val="18"/>
                                </w:rPr>
                                <w:t>挖方2.32</w:t>
                              </w:r>
                            </w:p>
                            <w:p w14:paraId="7FAEDC46">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土石2.32</w:t>
                              </w:r>
                            </w:p>
                            <w:p w14:paraId="724568A8">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表土0.00</w:t>
                              </w:r>
                            </w:p>
                          </w:txbxContent>
                        </v:textbox>
                      </v:roundrect>
                      <v:roundrect id="圆角矩形 19" o:spid="_x0000_s1026" o:spt="2" style="position:absolute;left:2159000;top:143510;height:533400;width:824230;" fillcolor="#FFFFFF" filled="t" stroked="t" coordsize="21600,21600" arcsize="0.166666666666667" o:gfxdata="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qzLaHVAAAABQEAAA8AAAAAAAAAAQAgAAAA&#10;IgAAAGRycy9kb3ducmV2LnhtbFBLAQIUABQAAAAIAIdO4kCNOG62RwIAAI4EAAAOAAAAAAAAAAEA&#10;IAAAACQBAABkcnMvZTJvRG9jLnhtbFBLBQYAAAAABgAGAFkBAADdBQAAAAA=&#10;">
                        <v:fill on="t" focussize="0,0"/>
                        <v:stroke color="#000000" joinstyle="round"/>
                        <v:imagedata o:title=""/>
                        <o:lock v:ext="edit" aspectratio="f"/>
                        <v:textbox inset="6.76803149606299pt,0mm,6.76803149606299pt,0mm">
                          <w:txbxContent>
                            <w:p w14:paraId="2DA1764F">
                              <w:pPr>
                                <w:spacing w:line="240" w:lineRule="exact"/>
                                <w:ind w:left="-240" w:leftChars="-100" w:right="-240" w:rightChars="-100" w:firstLine="255" w:firstLineChars="150"/>
                                <w:rPr>
                                  <w:rFonts w:eastAsia="仿宋_GB2312"/>
                                  <w:sz w:val="17"/>
                                  <w:szCs w:val="18"/>
                                </w:rPr>
                              </w:pPr>
                              <w:r>
                                <w:rPr>
                                  <w:rFonts w:hint="eastAsia" w:eastAsia="仿宋_GB2312"/>
                                  <w:sz w:val="17"/>
                                  <w:szCs w:val="18"/>
                                </w:rPr>
                                <w:t>填方2.32</w:t>
                              </w:r>
                            </w:p>
                            <w:p w14:paraId="26447CDB">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土石2.32</w:t>
                              </w:r>
                            </w:p>
                            <w:p w14:paraId="2C76B454">
                              <w:pPr>
                                <w:spacing w:line="240" w:lineRule="exact"/>
                                <w:ind w:left="-240" w:leftChars="-100" w:right="-240" w:rightChars="-100" w:firstLine="255" w:firstLineChars="150"/>
                                <w:jc w:val="left"/>
                                <w:rPr>
                                  <w:rFonts w:eastAsia="仿宋_GB2312"/>
                                  <w:sz w:val="17"/>
                                  <w:szCs w:val="18"/>
                                </w:rPr>
                              </w:pPr>
                              <w:r>
                                <w:rPr>
                                  <w:rFonts w:hint="eastAsia" w:eastAsia="仿宋_GB2312"/>
                                  <w:sz w:val="17"/>
                                  <w:szCs w:val="18"/>
                                </w:rPr>
                                <w:t>表土0.00</w:t>
                              </w:r>
                            </w:p>
                            <w:p w14:paraId="60F0BB07">
                              <w:pPr>
                                <w:spacing w:line="240" w:lineRule="exact"/>
                                <w:ind w:left="-240" w:leftChars="-100" w:right="-240" w:rightChars="-100"/>
                                <w:jc w:val="center"/>
                                <w:rPr>
                                  <w:rFonts w:eastAsia="仿宋_GB2312"/>
                                  <w:sz w:val="17"/>
                                  <w:szCs w:val="18"/>
                                </w:rPr>
                              </w:pPr>
                            </w:p>
                          </w:txbxContent>
                        </v:textbox>
                      </v:roundrect>
                      <v:roundrect id="圆角矩形 20" o:spid="_x0000_s1026" o:spt="2" style="position:absolute;left:3445510;top:1250950;height:279400;width:631825;" fillcolor="#FFFFFF" filled="t" stroked="t" coordsize="21600,21600" arcsize="0.166666666666667" o:gfxdata="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Z7MZKdcAAAAFAQAADwAAAAAAAAABACAA&#10;AAAiAAAAZHJzL2Rvd25yZXYueG1sUEsBAhQAFAAAAAgAh07iQH0IvY9HAgAAlwQAAA4AAAAAAAAA&#10;AQAgAAAAJgEAAGRycy9lMm9Eb2MueG1sUEsFBgAAAAAGAAYAWQEAAN8FAAAAAA==&#10;">
                        <v:fill on="t" focussize="0,0"/>
                        <v:stroke color="#000000" joinstyle="round"/>
                        <v:imagedata o:title=""/>
                        <o:lock v:ext="edit" aspectratio="f"/>
                        <v:textbox inset="6.76803149606299pt,3.3840157480315pt,6.76803149606299pt,3.3840157480315pt">
                          <w:txbxContent>
                            <w:p w14:paraId="5D9FA847">
                              <w:pPr>
                                <w:spacing w:line="240" w:lineRule="atLeast"/>
                                <w:ind w:left="-240" w:leftChars="-100" w:right="-240" w:rightChars="-100" w:firstLine="85" w:firstLineChars="50"/>
                                <w:rPr>
                                  <w:rFonts w:eastAsia="仿宋_GB2312"/>
                                  <w:sz w:val="20"/>
                                  <w:szCs w:val="21"/>
                                </w:rPr>
                              </w:pPr>
                              <w:r>
                                <w:rPr>
                                  <w:rFonts w:hint="eastAsia" w:eastAsia="仿宋_GB2312"/>
                                  <w:sz w:val="17"/>
                                  <w:szCs w:val="18"/>
                                </w:rPr>
                                <w:t>土石2.30</w:t>
                              </w:r>
                            </w:p>
                          </w:txbxContent>
                        </v:textbox>
                      </v:roundrect>
                      <v:roundrect id="圆角矩形 21" o:spid="_x0000_s1026" o:spt="2" style="position:absolute;left:2212340;top:1258570;height:279400;width:769620;" fillcolor="#FFFFFF" filled="t" stroked="t" coordsize="21600,21600" arcsize="0.166666666666667" o:gfxdata="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nsxkp1wAAAAUBAAAPAAAAAAAAAAEA&#10;IAAAACIAAABkcnMvZG93bnJldi54bWxQSwECFAAUAAAACACHTuJAnA8rAUkCAACXBAAADgAAAAAA&#10;AAABACAAAAAmAQAAZHJzL2Uyb0RvYy54bWxQSwUGAAAAAAYABgBZAQAA4QUAAAAA&#10;">
                        <v:fill on="t" focussize="0,0"/>
                        <v:stroke color="#000000" joinstyle="round"/>
                        <v:imagedata o:title=""/>
                        <o:lock v:ext="edit" aspectratio="f"/>
                        <v:textbox inset="6.76803149606299pt,3.3840157480315pt,6.76803149606299pt,3.3840157480315pt">
                          <w:txbxContent>
                            <w:p w14:paraId="2AE5EF46">
                              <w:pPr>
                                <w:ind w:left="-120" w:leftChars="-50" w:right="-120" w:rightChars="-50"/>
                                <w:jc w:val="center"/>
                                <w:rPr>
                                  <w:rFonts w:eastAsia="仿宋_GB2312"/>
                                  <w:sz w:val="17"/>
                                  <w:szCs w:val="18"/>
                                </w:rPr>
                              </w:pPr>
                              <w:r>
                                <w:rPr>
                                  <w:rFonts w:hint="eastAsia" w:eastAsia="仿宋_GB2312"/>
                                  <w:sz w:val="17"/>
                                  <w:szCs w:val="18"/>
                                </w:rPr>
                                <w:t>土石2.30</w:t>
                              </w:r>
                            </w:p>
                            <w:p w14:paraId="52190ADF">
                              <w:pPr>
                                <w:rPr>
                                  <w:rFonts w:eastAsia="仿宋_GB2312"/>
                                  <w:sz w:val="20"/>
                                  <w:szCs w:val="21"/>
                                </w:rPr>
                              </w:pPr>
                            </w:p>
                          </w:txbxContent>
                        </v:textbox>
                      </v:roundrect>
                      <v:roundrect id="圆角矩形 22" o:spid="_x0000_s1026" o:spt="2" style="position:absolute;left:4653915;top:137160;height:533400;width:647700;" fillcolor="#FFFFFF" filled="t" stroked="t" coordsize="21600,21600" arcsize="0.166666666666667" o:gfxdata="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Ksy2h1QAAAAUBAAAPAAAAAAAAAAEAIAAAACIA&#10;AABkcnMvZG93bnJldi54bWxQSwECFAAUAAAACACHTuJA6X1MjkUCAACOBAAADgAAAAAAAAABACAA&#10;AAAkAQAAZHJzL2Uyb0RvYy54bWxQSwUGAAAAAAYABgBZAQAA2wUAAAAA&#10;">
                        <v:fill on="t" focussize="0,0"/>
                        <v:stroke color="#000000" joinstyle="round"/>
                        <v:imagedata o:title=""/>
                        <o:lock v:ext="edit" aspectratio="f"/>
                        <v:textbox inset="6.76803149606299pt,0mm,6.76803149606299pt,0mm">
                          <w:txbxContent>
                            <w:p w14:paraId="45075DDD">
                              <w:pPr>
                                <w:spacing w:line="240" w:lineRule="exact"/>
                                <w:ind w:left="-240" w:leftChars="-100" w:right="-240" w:rightChars="-100" w:firstLine="170" w:firstLineChars="100"/>
                                <w:rPr>
                                  <w:rFonts w:eastAsia="仿宋_GB2312"/>
                                  <w:sz w:val="17"/>
                                  <w:szCs w:val="18"/>
                                </w:rPr>
                              </w:pPr>
                              <w:r>
                                <w:rPr>
                                  <w:rFonts w:hint="eastAsia" w:eastAsia="仿宋_GB2312"/>
                                  <w:sz w:val="17"/>
                                  <w:szCs w:val="18"/>
                                </w:rPr>
                                <w:t>弃方0.00</w:t>
                              </w:r>
                            </w:p>
                            <w:p w14:paraId="46A8B1FD">
                              <w:pPr>
                                <w:spacing w:line="240" w:lineRule="exact"/>
                                <w:ind w:left="-240" w:leftChars="-100" w:right="-240" w:rightChars="-100" w:firstLine="170" w:firstLineChars="100"/>
                                <w:jc w:val="left"/>
                                <w:rPr>
                                  <w:rFonts w:eastAsia="仿宋_GB2312"/>
                                  <w:sz w:val="17"/>
                                  <w:szCs w:val="18"/>
                                </w:rPr>
                              </w:pPr>
                              <w:r>
                                <w:rPr>
                                  <w:rFonts w:hint="eastAsia" w:eastAsia="仿宋_GB2312"/>
                                  <w:sz w:val="17"/>
                                  <w:szCs w:val="18"/>
                                </w:rPr>
                                <w:t>土石方</w:t>
                              </w:r>
                              <w:r>
                                <w:rPr>
                                  <w:rFonts w:eastAsia="仿宋_GB2312"/>
                                  <w:sz w:val="17"/>
                                  <w:szCs w:val="18"/>
                                </w:rPr>
                                <w:t>0.</w:t>
                              </w:r>
                              <w:r>
                                <w:rPr>
                                  <w:rFonts w:hint="eastAsia" w:eastAsia="仿宋_GB2312"/>
                                  <w:sz w:val="17"/>
                                  <w:szCs w:val="18"/>
                                </w:rPr>
                                <w:t>00</w:t>
                              </w:r>
                            </w:p>
                          </w:txbxContent>
                        </v:textbox>
                      </v:roundrect>
                      <v:roundrect id="圆角矩形 23" o:spid="_x0000_s1026" o:spt="2" style="position:absolute;left:1047115;top:144145;height:533400;width:647700;" fillcolor="#FFFFFF" filled="t" stroked="t" coordsize="21600,21600" arcsize="0.166666666666667" o:gfxdata="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qzLaHVAAAABQEAAA8AAAAAAAAAAQAgAAAAIgAA&#10;AGRycy9kb3ducmV2LnhtbFBLAQIUABQAAAAIAIdO4kDdOh/KRAIAAI4EAAAOAAAAAAAAAAEAIAAA&#10;ACQBAABkcnMvZTJvRG9jLnhtbFBLBQYAAAAABgAGAFkBAADaBQAAAAA=&#10;">
                        <v:fill on="t" focussize="0,0"/>
                        <v:stroke color="#000000" joinstyle="round"/>
                        <v:imagedata o:title=""/>
                        <o:lock v:ext="edit" aspectratio="f"/>
                        <v:textbox inset="6.76803149606299pt,0mm,6.76803149606299pt,0mm">
                          <w:txbxContent>
                            <w:p w14:paraId="1A394116">
                              <w:pPr>
                                <w:spacing w:line="240" w:lineRule="exact"/>
                                <w:ind w:left="-240" w:leftChars="-100" w:right="-240" w:rightChars="-100" w:firstLine="170" w:firstLineChars="100"/>
                                <w:rPr>
                                  <w:rFonts w:eastAsia="仿宋_GB2312"/>
                                  <w:sz w:val="17"/>
                                  <w:szCs w:val="18"/>
                                </w:rPr>
                              </w:pPr>
                              <w:r>
                                <w:rPr>
                                  <w:rFonts w:hint="eastAsia" w:eastAsia="仿宋_GB2312"/>
                                  <w:sz w:val="17"/>
                                  <w:szCs w:val="18"/>
                                </w:rPr>
                                <w:t>借方</w:t>
                              </w:r>
                              <w:r>
                                <w:rPr>
                                  <w:rFonts w:eastAsia="仿宋_GB2312"/>
                                  <w:sz w:val="17"/>
                                  <w:szCs w:val="18"/>
                                </w:rPr>
                                <w:t>0.00</w:t>
                              </w:r>
                            </w:p>
                          </w:txbxContent>
                        </v:textbox>
                      </v:roundrect>
                      <v:line id="直接连接符 24" o:spid="_x0000_s1026" o:spt="20" style="position:absolute;left:2981960;top:1412240;flip:x;height:635;width:449580;" filled="f" stroked="t" coordsize="21600,21600" o:gfxdata="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SEJiT1wAAAAUBAAAPAAAAAAAAAAEAIAAAACIA&#10;AABkcnMvZG93bnJldi54bWxQSwECFAAUAAAACACHTuJAmH82ggoCAAD1AwAADgAAAAAAAAABACAA&#10;AAAmAQAAZHJzL2Uyb0RvYy54bWxQSwUGAAAAAAYABgBZAQAAogUAAAAA&#10;">
                        <v:fill on="f" focussize="0,0"/>
                        <v:stroke color="#000000" joinstyle="round" endarrow="block"/>
                        <v:imagedata o:title=""/>
                        <o:lock v:ext="edit" aspectratio="f"/>
                      </v:line>
                      <v:rect id="矩形 25" o:spid="_x0000_s1026" o:spt="1" style="position:absolute;left:2811145;top:1217930;height:280035;width:859790;" filled="f" stroked="f" coordsize="21600,21600" o:gfxdata="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yQh4T1AAAAAUBAAAPAAAAAAAAAAEAIAAAACIAAABkcnMvZG93bnJl&#10;di54bWxQSwECFAAUAAAACACHTuJA3SiYTMgBAACCAwAADgAAAAAAAAABACAAAAAjAQAAZHJzL2Uy&#10;b0RvYy54bWxQSwUGAAAAAAYABgBZAQAAXQUAAAAA&#10;">
                        <v:fill on="f" focussize="0,0"/>
                        <v:stroke on="f"/>
                        <v:imagedata o:title=""/>
                        <o:lock v:ext="edit" aspectratio="f"/>
                        <v:textbox inset="6.76803149606299pt,3.3840157480315pt,6.76803149606299pt,3.3840157480315pt">
                          <w:txbxContent>
                            <w:p w14:paraId="2EE3E949">
                              <w:pPr>
                                <w:spacing w:line="240" w:lineRule="exact"/>
                                <w:jc w:val="center"/>
                                <w:rPr>
                                  <w:rFonts w:eastAsia="仿宋_GB2312"/>
                                  <w:sz w:val="17"/>
                                  <w:szCs w:val="18"/>
                                </w:rPr>
                              </w:pPr>
                              <w:r>
                                <w:rPr>
                                  <w:rFonts w:hint="eastAsia" w:eastAsia="仿宋_GB2312"/>
                                  <w:sz w:val="17"/>
                                  <w:szCs w:val="18"/>
                                </w:rPr>
                                <w:t>2.30</w:t>
                              </w:r>
                            </w:p>
                          </w:txbxContent>
                        </v:textbox>
                      </v:rect>
                      <v:roundrect id="圆角矩形 26" o:spid="_x0000_s1026" o:spt="2" style="position:absolute;left:97155;top:1789430;height:487680;width:852170;" fillcolor="#FFFFFF" filled="t" stroked="t" coordsize="21600,21600" arcsize="0.166666666666667" o:gfxdata="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ezGSnXAAAABQEAAA8AAAAAAAAAAQAg&#10;AAAAIgAAAGRycy9kb3ducmV2LnhtbFBLAQIUABQAAAAIAIdO4kBUmmBBSAIAAJUEAAAOAAAAAAAA&#10;AAEAIAAAACYBAABkcnMvZTJvRG9jLnhtbFBLBQYAAAAABgAGAFkBAADgBQAAAAA=&#10;">
                        <v:fill on="t" focussize="0,0"/>
                        <v:stroke color="#000000" joinstyle="round"/>
                        <v:imagedata o:title=""/>
                        <o:lock v:ext="edit" aspectratio="f"/>
                        <v:textbox inset="6.76803149606299pt,3.3840157480315pt,6.76803149606299pt,3.3840157480315pt">
                          <w:txbxContent>
                            <w:p w14:paraId="6678452B">
                              <w:pPr>
                                <w:jc w:val="center"/>
                                <w:rPr>
                                  <w:rFonts w:eastAsia="仿宋_GB2312"/>
                                  <w:spacing w:val="-16"/>
                                  <w:sz w:val="20"/>
                                  <w:szCs w:val="21"/>
                                </w:rPr>
                              </w:pPr>
                              <w:r>
                                <w:rPr>
                                  <w:rFonts w:hint="eastAsia" w:eastAsia="仿宋_GB2312"/>
                                  <w:kern w:val="0"/>
                                  <w:sz w:val="18"/>
                                  <w:szCs w:val="18"/>
                                </w:rPr>
                                <w:t>施工场地</w:t>
                              </w:r>
                            </w:p>
                            <w:p w14:paraId="2F0272A4">
                              <w:pPr>
                                <w:jc w:val="center"/>
                                <w:rPr>
                                  <w:rFonts w:eastAsia="仿宋_GB2312"/>
                                  <w:spacing w:val="-16"/>
                                  <w:sz w:val="20"/>
                                  <w:szCs w:val="21"/>
                                </w:rPr>
                              </w:pPr>
                            </w:p>
                          </w:txbxContent>
                        </v:textbox>
                      </v:roundrect>
                      <v:roundrect id="圆角矩形 27" o:spid="_x0000_s1026" o:spt="2" style="position:absolute;left:2206625;top:1841500;height:279400;width:800735;" fillcolor="#FFFFFF" filled="t" stroked="t" coordsize="21600,21600" arcsize="0.166666666666667" o:gfxdata="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ezGSnXAAAABQEAAA8AAAAAAAAAAQAg&#10;AAAAIgAAAGRycy9kb3ducmV2LnhtbFBLAQIUABQAAAAIAIdO4kC4VbhkSAIAAJcEAAAOAAAAAAAA&#10;AAEAIAAAACYBAABkcnMvZTJvRG9jLnhtbFBLBQYAAAAABgAGAFkBAADgBQAAAAA=&#10;">
                        <v:fill on="t" focussize="0,0"/>
                        <v:stroke color="#000000" joinstyle="round"/>
                        <v:imagedata o:title=""/>
                        <o:lock v:ext="edit" aspectratio="f"/>
                        <v:textbox inset="6.76803149606299pt,3.3840157480315pt,6.76803149606299pt,3.3840157480315pt">
                          <w:txbxContent>
                            <w:p w14:paraId="4866B329">
                              <w:pPr>
                                <w:ind w:left="-120" w:leftChars="-50" w:right="-120" w:rightChars="-50"/>
                                <w:jc w:val="center"/>
                                <w:rPr>
                                  <w:rFonts w:eastAsia="仿宋_GB2312"/>
                                  <w:sz w:val="17"/>
                                  <w:szCs w:val="18"/>
                                </w:rPr>
                              </w:pPr>
                              <w:r>
                                <w:rPr>
                                  <w:rFonts w:hint="eastAsia" w:eastAsia="仿宋_GB2312"/>
                                  <w:sz w:val="17"/>
                                  <w:szCs w:val="18"/>
                                </w:rPr>
                                <w:t>土石0.02</w:t>
                              </w:r>
                            </w:p>
                            <w:p w14:paraId="26F3F5ED">
                              <w:pPr>
                                <w:rPr>
                                  <w:rFonts w:eastAsia="仿宋_GB2312"/>
                                  <w:sz w:val="20"/>
                                  <w:szCs w:val="21"/>
                                </w:rPr>
                              </w:pPr>
                            </w:p>
                          </w:txbxContent>
                        </v:textbox>
                      </v:roundrect>
                      <v:roundrect id="圆角矩形 28" o:spid="_x0000_s1026" o:spt="2" style="position:absolute;left:3446780;top:1841500;height:279400;width:648335;" fillcolor="#FFFFFF" filled="t" stroked="t" coordsize="21600,21600" arcsize="0.166666666666667" o:gfxdata="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Z7MZKdcAAAAFAQAADwAAAAAAAAAB&#10;ACAAAAAiAAAAZHJzL2Rvd25yZXYueG1sUEsBAhQAFAAAAAgAh07iQLUZvFZKAgAAlwQAAA4AAAAA&#10;AAAAAQAgAAAAJgEAAGRycy9lMm9Eb2MueG1sUEsFBgAAAAAGAAYAWQEAAOIFAAAAAA==&#10;">
                        <v:fill on="t" focussize="0,0"/>
                        <v:stroke color="#000000" joinstyle="round"/>
                        <v:imagedata o:title=""/>
                        <o:lock v:ext="edit" aspectratio="f"/>
                        <v:textbox inset="6.76803149606299pt,3.3840157480315pt,6.76803149606299pt,3.3840157480315pt">
                          <w:txbxContent>
                            <w:p w14:paraId="22E3928E">
                              <w:pPr>
                                <w:ind w:left="-120" w:leftChars="-50" w:right="-120" w:rightChars="-50"/>
                                <w:jc w:val="center"/>
                                <w:rPr>
                                  <w:rFonts w:eastAsia="仿宋_GB2312"/>
                                  <w:sz w:val="20"/>
                                  <w:szCs w:val="21"/>
                                </w:rPr>
                              </w:pPr>
                              <w:r>
                                <w:rPr>
                                  <w:rFonts w:hint="eastAsia" w:eastAsia="仿宋_GB2312"/>
                                  <w:sz w:val="17"/>
                                  <w:szCs w:val="18"/>
                                </w:rPr>
                                <w:t>土石0.02</w:t>
                              </w:r>
                            </w:p>
                          </w:txbxContent>
                        </v:textbox>
                      </v:roundrect>
                      <v:line id="直接连接符 29" o:spid="_x0000_s1026" o:spt="20" style="position:absolute;left:2999740;top:1994535;flip:x;height:635;width:449580;" filled="f" stroked="t" coordsize="21600,21600" o:gfxdata="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IQmJPXAAAABQEAAA8AAAAAAAAAAQAgAAAA&#10;IgAAAGRycy9kb3ducmV2LnhtbFBLAQIUABQAAAAIAIdO4kB5ojeeDAIAAPUDAAAOAAAAAAAAAAEA&#10;IAAAACYBAABkcnMvZTJvRG9jLnhtbFBLBQYAAAAABgAGAFkBAACkBQAAAAA=&#10;">
                        <v:fill on="f" focussize="0,0"/>
                        <v:stroke color="#000000" joinstyle="round" endarrow="block"/>
                        <v:imagedata o:title=""/>
                        <o:lock v:ext="edit" aspectratio="f"/>
                      </v:line>
                      <v:rect id="矩形 30" o:spid="_x0000_s1026" o:spt="1" style="position:absolute;left:2828925;top:1762125;height:280035;width:859790;" filled="f" stroked="f" coordsize="21600,21600" o:gfxdata="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ckIeE9QAAAAFAQAADwAAAAAAAAABACAAAAAiAAAAZHJzL2Rvd25yZXYu&#10;eG1sUEsBAhQAFAAAAAgAh07iQEbfmJjGAQAAggMAAA4AAAAAAAAAAQAgAAAAIwEAAGRycy9lMm9E&#10;b2MueG1sUEsFBgAAAAAGAAYAWQEAAFsFAAAAAA==&#10;">
                        <v:fill on="f" focussize="0,0"/>
                        <v:stroke on="f"/>
                        <v:imagedata o:title=""/>
                        <o:lock v:ext="edit" aspectratio="f"/>
                        <v:textbox inset="6.76803149606299pt,3.3840157480315pt,6.76803149606299pt,3.3840157480315pt">
                          <w:txbxContent>
                            <w:p w14:paraId="5ACFDE10">
                              <w:pPr>
                                <w:spacing w:line="240" w:lineRule="exact"/>
                                <w:jc w:val="center"/>
                                <w:rPr>
                                  <w:rFonts w:eastAsia="仿宋_GB2312"/>
                                  <w:sz w:val="17"/>
                                  <w:szCs w:val="18"/>
                                </w:rPr>
                              </w:pPr>
                              <w:r>
                                <w:rPr>
                                  <w:rFonts w:eastAsia="仿宋_GB2312"/>
                                  <w:sz w:val="17"/>
                                  <w:szCs w:val="18"/>
                                </w:rPr>
                                <w:t>0.0</w:t>
                              </w:r>
                              <w:r>
                                <w:rPr>
                                  <w:rFonts w:hint="eastAsia" w:eastAsia="仿宋_GB2312"/>
                                  <w:sz w:val="17"/>
                                  <w:szCs w:val="18"/>
                                </w:rPr>
                                <w:t>2</w:t>
                              </w:r>
                            </w:p>
                          </w:txbxContent>
                        </v:textbox>
                      </v:rect>
                      <w10:wrap type="none"/>
                      <w10:anchorlock/>
                    </v:group>
                  </w:pict>
                </mc:Fallback>
              </mc:AlternateContent>
            </w:r>
          </w:p>
          <w:p w14:paraId="4BEF2570">
            <w:pPr>
              <w:pStyle w:val="106"/>
              <w:jc w:val="center"/>
              <w:rPr>
                <w:b/>
                <w:bCs/>
              </w:rPr>
            </w:pPr>
            <w:r>
              <w:rPr>
                <w:rFonts w:hint="eastAsia" w:eastAsia="黑体"/>
                <w:szCs w:val="20"/>
              </w:rPr>
              <w:t xml:space="preserve">图2- </w:t>
            </w:r>
            <w:r>
              <w:rPr>
                <w:rFonts w:hint="eastAsia" w:eastAsia="黑体"/>
                <w:szCs w:val="20"/>
              </w:rPr>
              <w:fldChar w:fldCharType="begin"/>
            </w:r>
            <w:r>
              <w:rPr>
                <w:rFonts w:hint="eastAsia" w:eastAsia="黑体"/>
                <w:szCs w:val="20"/>
              </w:rPr>
              <w:instrText xml:space="preserve"> SEQ 图2- \* ARABIC </w:instrText>
            </w:r>
            <w:r>
              <w:rPr>
                <w:rFonts w:hint="eastAsia" w:eastAsia="黑体"/>
                <w:szCs w:val="20"/>
              </w:rPr>
              <w:fldChar w:fldCharType="separate"/>
            </w:r>
            <w:r>
              <w:rPr>
                <w:rFonts w:hint="eastAsia" w:eastAsia="黑体"/>
                <w:szCs w:val="20"/>
              </w:rPr>
              <w:t>5</w:t>
            </w:r>
            <w:r>
              <w:rPr>
                <w:rFonts w:hint="eastAsia" w:eastAsia="黑体"/>
                <w:szCs w:val="20"/>
              </w:rPr>
              <w:fldChar w:fldCharType="end"/>
            </w:r>
            <w:r>
              <w:rPr>
                <w:rFonts w:hint="eastAsia" w:eastAsia="黑体"/>
                <w:szCs w:val="20"/>
              </w:rPr>
              <w:t xml:space="preserve">  土石方流向图</w:t>
            </w:r>
          </w:p>
          <w:p w14:paraId="307C23DD">
            <w:pPr>
              <w:pStyle w:val="106"/>
              <w:ind w:firstLine="482"/>
              <w:rPr>
                <w:b/>
                <w:bCs/>
              </w:rPr>
            </w:pPr>
            <w:r>
              <w:rPr>
                <w:rFonts w:hint="eastAsia"/>
                <w:b/>
                <w:bCs/>
              </w:rPr>
              <w:t>五、建设进度、劳动定员</w:t>
            </w:r>
          </w:p>
          <w:p w14:paraId="25789786">
            <w:pPr>
              <w:pStyle w:val="106"/>
            </w:pPr>
            <w:r>
              <w:rPr>
                <w:rFonts w:hint="eastAsia"/>
                <w:lang w:val="zh-CN"/>
              </w:rPr>
              <w:t>根据现场调查及咨询建设单位，</w:t>
            </w:r>
            <w:r>
              <w:rPr>
                <w:rFonts w:hint="eastAsia"/>
              </w:rPr>
              <w:t>项目</w:t>
            </w:r>
            <w:r>
              <w:rPr>
                <w:rFonts w:hint="eastAsia"/>
                <w:lang w:val="zh-CN"/>
              </w:rPr>
              <w:t>已于2025年</w:t>
            </w:r>
            <w:r>
              <w:t>9</w:t>
            </w:r>
            <w:r>
              <w:rPr>
                <w:rFonts w:hint="eastAsia"/>
                <w:lang w:val="zh-CN"/>
              </w:rPr>
              <w:t>月动工，202</w:t>
            </w:r>
            <w:r>
              <w:rPr>
                <w:rFonts w:hint="eastAsia"/>
              </w:rPr>
              <w:t>5</w:t>
            </w:r>
            <w:r>
              <w:rPr>
                <w:rFonts w:hint="eastAsia"/>
                <w:lang w:val="zh-CN"/>
              </w:rPr>
              <w:t>年</w:t>
            </w:r>
            <w:r>
              <w:t>1</w:t>
            </w:r>
            <w:r>
              <w:rPr>
                <w:rFonts w:hint="eastAsia"/>
              </w:rPr>
              <w:t>2</w:t>
            </w:r>
            <w:r>
              <w:rPr>
                <w:rFonts w:hint="eastAsia"/>
                <w:lang w:val="zh-CN"/>
              </w:rPr>
              <w:t>月主体工程完工，总工期</w:t>
            </w:r>
            <w:r>
              <w:t>4</w:t>
            </w:r>
            <w:r>
              <w:rPr>
                <w:rFonts w:hint="eastAsia"/>
                <w:lang w:val="zh-CN"/>
              </w:rPr>
              <w:t>个月。</w:t>
            </w:r>
          </w:p>
          <w:p w14:paraId="1E59B909">
            <w:pPr>
              <w:pStyle w:val="106"/>
            </w:pPr>
            <w:r>
              <w:rPr>
                <w:rFonts w:hint="eastAsia"/>
              </w:rPr>
              <w:t>项目施工高峰期人数为40人，施工人员均来自周围农民，租用沿线民房，不设置施工营地；运营期不需要设置工作人员，只需管理方定期维护。</w:t>
            </w:r>
          </w:p>
          <w:p w14:paraId="731C6170">
            <w:pPr>
              <w:pStyle w:val="106"/>
            </w:pPr>
          </w:p>
          <w:p w14:paraId="22D2F75B">
            <w:pPr>
              <w:pStyle w:val="106"/>
            </w:pPr>
          </w:p>
          <w:p w14:paraId="126826AB">
            <w:pPr>
              <w:pStyle w:val="106"/>
            </w:pPr>
          </w:p>
          <w:p w14:paraId="40A021F9">
            <w:pPr>
              <w:pStyle w:val="106"/>
            </w:pPr>
          </w:p>
          <w:p w14:paraId="5A441B9B">
            <w:pPr>
              <w:pStyle w:val="106"/>
            </w:pPr>
          </w:p>
          <w:p w14:paraId="01E3F476">
            <w:pPr>
              <w:pStyle w:val="106"/>
            </w:pPr>
          </w:p>
          <w:p w14:paraId="2125FC9B">
            <w:pPr>
              <w:pStyle w:val="106"/>
            </w:pPr>
          </w:p>
          <w:p w14:paraId="49588074">
            <w:pPr>
              <w:pStyle w:val="106"/>
            </w:pPr>
          </w:p>
          <w:p w14:paraId="6344D12F">
            <w:pPr>
              <w:pStyle w:val="106"/>
            </w:pPr>
          </w:p>
          <w:p w14:paraId="6219D941">
            <w:pPr>
              <w:pStyle w:val="106"/>
            </w:pPr>
          </w:p>
          <w:p w14:paraId="14B08302">
            <w:pPr>
              <w:pStyle w:val="106"/>
            </w:pPr>
          </w:p>
          <w:p w14:paraId="529EA8E2">
            <w:pPr>
              <w:pStyle w:val="106"/>
            </w:pPr>
          </w:p>
          <w:p w14:paraId="2BC1D90B">
            <w:pPr>
              <w:pStyle w:val="106"/>
            </w:pPr>
          </w:p>
          <w:p w14:paraId="46B046E6">
            <w:pPr>
              <w:pStyle w:val="106"/>
            </w:pPr>
          </w:p>
        </w:tc>
      </w:tr>
    </w:tbl>
    <w:p w14:paraId="5F6A373B">
      <w:pPr>
        <w:spacing w:line="360" w:lineRule="auto"/>
        <w:jc w:val="center"/>
        <w:rPr>
          <w:rFonts w:eastAsia="黑体"/>
          <w:bCs/>
          <w:snapToGrid w:val="0"/>
          <w:szCs w:val="18"/>
          <w:lang w:bidi="ar"/>
        </w:rPr>
        <w:sectPr>
          <w:pgSz w:w="11906" w:h="16838"/>
          <w:pgMar w:top="1440" w:right="1080" w:bottom="1440" w:left="1080" w:header="851" w:footer="992" w:gutter="0"/>
          <w:cols w:space="720" w:num="1"/>
          <w:docGrid w:type="lines" w:linePitch="312" w:charSpace="0"/>
        </w:sectPr>
      </w:pPr>
    </w:p>
    <w:tbl>
      <w:tblPr>
        <w:tblStyle w:val="28"/>
        <w:tblW w:w="9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9298"/>
      </w:tblGrid>
      <w:tr w14:paraId="7EE2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Align w:val="center"/>
          </w:tcPr>
          <w:p w14:paraId="08D5CE25">
            <w:pPr>
              <w:spacing w:line="360" w:lineRule="auto"/>
              <w:jc w:val="center"/>
              <w:rPr>
                <w:b/>
                <w:bCs/>
              </w:rPr>
            </w:pPr>
            <w:r>
              <w:rPr>
                <w:rFonts w:hint="eastAsia"/>
                <w:b/>
                <w:bCs/>
              </w:rPr>
              <w:t>总平面及现场布置</w:t>
            </w:r>
          </w:p>
        </w:tc>
        <w:tc>
          <w:tcPr>
            <w:tcW w:w="9299" w:type="dxa"/>
            <w:vAlign w:val="center"/>
          </w:tcPr>
          <w:p w14:paraId="0D5210A6">
            <w:pPr>
              <w:pStyle w:val="106"/>
              <w:ind w:firstLine="482"/>
              <w:rPr>
                <w:b/>
                <w:bCs/>
              </w:rPr>
            </w:pPr>
            <w:r>
              <w:rPr>
                <w:rFonts w:hint="eastAsia"/>
                <w:b/>
                <w:bCs/>
              </w:rPr>
              <w:t>一、工程平面布置</w:t>
            </w:r>
          </w:p>
          <w:p w14:paraId="2055746B">
            <w:pPr>
              <w:snapToGrid w:val="0"/>
              <w:spacing w:line="360" w:lineRule="auto"/>
              <w:ind w:firstLine="480" w:firstLineChars="200"/>
              <w:jc w:val="left"/>
            </w:pPr>
            <w:r>
              <w:rPr>
                <w:rFonts w:hint="eastAsia"/>
                <w:bCs/>
              </w:rPr>
              <w:t>本项目综合治理长度为684.20m，治理起点位于柏秧坪村二台子沟和海螺沟交汇口上游100m处桥（起点坐标：东经102°06'42.7936"、北纬29°36'33.7643"），治理终点位于共和电站取水口拦河坝（终点坐标：东经102°06'42.7936"、北纬29°36'33.7643"），对现状河道堤防、护岸新建护脚并新建固床梁，新建护脚堤防717.20m（左岸新建贴坡式护脚堤防401.47m、重力式护脚堤防259.71m，右岸新建贴坡式护脚堤防36.72m），右岸新建钢筋混凝土贴坡式护脚173.71m，右岸新建重力式混凝土结构丁坝2座，河道内新建重力式钢筋混凝土结构固床梁4座。</w:t>
            </w:r>
            <w:r>
              <w:rPr>
                <w:rFonts w:hint="eastAsia"/>
              </w:rPr>
              <w:t>总体走向布置图如下：</w:t>
            </w:r>
          </w:p>
          <w:p w14:paraId="095FE49F">
            <w:pPr>
              <w:autoSpaceDE w:val="0"/>
              <w:autoSpaceDN w:val="0"/>
              <w:spacing w:line="360" w:lineRule="auto"/>
              <w:jc w:val="center"/>
            </w:pPr>
            <w:r>
              <mc:AlternateContent>
                <mc:Choice Requires="wps">
                  <w:drawing>
                    <wp:anchor distT="0" distB="0" distL="114300" distR="114300" simplePos="0" relativeHeight="251693056" behindDoc="0" locked="0" layoutInCell="1" allowOverlap="1">
                      <wp:simplePos x="0" y="0"/>
                      <wp:positionH relativeFrom="column">
                        <wp:posOffset>1496060</wp:posOffset>
                      </wp:positionH>
                      <wp:positionV relativeFrom="paragraph">
                        <wp:posOffset>865505</wp:posOffset>
                      </wp:positionV>
                      <wp:extent cx="1697990" cy="533400"/>
                      <wp:effectExtent l="0" t="0" r="0" b="0"/>
                      <wp:wrapNone/>
                      <wp:docPr id="117507608" name="线形标注 1 83"/>
                      <wp:cNvGraphicFramePr/>
                      <a:graphic xmlns:a="http://schemas.openxmlformats.org/drawingml/2006/main">
                        <a:graphicData uri="http://schemas.microsoft.com/office/word/2010/wordprocessingShape">
                          <wps:wsp>
                            <wps:cNvSpPr/>
                            <wps:spPr>
                              <a:xfrm>
                                <a:off x="0" y="0"/>
                                <a:ext cx="1697990" cy="53340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1DA11BE2">
                                  <w:pPr>
                                    <w:rPr>
                                      <w:color w:val="FFFF00"/>
                                      <w:sz w:val="21"/>
                                      <w:szCs w:val="21"/>
                                    </w:rPr>
                                  </w:pPr>
                                  <w:r>
                                    <w:rPr>
                                      <w:rFonts w:hint="eastAsia"/>
                                      <w:color w:val="FFFF00"/>
                                      <w:sz w:val="21"/>
                                      <w:szCs w:val="21"/>
                                    </w:rPr>
                                    <w:t>酒店排污口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83" o:spid="_x0000_s1026" o:spt="47" type="#_x0000_t47" style="position:absolute;left:0pt;margin-left:117.8pt;margin-top:68.15pt;height:42pt;width:133.7pt;z-index:251693056;v-text-anchor:middle;mso-width-relative:page;mso-height-relative:page;" filled="f" stroked="f" coordsize="21600,21600" o:gfxdata="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JoV9ufYAAAACwEAAA8AAAAAAAAAAQAgAAAAIgAAAGRycy9kb3ducmV2&#10;LnhtbFBLAQIUABQAAAAIAIdO4kAzDJUDpwIAAEoFAAAOAAAAAAAAAAEAIAAAACcBAABkcnMvZTJv&#10;RG9jLnhtbFBLBQYAAAAABgAGAFkBAABABgAAAAA=&#10;" adj="-9354,11751,-1640,4526">
                      <v:fill on="f" focussize="0,0"/>
                      <v:stroke on="f"/>
                      <v:imagedata o:title=""/>
                      <o:lock v:ext="edit" aspectratio="f"/>
                      <v:textbox>
                        <w:txbxContent>
                          <w:p w14:paraId="1DA11BE2">
                            <w:pPr>
                              <w:rPr>
                                <w:color w:val="FFFF00"/>
                                <w:sz w:val="21"/>
                                <w:szCs w:val="21"/>
                              </w:rPr>
                            </w:pPr>
                            <w:r>
                              <w:rPr>
                                <w:rFonts w:hint="eastAsia"/>
                                <w:color w:val="FFFF00"/>
                                <w:sz w:val="21"/>
                                <w:szCs w:val="21"/>
                              </w:rPr>
                              <w:t>酒店排污口</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2273935</wp:posOffset>
                      </wp:positionH>
                      <wp:positionV relativeFrom="paragraph">
                        <wp:posOffset>1029335</wp:posOffset>
                      </wp:positionV>
                      <wp:extent cx="228600" cy="73660"/>
                      <wp:effectExtent l="0" t="0" r="19050" b="21590"/>
                      <wp:wrapNone/>
                      <wp:docPr id="82973624" name="直接连接符 88"/>
                      <wp:cNvGraphicFramePr/>
                      <a:graphic xmlns:a="http://schemas.openxmlformats.org/drawingml/2006/main">
                        <a:graphicData uri="http://schemas.microsoft.com/office/word/2010/wordprocessingShape">
                          <wps:wsp>
                            <wps:cNvCnPr/>
                            <wps:spPr>
                              <a:xfrm flipV="1">
                                <a:off x="0" y="0"/>
                                <a:ext cx="228600" cy="73660"/>
                              </a:xfrm>
                              <a:prstGeom prst="line">
                                <a:avLst/>
                              </a:prstGeom>
                              <a:ln w="9525">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88" o:spid="_x0000_s1026" o:spt="20" style="position:absolute;left:0pt;flip:y;margin-left:179.05pt;margin-top:81.05pt;height:5.8pt;width:18pt;z-index:251694080;mso-width-relative:page;mso-height-relative:page;" filled="f" stroked="t" coordsize="21600,21600" o:gfxdata="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5n0I/2gAAAAsBAAAPAAAAAAAAAAEAIAAAACIAAABkcnMvZG93bnJldi54bWxQSwECFAAUAAAA&#10;CACHTuJATsVNSuwBAACvAwAADgAAAAAAAAABACAAAAApAQAAZHJzL2Uyb0RvYy54bWxQSwUGAAAA&#10;AAYABgBZAQAAhwUAAAAA&#10;">
                      <v:fill on="f" focussize="0,0"/>
                      <v:stroke color="#FF0000 [3204]" joinstyle="round"/>
                      <v:imagedata o:title=""/>
                      <o:lock v:ext="edit" aspectratio="f"/>
                    </v:lin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2477770</wp:posOffset>
                      </wp:positionH>
                      <wp:positionV relativeFrom="paragraph">
                        <wp:posOffset>994410</wp:posOffset>
                      </wp:positionV>
                      <wp:extent cx="45085" cy="45085"/>
                      <wp:effectExtent l="0" t="0" r="12065" b="12065"/>
                      <wp:wrapNone/>
                      <wp:docPr id="1509980734" name="椭圆 49"/>
                      <wp:cNvGraphicFramePr/>
                      <a:graphic xmlns:a="http://schemas.openxmlformats.org/drawingml/2006/main">
                        <a:graphicData uri="http://schemas.microsoft.com/office/word/2010/wordprocessingShape">
                          <wps:wsp>
                            <wps:cNvSpPr/>
                            <wps:spPr>
                              <a:xfrm flipH="1" flipV="1">
                                <a:off x="0" y="0"/>
                                <a:ext cx="45085" cy="45085"/>
                              </a:xfrm>
                              <a:prstGeom prst="ellipse">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49" o:spid="_x0000_s1026" o:spt="3" type="#_x0000_t3" style="position:absolute;left:0pt;flip:x y;margin-left:195.1pt;margin-top:78.3pt;height:3.55pt;width:3.55pt;z-index:251692032;v-text-anchor:middle;mso-width-relative:page;mso-height-relative:page;" fillcolor="#EE0000" filled="t" stroked="t" coordsize="21600,21600" o:gfxdata="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edvh2tcAAAALAQAADwAAAAAAAAABACAAAAAiAAAAZHJzL2Rvd25y&#10;ZXYueG1sUEsBAhQAFAAAAAgAh07iQF3DrplxAgAA+wQAAA4AAAAAAAAAAQAgAAAAJgEAAGRycy9l&#10;Mm9Eb2MueG1sUEsFBgAAAAAGAAYAWQEAAAkGAAAAAA==&#10;">
                      <v:fill on="t" focussize="0,0"/>
                      <v:stroke weight="2pt" color="#EE0000 [3204]" joinstyle="round"/>
                      <v:imagedata o:title=""/>
                      <o:lock v:ext="edit" aspectratio="f"/>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3014980</wp:posOffset>
                      </wp:positionH>
                      <wp:positionV relativeFrom="paragraph">
                        <wp:posOffset>2541270</wp:posOffset>
                      </wp:positionV>
                      <wp:extent cx="245745" cy="59055"/>
                      <wp:effectExtent l="1270" t="4445" r="19685" b="12700"/>
                      <wp:wrapNone/>
                      <wp:docPr id="63" name="直接连接符 89"/>
                      <wp:cNvGraphicFramePr/>
                      <a:graphic xmlns:a="http://schemas.openxmlformats.org/drawingml/2006/main">
                        <a:graphicData uri="http://schemas.microsoft.com/office/word/2010/wordprocessingShape">
                          <wps:wsp>
                            <wps:cNvCnPr/>
                            <wps:spPr>
                              <a:xfrm flipV="1">
                                <a:off x="4056380" y="5834380"/>
                                <a:ext cx="245745" cy="59055"/>
                              </a:xfrm>
                              <a:prstGeom prst="line">
                                <a:avLst/>
                              </a:prstGeom>
                              <a:ln w="9525">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89" o:spid="_x0000_s1026" o:spt="20" style="position:absolute;left:0pt;flip:y;margin-left:237.4pt;margin-top:200.1pt;height:4.65pt;width:19.35pt;z-index:251691008;mso-width-relative:page;mso-height-relative:page;" filled="f" stroked="t" coordsize="21600,21600" o:gfxdata="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P9pImNsAAAALAQAADwAAAAAAAAABACAAAAAiAAAAZHJzL2Rvd25yZXYueG1sUEsB&#10;AhQAFAAAAAgAh07iQOXPFZ/yAQAAtQMAAA4AAAAAAAAAAQAgAAAAKgEAAGRycy9lMm9Eb2MueG1s&#10;UEsFBgAAAAAGAAYAWQEAAI4FAAAAAA==&#10;">
                      <v:fill on="f" focussize="0,0"/>
                      <v:stroke color="#FF0000 [3204]" joinstyle="round"/>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3009900</wp:posOffset>
                      </wp:positionH>
                      <wp:positionV relativeFrom="paragraph">
                        <wp:posOffset>2698750</wp:posOffset>
                      </wp:positionV>
                      <wp:extent cx="190500" cy="55880"/>
                      <wp:effectExtent l="1270" t="4445" r="17780" b="15875"/>
                      <wp:wrapNone/>
                      <wp:docPr id="65" name="直接连接符 88"/>
                      <wp:cNvGraphicFramePr/>
                      <a:graphic xmlns:a="http://schemas.openxmlformats.org/drawingml/2006/main">
                        <a:graphicData uri="http://schemas.microsoft.com/office/word/2010/wordprocessingShape">
                          <wps:wsp>
                            <wps:cNvCnPr/>
                            <wps:spPr>
                              <a:xfrm>
                                <a:off x="4051300" y="5991860"/>
                                <a:ext cx="190500" cy="55880"/>
                              </a:xfrm>
                              <a:prstGeom prst="line">
                                <a:avLst/>
                              </a:prstGeom>
                              <a:ln w="9525">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88" o:spid="_x0000_s1026" o:spt="20" style="position:absolute;left:0pt;margin-left:237pt;margin-top:212.5pt;height:4.4pt;width:15pt;z-index:251689984;mso-width-relative:page;mso-height-relative:page;" filled="f" stroked="t" coordsize="21600,21600" o:gfxdata="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9j&#10;GMrYAAAACwEAAA8AAAAAAAAAAQAgAAAAIgAAAGRycy9kb3ducmV2LnhtbFBLAQIUABQAAAAIAIdO&#10;4kDBKQSt6gEAAKsDAAAOAAAAAAAAAAEAIAAAACcBAABkcnMvZTJvRG9jLnhtbFBLBQYAAAAABgAG&#10;AFkBAACDBQAAAAA=&#10;">
                      <v:fill on="f" focussize="0,0"/>
                      <v:stroke color="#FF0000 [3204]" joinstyle="round"/>
                      <v:imagedata o:title=""/>
                      <o:lock v:ext="edit" aspectratio="f"/>
                    </v:lin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3095625</wp:posOffset>
                      </wp:positionH>
                      <wp:positionV relativeFrom="paragraph">
                        <wp:posOffset>2598420</wp:posOffset>
                      </wp:positionV>
                      <wp:extent cx="2142490" cy="555625"/>
                      <wp:effectExtent l="0" t="0" r="0" b="0"/>
                      <wp:wrapNone/>
                      <wp:docPr id="67" name="文本框 86"/>
                      <wp:cNvGraphicFramePr/>
                      <a:graphic xmlns:a="http://schemas.openxmlformats.org/drawingml/2006/main">
                        <a:graphicData uri="http://schemas.microsoft.com/office/word/2010/wordprocessingShape">
                          <wps:wsp>
                            <wps:cNvSpPr txBox="1"/>
                            <wps:spPr>
                              <a:xfrm>
                                <a:off x="0" y="0"/>
                                <a:ext cx="2142490" cy="5556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A976C">
                                  <w:pPr>
                                    <w:rPr>
                                      <w:color w:val="FFFF00"/>
                                      <w:sz w:val="21"/>
                                      <w:szCs w:val="21"/>
                                    </w:rPr>
                                  </w:pPr>
                                  <w:r>
                                    <w:rPr>
                                      <w:rFonts w:hint="eastAsia"/>
                                      <w:color w:val="FFFF00"/>
                                      <w:sz w:val="21"/>
                                      <w:szCs w:val="21"/>
                                    </w:rPr>
                                    <w:t>混凝土丁坝2座</w:t>
                                  </w:r>
                                </w:p>
                                <w:p w14:paraId="030FD1CC">
                                  <w:pPr>
                                    <w:rPr>
                                      <w:color w:val="FFFF00"/>
                                      <w:sz w:val="21"/>
                                      <w:szCs w:val="21"/>
                                    </w:rPr>
                                  </w:pPr>
                                  <w:r>
                                    <w:rPr>
                                      <w:rFonts w:hint="eastAsia"/>
                                      <w:color w:val="FFFF00"/>
                                      <w:sz w:val="21"/>
                                      <w:szCs w:val="21"/>
                                    </w:rPr>
                                    <w:t>右1段0+081.69~0+124.85</w:t>
                                  </w:r>
                                </w:p>
                                <w:p w14:paraId="10F01E22">
                                  <w:pPr>
                                    <w:rPr>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6" o:spid="_x0000_s1026" o:spt="202" type="#_x0000_t202" style="position:absolute;left:0pt;margin-left:243.75pt;margin-top:204.6pt;height:43.75pt;width:168.7pt;z-index:251687936;mso-width-relative:page;mso-height-relative:page;" filled="f" stroked="f" coordsize="21600,21600" o:gfxdata="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PMsHdsAAAALAQAADwAAAAAAAAABACAAAAAiAAAA&#10;ZHJzL2Rvd25yZXYueG1sUEsBAhQAFAAAAAgAh07iQCzGXKw9AgAAaAQAAA4AAAAAAAAAAQAgAAAA&#10;KgEAAGRycy9lMm9Eb2MueG1sUEsFBgAAAAAGAAYAWQEAANkFAAAAAA==&#10;">
                      <v:fill on="f" focussize="0,0"/>
                      <v:stroke on="f" weight="0.5pt"/>
                      <v:imagedata o:title=""/>
                      <o:lock v:ext="edit" aspectratio="f"/>
                      <v:textbox>
                        <w:txbxContent>
                          <w:p w14:paraId="1D7A976C">
                            <w:pPr>
                              <w:rPr>
                                <w:color w:val="FFFF00"/>
                                <w:sz w:val="21"/>
                                <w:szCs w:val="21"/>
                              </w:rPr>
                            </w:pPr>
                            <w:r>
                              <w:rPr>
                                <w:rFonts w:hint="eastAsia"/>
                                <w:color w:val="FFFF00"/>
                                <w:sz w:val="21"/>
                                <w:szCs w:val="21"/>
                              </w:rPr>
                              <w:t>混凝土丁坝2座</w:t>
                            </w:r>
                          </w:p>
                          <w:p w14:paraId="030FD1CC">
                            <w:pPr>
                              <w:rPr>
                                <w:color w:val="FFFF00"/>
                                <w:sz w:val="21"/>
                                <w:szCs w:val="21"/>
                              </w:rPr>
                            </w:pPr>
                            <w:r>
                              <w:rPr>
                                <w:rFonts w:hint="eastAsia"/>
                                <w:color w:val="FFFF00"/>
                                <w:sz w:val="21"/>
                                <w:szCs w:val="21"/>
                              </w:rPr>
                              <w:t>右1段0+081.69~0+124.85</w:t>
                            </w:r>
                          </w:p>
                          <w:p w14:paraId="10F01E22">
                            <w:pPr>
                              <w:rPr>
                                <w:sz w:val="21"/>
                                <w:szCs w:val="21"/>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3183255</wp:posOffset>
                      </wp:positionH>
                      <wp:positionV relativeFrom="paragraph">
                        <wp:posOffset>2172970</wp:posOffset>
                      </wp:positionV>
                      <wp:extent cx="1697990" cy="533400"/>
                      <wp:effectExtent l="0" t="0" r="0" b="0"/>
                      <wp:wrapNone/>
                      <wp:docPr id="69" name="线形标注 1 83"/>
                      <wp:cNvGraphicFramePr/>
                      <a:graphic xmlns:a="http://schemas.openxmlformats.org/drawingml/2006/main">
                        <a:graphicData uri="http://schemas.microsoft.com/office/word/2010/wordprocessingShape">
                          <wps:wsp>
                            <wps:cNvSpPr/>
                            <wps:spPr>
                              <a:xfrm>
                                <a:off x="0" y="0"/>
                                <a:ext cx="1697990" cy="53340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0A982D81">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钢筋混凝土护脚</w:t>
                                  </w:r>
                                </w:p>
                                <w:p w14:paraId="0B16597A">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右2段0+007.18~0+049.71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83" o:spid="_x0000_s1026" o:spt="47" type="#_x0000_t47" style="position:absolute;left:0pt;margin-left:250.65pt;margin-top:171.1pt;height:42pt;width:133.7pt;z-index:251685888;v-text-anchor:middle;mso-width-relative:page;mso-height-relative:page;" filled="f" stroked="f" coordsize="21600,21600" o:gfxdata="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JRFNI2gAAAAsBAAAPAAAAAAAAAAEAIAAAACIAAABkcnMvZG93bnJldi54bWxQ&#10;SwECFAAUAAAACACHTuJAHqydy6ACAABDBQAADgAAAAAAAAABACAAAAApAQAAZHJzL2Uyb0RvYy54&#10;bWxQSwUGAAAAAAYABgBZAQAAOwYAAAAA&#10;" adj="-9354,11751,-1640,4526">
                      <v:fill on="f" focussize="0,0"/>
                      <v:stroke on="f"/>
                      <v:imagedata o:title=""/>
                      <o:lock v:ext="edit" aspectratio="f"/>
                      <v:textbox>
                        <w:txbxContent>
                          <w:p w14:paraId="0A982D81">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钢筋混凝土护脚</w:t>
                            </w:r>
                          </w:p>
                          <w:p w14:paraId="0B16597A">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右2段0+007.18~0+049.71</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2861310</wp:posOffset>
                      </wp:positionH>
                      <wp:positionV relativeFrom="paragraph">
                        <wp:posOffset>1908810</wp:posOffset>
                      </wp:positionV>
                      <wp:extent cx="1882140" cy="264160"/>
                      <wp:effectExtent l="0" t="0" r="0" b="0"/>
                      <wp:wrapNone/>
                      <wp:docPr id="71" name="线形标注 1 80"/>
                      <wp:cNvGraphicFramePr/>
                      <a:graphic xmlns:a="http://schemas.openxmlformats.org/drawingml/2006/main">
                        <a:graphicData uri="http://schemas.microsoft.com/office/word/2010/wordprocessingShape">
                          <wps:wsp>
                            <wps:cNvSpPr/>
                            <wps:spPr>
                              <a:xfrm>
                                <a:off x="0" y="0"/>
                                <a:ext cx="1882140" cy="26416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284BC6AA">
                                  <w:pPr>
                                    <w:rPr>
                                      <w:color w:val="00B0F0"/>
                                      <w:sz w:val="21"/>
                                      <w:szCs w:val="21"/>
                                    </w:rPr>
                                  </w:pPr>
                                  <w:r>
                                    <w:rPr>
                                      <w:rFonts w:hint="eastAsia"/>
                                      <w:color w:val="00B0F0"/>
                                      <w:sz w:val="21"/>
                                      <w:szCs w:val="21"/>
                                    </w:rPr>
                                    <w:t>固床梁右2段0+140.34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80" o:spid="_x0000_s1026" o:spt="47" type="#_x0000_t47" style="position:absolute;left:0pt;margin-left:225.3pt;margin-top:150.3pt;height:20.8pt;width:148.2pt;z-index:251683840;v-text-anchor:middle;mso-width-relative:page;mso-height-relative:page;" filled="f" stroked="f" coordsize="21600,21600" o:gfxdata="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NFmh4zZAAAACwEAAA8AAAAAAAAAAQAgAAAAIgAAAGRycy9kb3ducmV2LnhtbFBLAQIU&#10;ABQAAAAIAIdO4kC+z8DPnQIAAEMFAAAOAAAAAAAAAAEAIAAAACgBAABkcnMvZTJvRG9jLnhtbFBL&#10;BQYAAAAABgAGAFkBAAA3BgAAAAA=&#10;" adj="-9354,11751,-1640,4526">
                      <v:fill on="f" focussize="0,0"/>
                      <v:stroke on="f"/>
                      <v:imagedata o:title=""/>
                      <o:lock v:ext="edit" aspectratio="f"/>
                      <v:textbox>
                        <w:txbxContent>
                          <w:p w14:paraId="284BC6AA">
                            <w:pPr>
                              <w:rPr>
                                <w:color w:val="00B0F0"/>
                                <w:sz w:val="21"/>
                                <w:szCs w:val="21"/>
                              </w:rPr>
                            </w:pPr>
                            <w:r>
                              <w:rPr>
                                <w:rFonts w:hint="eastAsia"/>
                                <w:color w:val="00B0F0"/>
                                <w:sz w:val="21"/>
                                <w:szCs w:val="21"/>
                              </w:rPr>
                              <w:t>固床梁右2段0+140.34</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2775585</wp:posOffset>
                      </wp:positionH>
                      <wp:positionV relativeFrom="paragraph">
                        <wp:posOffset>1667510</wp:posOffset>
                      </wp:positionV>
                      <wp:extent cx="1728470" cy="264160"/>
                      <wp:effectExtent l="0" t="0" r="0" b="0"/>
                      <wp:wrapNone/>
                      <wp:docPr id="73" name="线形标注 1 67"/>
                      <wp:cNvGraphicFramePr/>
                      <a:graphic xmlns:a="http://schemas.openxmlformats.org/drawingml/2006/main">
                        <a:graphicData uri="http://schemas.microsoft.com/office/word/2010/wordprocessingShape">
                          <wps:wsp>
                            <wps:cNvSpPr/>
                            <wps:spPr>
                              <a:xfrm>
                                <a:off x="0" y="0"/>
                                <a:ext cx="1728470" cy="26416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752B71FA">
                                  <w:pPr>
                                    <w:rPr>
                                      <w:color w:val="00B0F0"/>
                                      <w:sz w:val="21"/>
                                      <w:szCs w:val="21"/>
                                    </w:rPr>
                                  </w:pPr>
                                  <w:r>
                                    <w:rPr>
                                      <w:rFonts w:hint="eastAsia"/>
                                      <w:color w:val="00B0F0"/>
                                      <w:sz w:val="21"/>
                                      <w:szCs w:val="21"/>
                                    </w:rPr>
                                    <w:t>固床梁右2段0+247.43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67" o:spid="_x0000_s1026" o:spt="47" type="#_x0000_t47" style="position:absolute;left:0pt;margin-left:218.55pt;margin-top:131.3pt;height:20.8pt;width:136.1pt;z-index:251680768;v-text-anchor:middle;mso-width-relative:page;mso-height-relative:page;" filled="f" stroked="f" coordsize="21600,21600" o:gfxdata="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KlpKdsAAAALAQAADwAAAAAAAAABACAAAAAiAAAAZHJzL2Rvd25yZXYueG1s&#10;UEsBAhQAFAAAAAgAh07iQLC8kZGgAgAAQwUAAA4AAAAAAAAAAQAgAAAAKgEAAGRycy9lMm9Eb2Mu&#10;eG1sUEsFBgAAAAAGAAYAWQEAADwGAAAAAA==&#10;" adj="-9354,11751,-1640,4526">
                      <v:fill on="f" focussize="0,0"/>
                      <v:stroke on="f"/>
                      <v:imagedata o:title=""/>
                      <o:lock v:ext="edit" aspectratio="f"/>
                      <v:textbox>
                        <w:txbxContent>
                          <w:p w14:paraId="752B71FA">
                            <w:pPr>
                              <w:rPr>
                                <w:color w:val="00B0F0"/>
                                <w:sz w:val="21"/>
                                <w:szCs w:val="21"/>
                              </w:rPr>
                            </w:pPr>
                            <w:r>
                              <w:rPr>
                                <w:rFonts w:hint="eastAsia"/>
                                <w:color w:val="00B0F0"/>
                                <w:sz w:val="21"/>
                                <w:szCs w:val="21"/>
                              </w:rPr>
                              <w:t>固床梁右2段0+247.43</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2978785</wp:posOffset>
                      </wp:positionH>
                      <wp:positionV relativeFrom="paragraph">
                        <wp:posOffset>2809875</wp:posOffset>
                      </wp:positionV>
                      <wp:extent cx="25400" cy="163830"/>
                      <wp:effectExtent l="4445" t="635" r="8255" b="6985"/>
                      <wp:wrapNone/>
                      <wp:docPr id="75" name="直接连接符 87"/>
                      <wp:cNvGraphicFramePr/>
                      <a:graphic xmlns:a="http://schemas.openxmlformats.org/drawingml/2006/main">
                        <a:graphicData uri="http://schemas.microsoft.com/office/word/2010/wordprocessingShape">
                          <wps:wsp>
                            <wps:cNvCnPr/>
                            <wps:spPr>
                              <a:xfrm>
                                <a:off x="4020185" y="6102985"/>
                                <a:ext cx="25400" cy="163830"/>
                              </a:xfrm>
                              <a:prstGeom prst="line">
                                <a:avLst/>
                              </a:prstGeom>
                              <a:ln w="9525">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87" o:spid="_x0000_s1026" o:spt="20" style="position:absolute;left:0pt;margin-left:234.55pt;margin-top:221.25pt;height:12.9pt;width:2pt;z-index:251688960;mso-width-relative:page;mso-height-relative:page;" filled="f" stroked="t" coordsize="21600,21600" o:gfxdata="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nSqrvZAAAACwEAAA8AAAAAAAAAAQAgAAAAIgAAAGRycy9kb3ducmV2LnhtbFBLAQIUABQAAAAI&#10;AIdO4kD+FKo97AEAAKsDAAAOAAAAAAAAAAEAIAAAACgBAABkcnMvZTJvRG9jLnhtbFBLBQYAAAAA&#10;BgAGAFkBAACGBQAAAAA=&#10;">
                      <v:fill on="f" focussize="0,0"/>
                      <v:stroke color="#FF0000 [3204]" joinstyle="round"/>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2837180</wp:posOffset>
                      </wp:positionH>
                      <wp:positionV relativeFrom="paragraph">
                        <wp:posOffset>2932430</wp:posOffset>
                      </wp:positionV>
                      <wp:extent cx="1697990" cy="533400"/>
                      <wp:effectExtent l="0" t="0" r="0" b="0"/>
                      <wp:wrapNone/>
                      <wp:docPr id="77" name="线形标注 1 49"/>
                      <wp:cNvGraphicFramePr/>
                      <a:graphic xmlns:a="http://schemas.openxmlformats.org/drawingml/2006/main">
                        <a:graphicData uri="http://schemas.microsoft.com/office/word/2010/wordprocessingShape">
                          <wps:wsp>
                            <wps:cNvSpPr/>
                            <wps:spPr>
                              <a:xfrm>
                                <a:off x="0" y="0"/>
                                <a:ext cx="1697990" cy="53340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5ACF2957">
                                  <w:pPr>
                                    <w:rPr>
                                      <w:color w:val="FFC000"/>
                                      <w:sz w:val="21"/>
                                      <w:szCs w:val="21"/>
                                    </w:rPr>
                                  </w:pPr>
                                  <w:r>
                                    <w:rPr>
                                      <w:rFonts w:hint="eastAsia"/>
                                      <w:color w:val="FFC000"/>
                                      <w:sz w:val="21"/>
                                      <w:szCs w:val="21"/>
                                    </w:rPr>
                                    <w:t>贴坡式护脚堤防</w:t>
                                  </w:r>
                                </w:p>
                                <w:p w14:paraId="5871C944">
                                  <w:pPr>
                                    <w:rPr>
                                      <w:color w:val="FFC000"/>
                                      <w:sz w:val="21"/>
                                      <w:szCs w:val="21"/>
                                    </w:rPr>
                                  </w:pPr>
                                  <w:r>
                                    <w:rPr>
                                      <w:rFonts w:hint="eastAsia"/>
                                      <w:color w:val="FFC000"/>
                                      <w:sz w:val="21"/>
                                      <w:szCs w:val="21"/>
                                    </w:rPr>
                                    <w:t>右1段0+044.97~0+081.69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49" o:spid="_x0000_s1026" o:spt="47" type="#_x0000_t47" style="position:absolute;left:0pt;margin-left:223.4pt;margin-top:230.9pt;height:42pt;width:133.7pt;z-index:251669504;v-text-anchor:middle;mso-width-relative:page;mso-height-relative:page;" filled="f" stroked="f" coordsize="21600,21600" o:gfxdata="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hsONaNoAAAALAQAADwAAAAAAAAABACAAAAAiAAAAZHJzL2Rvd25yZXYueG1sUEsB&#10;AhQAFAAAAAgAh07iQNlNrfWeAgAAQwUAAA4AAAAAAAAAAQAgAAAAKQEAAGRycy9lMm9Eb2MueG1s&#10;UEsFBgAAAAAGAAYAWQEAADkGAAAAAA==&#10;" adj="-9354,11751,-1640,4526">
                      <v:fill on="f" focussize="0,0"/>
                      <v:stroke on="f"/>
                      <v:imagedata o:title=""/>
                      <o:lock v:ext="edit" aspectratio="f"/>
                      <v:textbox>
                        <w:txbxContent>
                          <w:p w14:paraId="5ACF2957">
                            <w:pPr>
                              <w:rPr>
                                <w:color w:val="FFC000"/>
                                <w:sz w:val="21"/>
                                <w:szCs w:val="21"/>
                              </w:rPr>
                            </w:pPr>
                            <w:r>
                              <w:rPr>
                                <w:rFonts w:hint="eastAsia"/>
                                <w:color w:val="FFC000"/>
                                <w:sz w:val="21"/>
                                <w:szCs w:val="21"/>
                              </w:rPr>
                              <w:t>贴坡式护脚堤防</w:t>
                            </w:r>
                          </w:p>
                          <w:p w14:paraId="5871C944">
                            <w:pPr>
                              <w:rPr>
                                <w:color w:val="FFC000"/>
                                <w:sz w:val="21"/>
                                <w:szCs w:val="21"/>
                              </w:rPr>
                            </w:pPr>
                            <w:r>
                              <w:rPr>
                                <w:rFonts w:hint="eastAsia"/>
                                <w:color w:val="FFC000"/>
                                <w:sz w:val="21"/>
                                <w:szCs w:val="21"/>
                              </w:rPr>
                              <w:t>右1段0+044.97~0+081.69</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1397635</wp:posOffset>
                      </wp:positionH>
                      <wp:positionV relativeFrom="paragraph">
                        <wp:posOffset>2390775</wp:posOffset>
                      </wp:positionV>
                      <wp:extent cx="1649095" cy="259715"/>
                      <wp:effectExtent l="0" t="0" r="0" b="0"/>
                      <wp:wrapNone/>
                      <wp:docPr id="79" name="文本框 71"/>
                      <wp:cNvGraphicFramePr/>
                      <a:graphic xmlns:a="http://schemas.openxmlformats.org/drawingml/2006/main">
                        <a:graphicData uri="http://schemas.microsoft.com/office/word/2010/wordprocessingShape">
                          <wps:wsp>
                            <wps:cNvSpPr txBox="1"/>
                            <wps:spPr>
                              <a:xfrm>
                                <a:off x="1669415" y="5466715"/>
                                <a:ext cx="1649095"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BA52E">
                                  <w:pPr>
                                    <w:rPr>
                                      <w:color w:val="00B0F0"/>
                                      <w:sz w:val="21"/>
                                      <w:szCs w:val="21"/>
                                    </w:rPr>
                                  </w:pPr>
                                  <w:r>
                                    <w:rPr>
                                      <w:rFonts w:hint="eastAsia"/>
                                      <w:color w:val="00B0F0"/>
                                      <w:sz w:val="21"/>
                                      <w:szCs w:val="21"/>
                                    </w:rPr>
                                    <w:t>固床梁右2段0+033.71</w:t>
                                  </w:r>
                                </w:p>
                                <w:p w14:paraId="273CA80F">
                                  <w:pPr>
                                    <w:rPr>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1" o:spid="_x0000_s1026" o:spt="202" type="#_x0000_t202" style="position:absolute;left:0pt;margin-left:110.05pt;margin-top:188.25pt;height:20.45pt;width:129.85pt;z-index:251681792;mso-width-relative:page;mso-height-relative:page;" filled="f" stroked="f" coordsize="21600,21600" o:gfxdata="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d7rKA3QAAAAsBAAAPAAAAAAAA&#10;AAEAIAAAACIAAABkcnMvZG93bnJldi54bWxQSwECFAAUAAAACACHTuJA4o/1zkYCAAB0BAAADgAA&#10;AAAAAAABACAAAAAsAQAAZHJzL2Uyb0RvYy54bWxQSwUGAAAAAAYABgBZAQAA5AUAAAAA&#10;">
                      <v:fill on="f" focussize="0,0"/>
                      <v:stroke on="f" weight="0.5pt"/>
                      <v:imagedata o:title=""/>
                      <o:lock v:ext="edit" aspectratio="f"/>
                      <v:textbox>
                        <w:txbxContent>
                          <w:p w14:paraId="4C3BA52E">
                            <w:pPr>
                              <w:rPr>
                                <w:color w:val="00B0F0"/>
                                <w:sz w:val="21"/>
                                <w:szCs w:val="21"/>
                              </w:rPr>
                            </w:pPr>
                            <w:r>
                              <w:rPr>
                                <w:rFonts w:hint="eastAsia"/>
                                <w:color w:val="00B0F0"/>
                                <w:sz w:val="21"/>
                                <w:szCs w:val="21"/>
                              </w:rPr>
                              <w:t>固床梁右2段0+033.71</w:t>
                            </w:r>
                          </w:p>
                          <w:p w14:paraId="273CA80F">
                            <w:pPr>
                              <w:rPr>
                                <w:sz w:val="21"/>
                                <w:szCs w:val="21"/>
                              </w:rPr>
                            </w:pP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2998470</wp:posOffset>
                      </wp:positionH>
                      <wp:positionV relativeFrom="paragraph">
                        <wp:posOffset>2670175</wp:posOffset>
                      </wp:positionV>
                      <wp:extent cx="11430" cy="73025"/>
                      <wp:effectExtent l="4445" t="635" r="22225" b="2540"/>
                      <wp:wrapNone/>
                      <wp:docPr id="81" name="任意多边形 85"/>
                      <wp:cNvGraphicFramePr/>
                      <a:graphic xmlns:a="http://schemas.openxmlformats.org/drawingml/2006/main">
                        <a:graphicData uri="http://schemas.microsoft.com/office/word/2010/wordprocessingShape">
                          <wps:wsp>
                            <wps:cNvSpPr/>
                            <wps:spPr>
                              <a:xfrm>
                                <a:off x="4039870" y="5963285"/>
                                <a:ext cx="11430" cy="73025"/>
                              </a:xfrm>
                              <a:custGeom>
                                <a:avLst/>
                                <a:gdLst>
                                  <a:gd name="connisteX0" fmla="*/ 0 w 11430"/>
                                  <a:gd name="connsiteY0" fmla="*/ 73025 h 73025"/>
                                  <a:gd name="connisteX1" fmla="*/ 11430 w 11430"/>
                                  <a:gd name="connsiteY1" fmla="*/ 28575 h 73025"/>
                                  <a:gd name="connisteX2" fmla="*/ 5715 w 11430"/>
                                  <a:gd name="connsiteY2" fmla="*/ 0 h 73025"/>
                                </a:gdLst>
                                <a:ahLst/>
                                <a:cxnLst>
                                  <a:cxn ang="0">
                                    <a:pos x="connisteX0" y="connsiteY0"/>
                                  </a:cxn>
                                  <a:cxn ang="0">
                                    <a:pos x="connisteX1" y="connsiteY1"/>
                                  </a:cxn>
                                  <a:cxn ang="0">
                                    <a:pos x="connisteX2" y="connsiteY2"/>
                                  </a:cxn>
                                </a:cxnLst>
                                <a:rect l="l" t="t" r="r" b="b"/>
                                <a:pathLst>
                                  <a:path w="11430" h="73025">
                                    <a:moveTo>
                                      <a:pt x="0" y="73025"/>
                                    </a:moveTo>
                                    <a:lnTo>
                                      <a:pt x="11430" y="28575"/>
                                    </a:lnTo>
                                    <a:lnTo>
                                      <a:pt x="5715" y="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85" o:spid="_x0000_s1026" o:spt="100" style="position:absolute;left:0pt;margin-left:236.1pt;margin-top:210.25pt;height:5.75pt;width:0.9pt;z-index:251686912;mso-width-relative:page;mso-height-relative:page;" filled="f" stroked="t" coordsize="11430,73025" o:gfxdata="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HgoH/NgAAAALAQAA&#10;DwAAAAAAAAABACAAAAAiAAAAZHJzL2Rvd25yZXYueG1sUEsBAhQAFAAAAAgAh07iQL6G4xHEAgAA&#10;gAYAAA4AAAAAAAAAAQAgAAAAJwEAAGRycy9lMm9Eb2MueG1sUEsFBgAAAAAGAAYAWQEAAF0GAAAA&#10;AA==&#10;" path="m0,73025l11430,28575,5715,0e">
                      <v:path o:connectlocs="0,73025;11430,28575;5715,0" o:connectangles="0,0,0"/>
                      <v:fill on="f" focussize="0,0"/>
                      <v:stroke color="#FFFF00 [2404]" joinstyle="round"/>
                      <v:imagedata o:title=""/>
                      <o:lock v:ext="edit" aspectratio="f"/>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2978785</wp:posOffset>
                      </wp:positionH>
                      <wp:positionV relativeFrom="paragraph">
                        <wp:posOffset>2740025</wp:posOffset>
                      </wp:positionV>
                      <wp:extent cx="31750" cy="69850"/>
                      <wp:effectExtent l="3810" t="2540" r="21590" b="3810"/>
                      <wp:wrapNone/>
                      <wp:docPr id="83" name="任意多边形 1"/>
                      <wp:cNvGraphicFramePr/>
                      <a:graphic xmlns:a="http://schemas.openxmlformats.org/drawingml/2006/main">
                        <a:graphicData uri="http://schemas.microsoft.com/office/word/2010/wordprocessingShape">
                          <wps:wsp>
                            <wps:cNvSpPr/>
                            <wps:spPr>
                              <a:xfrm>
                                <a:off x="4036695" y="6004560"/>
                                <a:ext cx="31750" cy="69850"/>
                              </a:xfrm>
                              <a:custGeom>
                                <a:avLst/>
                                <a:gdLst>
                                  <a:gd name="connisteX0" fmla="*/ 0 w 31750"/>
                                  <a:gd name="connsiteY0" fmla="*/ 69850 h 69850"/>
                                  <a:gd name="connisteX1" fmla="*/ 31750 w 31750"/>
                                  <a:gd name="connsiteY1" fmla="*/ 19050 h 69850"/>
                                  <a:gd name="connisteX2" fmla="*/ 19050 w 31750"/>
                                  <a:gd name="connsiteY2" fmla="*/ 0 h 69850"/>
                                </a:gdLst>
                                <a:ahLst/>
                                <a:cxnLst>
                                  <a:cxn ang="0">
                                    <a:pos x="connisteX0" y="connsiteY0"/>
                                  </a:cxn>
                                  <a:cxn ang="0">
                                    <a:pos x="connisteX1" y="connsiteY1"/>
                                  </a:cxn>
                                  <a:cxn ang="0">
                                    <a:pos x="connisteX2" y="connsiteY2"/>
                                  </a:cxn>
                                </a:cxnLst>
                                <a:rect l="l" t="t" r="r" b="b"/>
                                <a:pathLst>
                                  <a:path w="31750" h="69850">
                                    <a:moveTo>
                                      <a:pt x="0" y="69850"/>
                                    </a:moveTo>
                                    <a:lnTo>
                                      <a:pt x="31750" y="19050"/>
                                    </a:lnTo>
                                    <a:lnTo>
                                      <a:pt x="19050" y="0"/>
                                    </a:lnTo>
                                  </a:path>
                                </a:pathLst>
                              </a:custGeom>
                              <a:noFill/>
                              <a:ln w="952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 o:spid="_x0000_s1026" o:spt="100" style="position:absolute;left:0pt;margin-left:234.55pt;margin-top:215.75pt;height:5.5pt;width:2.5pt;z-index:251682816;mso-width-relative:page;mso-height-relative:page;" filled="f" stroked="t" coordsize="31750,69850" o:gfxdata="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A5zoBLaAAAACwEAAA8A&#10;AAAAAAAAAQAgAAAAIgAAAGRycy9kb3ducmV2LnhtbFBLAQIUABQAAAAIAIdO4kChX5UKwAIAAIEG&#10;AAAOAAAAAAAAAAEAIAAAACkBAABkcnMvZTJvRG9jLnhtbFBLBQYAAAAABgAGAFkBAABbBgAAAAA=&#10;" path="m0,69850l31750,19050,19050,0e">
                      <v:path o:connectlocs="0,69850;31750,19050;19050,0" o:connectangles="0,0,0"/>
                      <v:fill on="f" focussize="0,0"/>
                      <v:stroke color="#FFC000 [2404]" joinstyle="round"/>
                      <v:imagedata o:title=""/>
                      <o:lock v:ext="edit" aspectratio="f"/>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2706370</wp:posOffset>
                      </wp:positionH>
                      <wp:positionV relativeFrom="paragraph">
                        <wp:posOffset>1240790</wp:posOffset>
                      </wp:positionV>
                      <wp:extent cx="1734820" cy="533400"/>
                      <wp:effectExtent l="0" t="0" r="0" b="0"/>
                      <wp:wrapNone/>
                      <wp:docPr id="85" name="线形标注 1 52"/>
                      <wp:cNvGraphicFramePr/>
                      <a:graphic xmlns:a="http://schemas.openxmlformats.org/drawingml/2006/main">
                        <a:graphicData uri="http://schemas.microsoft.com/office/word/2010/wordprocessingShape">
                          <wps:wsp>
                            <wps:cNvSpPr/>
                            <wps:spPr>
                              <a:xfrm>
                                <a:off x="0" y="0"/>
                                <a:ext cx="1734820" cy="53340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19C71E84">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钢筋混凝土护脚</w:t>
                                  </w:r>
                                </w:p>
                                <w:p w14:paraId="06EA7D15">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右2段0+247.43~0+319.07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52" o:spid="_x0000_s1026" o:spt="47" type="#_x0000_t47" style="position:absolute;left:0pt;margin-left:213.1pt;margin-top:97.7pt;height:42pt;width:136.6pt;z-index:251672576;v-text-anchor:middle;mso-width-relative:page;mso-height-relative:page;" filled="f" stroked="f" coordsize="21600,21600" o:gfxdata="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BPtIWvaAAAACwEAAA8AAAAAAAAAAQAgAAAAIgAAAGRycy9kb3ducmV2LnhtbFBL&#10;AQIUABQAAAAIAIdO4kDoQaY0nwIAAEMFAAAOAAAAAAAAAAEAIAAAACkBAABkcnMvZTJvRG9jLnht&#10;bFBLBQYAAAAABgAGAFkBAAA6BgAAAAA=&#10;" adj="-9354,11751,-1640,4526">
                      <v:fill on="f" focussize="0,0"/>
                      <v:stroke on="f"/>
                      <v:imagedata o:title=""/>
                      <o:lock v:ext="edit" aspectratio="f"/>
                      <v:textbox>
                        <w:txbxContent>
                          <w:p w14:paraId="19C71E84">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钢筋混凝土护脚</w:t>
                            </w:r>
                          </w:p>
                          <w:p w14:paraId="06EA7D15">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右2段0+247.43~0+319.07</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3014980</wp:posOffset>
                      </wp:positionH>
                      <wp:positionV relativeFrom="paragraph">
                        <wp:posOffset>2558415</wp:posOffset>
                      </wp:positionV>
                      <wp:extent cx="26670" cy="83820"/>
                      <wp:effectExtent l="4445" t="635" r="6985" b="10795"/>
                      <wp:wrapNone/>
                      <wp:docPr id="87" name="任意多边形 82"/>
                      <wp:cNvGraphicFramePr/>
                      <a:graphic xmlns:a="http://schemas.openxmlformats.org/drawingml/2006/main">
                        <a:graphicData uri="http://schemas.microsoft.com/office/word/2010/wordprocessingShape">
                          <wps:wsp>
                            <wps:cNvSpPr/>
                            <wps:spPr>
                              <a:xfrm>
                                <a:off x="4056380" y="5851525"/>
                                <a:ext cx="26670" cy="83820"/>
                              </a:xfrm>
                              <a:custGeom>
                                <a:avLst/>
                                <a:gdLst>
                                  <a:gd name="connisteX0" fmla="*/ 26670 w 26670"/>
                                  <a:gd name="connsiteY0" fmla="*/ 83820 h 83820"/>
                                  <a:gd name="connisteX1" fmla="*/ 0 w 26670"/>
                                  <a:gd name="connsiteY1" fmla="*/ 41910 h 83820"/>
                                  <a:gd name="connisteX2" fmla="*/ 5080 w 26670"/>
                                  <a:gd name="connsiteY2" fmla="*/ 0 h 83820"/>
                                </a:gdLst>
                                <a:ahLst/>
                                <a:cxnLst>
                                  <a:cxn ang="0">
                                    <a:pos x="connisteX0" y="connsiteY0"/>
                                  </a:cxn>
                                  <a:cxn ang="0">
                                    <a:pos x="connisteX1" y="connsiteY1"/>
                                  </a:cxn>
                                  <a:cxn ang="0">
                                    <a:pos x="connisteX2" y="connsiteY2"/>
                                  </a:cxn>
                                </a:cxnLst>
                                <a:rect l="l" t="t" r="r" b="b"/>
                                <a:pathLst>
                                  <a:path w="26670" h="83820">
                                    <a:moveTo>
                                      <a:pt x="26670" y="83820"/>
                                    </a:moveTo>
                                    <a:lnTo>
                                      <a:pt x="0" y="41910"/>
                                    </a:lnTo>
                                    <a:lnTo>
                                      <a:pt x="5080" y="0"/>
                                    </a:lnTo>
                                  </a:path>
                                </a:pathLst>
                              </a:custGeom>
                              <a:noFill/>
                              <a:ln w="9525">
                                <a:solidFill>
                                  <a:schemeClr val="accent6"/>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82" o:spid="_x0000_s1026" o:spt="100" style="position:absolute;left:0pt;margin-left:237.4pt;margin-top:201.45pt;height:6.6pt;width:2.1pt;z-index:251684864;mso-width-relative:page;mso-height-relative:page;" filled="f" stroked="t" coordsize="26670,83820" o:gfxdata="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AKOpa7ZAAAACwEAAA8A&#10;AAAAAAAAAQAgAAAAIgAAAGRycy9kb3ducmV2LnhtbFBLAQIUABQAAAAIAIdO4kCzFQq9wQIAAIAG&#10;AAAOAAAAAAAAAAEAIAAAACgBAABkcnMvZTJvRG9jLnhtbFBLBQYAAAAABgAGAFkBAABbBgAAAAA=&#10;" path="m26670,83820l0,41910,5080,0e">
                      <v:path o:connectlocs="26670,83820;0,41910;5080,0" o:connectangles="0,0,0"/>
                      <v:fill on="f" focussize="0,0"/>
                      <v:stroke color="#F79646 [3209]" joinstyle="round"/>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861695</wp:posOffset>
                      </wp:positionH>
                      <wp:positionV relativeFrom="paragraph">
                        <wp:posOffset>1574165</wp:posOffset>
                      </wp:positionV>
                      <wp:extent cx="1779270" cy="533400"/>
                      <wp:effectExtent l="0" t="0" r="0" b="0"/>
                      <wp:wrapNone/>
                      <wp:docPr id="89" name="线形标注 1 43"/>
                      <wp:cNvGraphicFramePr/>
                      <a:graphic xmlns:a="http://schemas.openxmlformats.org/drawingml/2006/main">
                        <a:graphicData uri="http://schemas.microsoft.com/office/word/2010/wordprocessingShape">
                          <wps:wsp>
                            <wps:cNvSpPr/>
                            <wps:spPr>
                              <a:xfrm>
                                <a:off x="0" y="0"/>
                                <a:ext cx="1779270" cy="533400"/>
                              </a:xfrm>
                              <a:prstGeom prst="borderCallout1">
                                <a:avLst>
                                  <a:gd name="adj1" fmla="val 12000"/>
                                  <a:gd name="adj2" fmla="val 110144"/>
                                  <a:gd name="adj3" fmla="val 40119"/>
                                  <a:gd name="adj4" fmla="val 148332"/>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1859E3E6">
                                  <w:pPr>
                                    <w:rPr>
                                      <w:color w:val="FFC000"/>
                                      <w:sz w:val="21"/>
                                      <w:szCs w:val="21"/>
                                    </w:rPr>
                                  </w:pPr>
                                  <w:r>
                                    <w:rPr>
                                      <w:rFonts w:hint="eastAsia"/>
                                      <w:color w:val="FFC000"/>
                                      <w:sz w:val="21"/>
                                      <w:szCs w:val="21"/>
                                    </w:rPr>
                                    <w:t>贴坡式及重力式护脚堤防</w:t>
                                  </w:r>
                                </w:p>
                                <w:p w14:paraId="4B88ADB8">
                                  <w:pPr>
                                    <w:rPr>
                                      <w:color w:val="FFC000"/>
                                      <w:sz w:val="21"/>
                                      <w:szCs w:val="21"/>
                                    </w:rPr>
                                  </w:pPr>
                                  <w:r>
                                    <w:rPr>
                                      <w:rFonts w:hint="eastAsia"/>
                                      <w:color w:val="FFC000"/>
                                      <w:sz w:val="21"/>
                                      <w:szCs w:val="21"/>
                                    </w:rPr>
                                    <w:t>左0+000.0~0+684.2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43" o:spid="_x0000_s1026" o:spt="47" type="#_x0000_t47" style="position:absolute;left:0pt;margin-left:67.85pt;margin-top:123.95pt;height:42pt;width:140.1pt;z-index:251668480;v-text-anchor:middle;mso-width-relative:page;mso-height-relative:page;" filled="f" stroked="f" coordsize="21600,21600" o:gfxdata="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S7yTztsAAAALAQAADwAAAAAAAAABACAAAAAiAAAAZHJzL2Rvd25yZXYueG1s&#10;UEsBAhQAFAAAAAgAh07iQM+GqJagAgAARAUAAA4AAAAAAAAAAQAgAAAAKgEAAGRycy9lMm9Eb2Mu&#10;eG1sUEsFBgAAAAAGAAYAWQEAADwGAAAAAA==&#10;" adj="32040,8666,23791,2592">
                      <v:fill on="f" focussize="0,0"/>
                      <v:stroke on="f"/>
                      <v:imagedata o:title=""/>
                      <o:lock v:ext="edit" aspectratio="f"/>
                      <v:textbox>
                        <w:txbxContent>
                          <w:p w14:paraId="1859E3E6">
                            <w:pPr>
                              <w:rPr>
                                <w:color w:val="FFC000"/>
                                <w:sz w:val="21"/>
                                <w:szCs w:val="21"/>
                              </w:rPr>
                            </w:pPr>
                            <w:r>
                              <w:rPr>
                                <w:rFonts w:hint="eastAsia"/>
                                <w:color w:val="FFC000"/>
                                <w:sz w:val="21"/>
                                <w:szCs w:val="21"/>
                              </w:rPr>
                              <w:t>贴坡式及重力式护脚堤防</w:t>
                            </w:r>
                          </w:p>
                          <w:p w14:paraId="4B88ADB8">
                            <w:pPr>
                              <w:rPr>
                                <w:color w:val="FFC000"/>
                                <w:sz w:val="21"/>
                                <w:szCs w:val="21"/>
                              </w:rPr>
                            </w:pPr>
                            <w:r>
                              <w:rPr>
                                <w:rFonts w:hint="eastAsia"/>
                                <w:color w:val="FFC000"/>
                                <w:sz w:val="21"/>
                                <w:szCs w:val="21"/>
                              </w:rPr>
                              <w:t>左0+000.0~0+684.2</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2731135</wp:posOffset>
                      </wp:positionH>
                      <wp:positionV relativeFrom="paragraph">
                        <wp:posOffset>2096770</wp:posOffset>
                      </wp:positionV>
                      <wp:extent cx="184150" cy="744855"/>
                      <wp:effectExtent l="3810" t="2540" r="21590" b="14605"/>
                      <wp:wrapNone/>
                      <wp:docPr id="91" name="任意多边形 39"/>
                      <wp:cNvGraphicFramePr/>
                      <a:graphic xmlns:a="http://schemas.openxmlformats.org/drawingml/2006/main">
                        <a:graphicData uri="http://schemas.microsoft.com/office/word/2010/wordprocessingShape">
                          <wps:wsp>
                            <wps:cNvSpPr/>
                            <wps:spPr>
                              <a:xfrm>
                                <a:off x="3794760" y="5410835"/>
                                <a:ext cx="184150" cy="744855"/>
                              </a:xfrm>
                              <a:custGeom>
                                <a:avLst/>
                                <a:gdLst>
                                  <a:gd name="connisteX0" fmla="*/ 104775 w 161925"/>
                                  <a:gd name="connsiteY0" fmla="*/ 723900 h 723900"/>
                                  <a:gd name="connisteX1" fmla="*/ 152400 w 161925"/>
                                  <a:gd name="connsiteY1" fmla="*/ 552450 h 723900"/>
                                  <a:gd name="connisteX2" fmla="*/ 161925 w 161925"/>
                                  <a:gd name="connsiteY2" fmla="*/ 476250 h 723900"/>
                                  <a:gd name="connisteX3" fmla="*/ 123825 w 161925"/>
                                  <a:gd name="connsiteY3" fmla="*/ 352425 h 723900"/>
                                  <a:gd name="connisteX4" fmla="*/ 104775 w 161925"/>
                                  <a:gd name="connsiteY4" fmla="*/ 209550 h 723900"/>
                                  <a:gd name="connisteX5" fmla="*/ 38100 w 161925"/>
                                  <a:gd name="connsiteY5" fmla="*/ 57150 h 723900"/>
                                  <a:gd name="connisteX6" fmla="*/ 0 w 161925"/>
                                  <a:gd name="connsiteY6" fmla="*/ 0 h 7239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61925" h="723900">
                                    <a:moveTo>
                                      <a:pt x="104775" y="723900"/>
                                    </a:moveTo>
                                    <a:lnTo>
                                      <a:pt x="152400" y="552450"/>
                                    </a:lnTo>
                                    <a:lnTo>
                                      <a:pt x="161925" y="476250"/>
                                    </a:lnTo>
                                    <a:lnTo>
                                      <a:pt x="123825" y="352425"/>
                                    </a:lnTo>
                                    <a:lnTo>
                                      <a:pt x="104775" y="209550"/>
                                    </a:lnTo>
                                    <a:lnTo>
                                      <a:pt x="38100" y="57150"/>
                                    </a:lnTo>
                                    <a:lnTo>
                                      <a:pt x="0" y="0"/>
                                    </a:lnTo>
                                  </a:path>
                                </a:pathLst>
                              </a:custGeom>
                              <a:noFill/>
                              <a:ln w="952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39" o:spid="_x0000_s1026" o:spt="100" style="position:absolute;left:0pt;margin-left:215.05pt;margin-top:165.1pt;height:58.65pt;width:14.5pt;z-index:251666432;mso-width-relative:page;mso-height-relative:page;" filled="f" stroked="t" coordsize="161925,723900" o:gfxdata="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" path="m104775,723900l152400,552450,161925,476250,123825,352425,104775,209550,38100,57150,0,0e">
                      <v:path o:connectlocs="119155,744855;173317,568441;184150,490036;140820,362626;119155,215615;43329,58804;0,0" o:connectangles="0,0,0,0,0,0,0"/>
                      <v:fill on="f" focussize="0,0"/>
                      <v:stroke color="#FFC000 [2404]" joinstyle="round"/>
                      <v:imagedata o:title=""/>
                      <o:lock v:ext="edit" aspectratio="f"/>
                    </v:shape>
                  </w:pict>
                </mc:Fallback>
              </mc:AlternateContent>
            </w:r>
            <w:r>
              <w:drawing>
                <wp:inline distT="0" distB="0" distL="114300" distR="114300">
                  <wp:extent cx="5551170" cy="3578225"/>
                  <wp:effectExtent l="0" t="0" r="11430" b="3175"/>
                  <wp:docPr id="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
                          <pic:cNvPicPr>
                            <a:picLocks noChangeAspect="1"/>
                          </pic:cNvPicPr>
                        </pic:nvPicPr>
                        <pic:blipFill>
                          <a:blip r:embed="rId25"/>
                          <a:stretch>
                            <a:fillRect/>
                          </a:stretch>
                        </pic:blipFill>
                        <pic:spPr>
                          <a:xfrm>
                            <a:off x="0" y="0"/>
                            <a:ext cx="5551170" cy="3578225"/>
                          </a:xfrm>
                          <a:prstGeom prst="rect">
                            <a:avLst/>
                          </a:prstGeom>
                          <a:noFill/>
                          <a:ln>
                            <a:noFill/>
                          </a:ln>
                        </pic:spPr>
                      </pic:pic>
                    </a:graphicData>
                  </a:graphic>
                </wp:inline>
              </w:drawing>
            </w:r>
            <w:r>
              <mc:AlternateContent>
                <mc:Choice Requires="wps">
                  <w:drawing>
                    <wp:anchor distT="0" distB="0" distL="114300" distR="114300" simplePos="0" relativeHeight="251679744" behindDoc="0" locked="0" layoutInCell="1" allowOverlap="1">
                      <wp:simplePos x="0" y="0"/>
                      <wp:positionH relativeFrom="column">
                        <wp:posOffset>2467610</wp:posOffset>
                      </wp:positionH>
                      <wp:positionV relativeFrom="paragraph">
                        <wp:posOffset>1048385</wp:posOffset>
                      </wp:positionV>
                      <wp:extent cx="1551940" cy="264160"/>
                      <wp:effectExtent l="0" t="0" r="0" b="0"/>
                      <wp:wrapNone/>
                      <wp:docPr id="96" name="线形标注 1 66"/>
                      <wp:cNvGraphicFramePr/>
                      <a:graphic xmlns:a="http://schemas.openxmlformats.org/drawingml/2006/main">
                        <a:graphicData uri="http://schemas.microsoft.com/office/word/2010/wordprocessingShape">
                          <wps:wsp>
                            <wps:cNvSpPr/>
                            <wps:spPr>
                              <a:xfrm>
                                <a:off x="0" y="0"/>
                                <a:ext cx="1551940" cy="26416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429C3419">
                                  <w:pPr>
                                    <w:rPr>
                                      <w:color w:val="00B0F0"/>
                                      <w:sz w:val="21"/>
                                      <w:szCs w:val="21"/>
                                    </w:rPr>
                                  </w:pPr>
                                  <w:r>
                                    <w:rPr>
                                      <w:rFonts w:hint="eastAsia"/>
                                      <w:color w:val="00B0F0"/>
                                      <w:sz w:val="21"/>
                                      <w:szCs w:val="21"/>
                                    </w:rPr>
                                    <w:t>固床梁右2段0+365.00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66" o:spid="_x0000_s1026" o:spt="47" type="#_x0000_t47" style="position:absolute;left:0pt;margin-left:194.3pt;margin-top:82.55pt;height:20.8pt;width:122.2pt;z-index:251679744;v-text-anchor:middle;mso-width-relative:page;mso-height-relative:page;" filled="f" stroked="f" coordsize="21600,21600" o:gfxdata="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I57nFNkAAAALAQAADwAAAAAAAAABACAAAAAiAAAAZHJzL2Rvd25yZXYueG1sUEsB&#10;AhQAFAAAAAgAh07iQOKkvuqfAgAAQwUAAA4AAAAAAAAAAQAgAAAAKAEAAGRycy9lMm9Eb2MueG1s&#10;UEsFBgAAAAAGAAYAWQEAADkGAAAAAA==&#10;" adj="-9354,11751,-1640,4526">
                      <v:fill on="f" focussize="0,0"/>
                      <v:stroke on="f"/>
                      <v:imagedata o:title=""/>
                      <o:lock v:ext="edit" aspectratio="f"/>
                      <v:textbox>
                        <w:txbxContent>
                          <w:p w14:paraId="429C3419">
                            <w:pPr>
                              <w:rPr>
                                <w:color w:val="00B0F0"/>
                                <w:sz w:val="21"/>
                                <w:szCs w:val="21"/>
                              </w:rPr>
                            </w:pPr>
                            <w:r>
                              <w:rPr>
                                <w:rFonts w:hint="eastAsia"/>
                                <w:color w:val="00B0F0"/>
                                <w:sz w:val="21"/>
                                <w:szCs w:val="21"/>
                              </w:rPr>
                              <w:t>固床梁右2段0+365.00</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2383155</wp:posOffset>
                      </wp:positionH>
                      <wp:positionV relativeFrom="paragraph">
                        <wp:posOffset>1227455</wp:posOffset>
                      </wp:positionV>
                      <wp:extent cx="74930" cy="22225"/>
                      <wp:effectExtent l="0" t="0" r="0" b="0"/>
                      <wp:wrapNone/>
                      <wp:docPr id="98" name="直接连接符 65"/>
                      <wp:cNvGraphicFramePr/>
                      <a:graphic xmlns:a="http://schemas.openxmlformats.org/drawingml/2006/main">
                        <a:graphicData uri="http://schemas.microsoft.com/office/word/2010/wordprocessingShape">
                          <wps:wsp>
                            <wps:cNvCnPr/>
                            <wps:spPr>
                              <a:xfrm flipV="1">
                                <a:off x="3404235" y="4525010"/>
                                <a:ext cx="74930" cy="22225"/>
                              </a:xfrm>
                              <a:prstGeom prst="line">
                                <a:avLst/>
                              </a:prstGeom>
                              <a:ln>
                                <a:solidFill>
                                  <a:srgbClr val="00B0F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5" o:spid="_x0000_s1026" o:spt="20" style="position:absolute;left:0pt;flip:y;margin-left:187.65pt;margin-top:96.65pt;height:1.75pt;width:5.9pt;z-index:251678720;mso-width-relative:page;mso-height-relative:page;" filled="f" stroked="t" coordsize="21600,21600" o:gfxdata="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Ulrw/XAAAACwEAAA8AAAAAAAAAAQAgAAAAIgAAAGRycy9kb3ducmV2LnhtbFBLAQIU&#10;ABQAAAAIAIdO4kCUeX1e9AEAALUDAAAOAAAAAAAAAAEAIAAAACYBAABkcnMvZTJvRG9jLnhtbFBL&#10;BQYAAAAABgAGAFkBAACMBQAAAAA=&#10;">
                      <v:fill on="f" focussize="0,0"/>
                      <v:stroke weight="2pt" color="#00B0F0 [3204]" joinstyle="round"/>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2362835</wp:posOffset>
                      </wp:positionH>
                      <wp:positionV relativeFrom="paragraph">
                        <wp:posOffset>1249680</wp:posOffset>
                      </wp:positionV>
                      <wp:extent cx="0" cy="0"/>
                      <wp:effectExtent l="0" t="0" r="0" b="0"/>
                      <wp:wrapNone/>
                      <wp:docPr id="100" name="直接连接符 64"/>
                      <wp:cNvGraphicFramePr/>
                      <a:graphic xmlns:a="http://schemas.openxmlformats.org/drawingml/2006/main">
                        <a:graphicData uri="http://schemas.microsoft.com/office/word/2010/wordprocessingShape">
                          <wps:wsp>
                            <wps:cNvCnPr/>
                            <wps:spPr>
                              <a:xfrm>
                                <a:off x="3404235" y="4542790"/>
                                <a:ext cx="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4" o:spid="_x0000_s1026" o:spt="20" style="position:absolute;left:0pt;margin-left:186.05pt;margin-top:98.4pt;height:0pt;width:0pt;z-index:251677696;mso-width-relative:page;mso-height-relative:page;" filled="f" stroked="t" coordsize="21600,21600" o:gfxdata="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gAd9p0wAAAAsB&#10;AAAPAAAAAAAAAAEAIAAAACIAAABkcnMvZG93bnJldi54bWxQSwECFAAUAAAACACHTuJA7tTMjecB&#10;AACkAwAADgAAAAAAAAABACAAAAAiAQAAZHJzL2Uyb0RvYy54bWxQSwUGAAAAAAYABgBZAQAAewUA&#10;AAAA&#10;">
                      <v:fill on="f" focussize="0,0"/>
                      <v:stroke weight="2pt" color="#4F81BD [3204]" joinstyle="round"/>
                      <v:imagedata o:title=""/>
                      <o:lock v:ext="edit" aspectratio="f"/>
                    </v:lin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2636520</wp:posOffset>
                      </wp:positionH>
                      <wp:positionV relativeFrom="paragraph">
                        <wp:posOffset>1844675</wp:posOffset>
                      </wp:positionV>
                      <wp:extent cx="74295" cy="16510"/>
                      <wp:effectExtent l="0" t="0" r="0" b="0"/>
                      <wp:wrapNone/>
                      <wp:docPr id="102" name="直接连接符 61"/>
                      <wp:cNvGraphicFramePr/>
                      <a:graphic xmlns:a="http://schemas.openxmlformats.org/drawingml/2006/main">
                        <a:graphicData uri="http://schemas.microsoft.com/office/word/2010/wordprocessingShape">
                          <wps:wsp>
                            <wps:cNvCnPr/>
                            <wps:spPr>
                              <a:xfrm flipH="1">
                                <a:off x="3709035" y="5139055"/>
                                <a:ext cx="74295" cy="16510"/>
                              </a:xfrm>
                              <a:prstGeom prst="line">
                                <a:avLst/>
                              </a:prstGeom>
                              <a:ln>
                                <a:solidFill>
                                  <a:srgbClr val="00B0F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1" o:spid="_x0000_s1026" o:spt="20" style="position:absolute;left:0pt;flip:x;margin-left:207.6pt;margin-top:145.25pt;height:1.3pt;width:5.85pt;z-index:251676672;mso-width-relative:page;mso-height-relative:page;" filled="f" stroked="t" coordsize="21600,21600" o:gfxdata="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kgn/tgAAAALAQAADwAAAAAAAAABACAAAAAiAAAAZHJzL2Rvd25yZXYueG1s&#10;UEsBAhQAFAAAAAgAh07iQEVuZJv4AQAAtgMAAA4AAAAAAAAAAQAgAAAAJwEAAGRycy9lMm9Eb2Mu&#10;eG1sUEsFBgAAAAAGAAYAWQEAAJEFAAAAAA==&#10;">
                      <v:fill on="f" focussize="0,0"/>
                      <v:stroke weight="2pt" color="#00B0F0 [3204]" joinstyle="round"/>
                      <v:imagedata o:title=""/>
                      <o:lock v:ext="edit" aspectratio="f"/>
                    </v:lin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2796540</wp:posOffset>
                      </wp:positionH>
                      <wp:positionV relativeFrom="paragraph">
                        <wp:posOffset>2092325</wp:posOffset>
                      </wp:positionV>
                      <wp:extent cx="34290" cy="62865"/>
                      <wp:effectExtent l="11430" t="6350" r="11430" b="6985"/>
                      <wp:wrapNone/>
                      <wp:docPr id="104" name="直接连接符 60"/>
                      <wp:cNvGraphicFramePr/>
                      <a:graphic xmlns:a="http://schemas.openxmlformats.org/drawingml/2006/main">
                        <a:graphicData uri="http://schemas.microsoft.com/office/word/2010/wordprocessingShape">
                          <wps:wsp>
                            <wps:cNvCnPr/>
                            <wps:spPr>
                              <a:xfrm flipV="1">
                                <a:off x="3832860" y="5405120"/>
                                <a:ext cx="34290" cy="62865"/>
                              </a:xfrm>
                              <a:prstGeom prst="line">
                                <a:avLst/>
                              </a:prstGeom>
                              <a:ln>
                                <a:solidFill>
                                  <a:srgbClr val="00B0F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0" o:spid="_x0000_s1026" o:spt="20" style="position:absolute;left:0pt;flip:y;margin-left:220.2pt;margin-top:164.75pt;height:4.95pt;width:2.7pt;z-index:251675648;mso-width-relative:page;mso-height-relative:page;" filled="f" stroked="t" coordsize="21600,21600" o:gfxdata="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gr6jTYAAAACwEAAA8AAAAAAAAAAQAgAAAAIgAAAGRycy9kb3ducmV2LnhtbFBLAQIUABQA&#10;AAAIAIdO4kB+bxYF8AEAALYDAAAOAAAAAAAAAAEAIAAAACcBAABkcnMvZTJvRG9jLnhtbFBLBQYA&#10;AAAABgAGAFkBAACJBQAAAAA=&#10;">
                      <v:fill on="f" focussize="0,0"/>
                      <v:stroke weight="2pt" color="#00B0F0 [3204]" joinstyle="round"/>
                      <v:imagedata o:title=""/>
                      <o:lock v:ext="edit" aspectratio="f"/>
                    </v:lin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2919730</wp:posOffset>
                      </wp:positionH>
                      <wp:positionV relativeFrom="paragraph">
                        <wp:posOffset>2607945</wp:posOffset>
                      </wp:positionV>
                      <wp:extent cx="74930" cy="15240"/>
                      <wp:effectExtent l="0" t="0" r="0" b="0"/>
                      <wp:wrapNone/>
                      <wp:docPr id="106" name="直接连接符 59"/>
                      <wp:cNvGraphicFramePr/>
                      <a:graphic xmlns:a="http://schemas.openxmlformats.org/drawingml/2006/main">
                        <a:graphicData uri="http://schemas.microsoft.com/office/word/2010/wordprocessingShape">
                          <wps:wsp>
                            <wps:cNvCnPr/>
                            <wps:spPr>
                              <a:xfrm flipV="1">
                                <a:off x="3950970" y="5901055"/>
                                <a:ext cx="74930" cy="15240"/>
                              </a:xfrm>
                              <a:prstGeom prst="line">
                                <a:avLst/>
                              </a:prstGeom>
                              <a:ln>
                                <a:solidFill>
                                  <a:srgbClr val="00B0F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59" o:spid="_x0000_s1026" o:spt="20" style="position:absolute;left:0pt;flip:y;margin-left:229.9pt;margin-top:205.35pt;height:1.2pt;width:5.9pt;z-index:251674624;mso-width-relative:page;mso-height-relative:page;" filled="f" stroked="t" coordsize="21600,21600" o:gfxdata="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VBxy9gAAAALAQAADwAAAAAAAAABACAAAAAiAAAAZHJzL2Rvd25yZXYueG1sUEsB&#10;AhQAFAAAAAgAh07iQOOk+in1AQAAtgMAAA4AAAAAAAAAAQAgAAAAJwEAAGRycy9lMm9Eb2MueG1s&#10;UEsFBgAAAAAGAAYAWQEAAI4FAAAAAA==&#10;">
                      <v:fill on="f" focussize="0,0"/>
                      <v:stroke weight="2pt" color="#00B0F0 [3204]" joinstyle="round"/>
                      <v:imagedata o:title=""/>
                      <o:lock v:ext="edit" aspectratio="f"/>
                    </v:lin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2534920</wp:posOffset>
                      </wp:positionH>
                      <wp:positionV relativeFrom="paragraph">
                        <wp:posOffset>453390</wp:posOffset>
                      </wp:positionV>
                      <wp:extent cx="2009140" cy="533400"/>
                      <wp:effectExtent l="0" t="0" r="0" b="0"/>
                      <wp:wrapNone/>
                      <wp:docPr id="108" name="线形标注 1 57"/>
                      <wp:cNvGraphicFramePr/>
                      <a:graphic xmlns:a="http://schemas.openxmlformats.org/drawingml/2006/main">
                        <a:graphicData uri="http://schemas.microsoft.com/office/word/2010/wordprocessingShape">
                          <wps:wsp>
                            <wps:cNvSpPr/>
                            <wps:spPr>
                              <a:xfrm>
                                <a:off x="0" y="0"/>
                                <a:ext cx="2009140" cy="533400"/>
                              </a:xfrm>
                              <a:prstGeom prst="borderCallout1">
                                <a:avLst>
                                  <a:gd name="adj1" fmla="val 20952"/>
                                  <a:gd name="adj2" fmla="val -7593"/>
                                  <a:gd name="adj3" fmla="val 54404"/>
                                  <a:gd name="adj4" fmla="val -43304"/>
                                </a:avLst>
                              </a:prstGeom>
                              <a:noFill/>
                              <a:ln w="9525">
                                <a:noFill/>
                              </a:ln>
                            </wps:spPr>
                            <wps:style>
                              <a:lnRef idx="2">
                                <a:schemeClr val="accent1">
                                  <a:lumMod val="75000"/>
                                </a:schemeClr>
                              </a:lnRef>
                              <a:fillRef idx="1">
                                <a:schemeClr val="accent1"/>
                              </a:fillRef>
                              <a:effectRef idx="0">
                                <a:srgbClr val="FFFFFF"/>
                              </a:effectRef>
                              <a:fontRef idx="minor">
                                <a:schemeClr val="lt1"/>
                              </a:fontRef>
                            </wps:style>
                            <wps:txbx>
                              <w:txbxContent>
                                <w:p w14:paraId="53150CCB">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钢筋混凝土护脚</w:t>
                                  </w:r>
                                </w:p>
                                <w:p w14:paraId="69989BE3">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右2段0+465.49~0+525.03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线形标注 1 57" o:spid="_x0000_s1026" o:spt="47" type="#_x0000_t47" style="position:absolute;left:0pt;margin-left:199.6pt;margin-top:35.7pt;height:42pt;width:158.2pt;z-index:251673600;v-text-anchor:middle;mso-width-relative:page;mso-height-relative:page;" filled="f" stroked="f" coordsize="21600,21600" o:gfxdata="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B8QqZ7aAAAACgEAAA8AAAAAAAAAAQAgAAAAIgAAAGRycy9kb3ducmV2LnhtbFBLAQIU&#10;ABQAAAAIAIdO4kAC6Kh8nAIAAEQFAAAOAAAAAAAAAAEAIAAAACkBAABkcnMvZTJvRG9jLnhtbFBL&#10;BQYAAAAABgAGAFkBAAA3BgAAAAA=&#10;" adj="-9354,11751,-1640,4526">
                      <v:fill on="f" focussize="0,0"/>
                      <v:stroke on="f"/>
                      <v:imagedata o:title=""/>
                      <o:lock v:ext="edit" aspectratio="f"/>
                      <v:textbox>
                        <w:txbxContent>
                          <w:p w14:paraId="53150CCB">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钢筋混凝土护脚</w:t>
                            </w:r>
                          </w:p>
                          <w:p w14:paraId="69989BE3">
                            <w:pPr>
                              <w:rPr>
                                <w:color w:val="F79646" w:themeColor="accent6"/>
                                <w:sz w:val="21"/>
                                <w:szCs w:val="21"/>
                                <w14:textFill>
                                  <w14:solidFill>
                                    <w14:schemeClr w14:val="accent6"/>
                                  </w14:solidFill>
                                </w14:textFill>
                              </w:rPr>
                            </w:pPr>
                            <w:r>
                              <w:rPr>
                                <w:rFonts w:hint="eastAsia"/>
                                <w:color w:val="F79646" w:themeColor="accent6"/>
                                <w:sz w:val="21"/>
                                <w:szCs w:val="21"/>
                                <w14:textFill>
                                  <w14:solidFill>
                                    <w14:schemeClr w14:val="accent6"/>
                                  </w14:solidFill>
                                </w14:textFill>
                              </w:rPr>
                              <w:t>右2段0+465.49~0+525.03</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2429510</wp:posOffset>
                      </wp:positionH>
                      <wp:positionV relativeFrom="paragraph">
                        <wp:posOffset>712470</wp:posOffset>
                      </wp:positionV>
                      <wp:extent cx="66675" cy="295275"/>
                      <wp:effectExtent l="4445" t="1270" r="5080" b="8255"/>
                      <wp:wrapNone/>
                      <wp:docPr id="110" name="任意多边形 51"/>
                      <wp:cNvGraphicFramePr/>
                      <a:graphic xmlns:a="http://schemas.openxmlformats.org/drawingml/2006/main">
                        <a:graphicData uri="http://schemas.microsoft.com/office/word/2010/wordprocessingShape">
                          <wps:wsp>
                            <wps:cNvSpPr/>
                            <wps:spPr>
                              <a:xfrm>
                                <a:off x="3470910" y="4005580"/>
                                <a:ext cx="66675" cy="295275"/>
                              </a:xfrm>
                              <a:custGeom>
                                <a:avLst/>
                                <a:gdLst>
                                  <a:gd name="connisteX0" fmla="*/ 19050 w 66675"/>
                                  <a:gd name="connsiteY0" fmla="*/ 295275 h 295275"/>
                                  <a:gd name="connisteX1" fmla="*/ 66675 w 66675"/>
                                  <a:gd name="connsiteY1" fmla="*/ 190500 h 295275"/>
                                  <a:gd name="connisteX2" fmla="*/ 0 w 66675"/>
                                  <a:gd name="connsiteY2" fmla="*/ 0 h 295275"/>
                                </a:gdLst>
                                <a:ahLst/>
                                <a:cxnLst>
                                  <a:cxn ang="0">
                                    <a:pos x="connisteX0" y="connsiteY0"/>
                                  </a:cxn>
                                  <a:cxn ang="0">
                                    <a:pos x="connisteX1" y="connsiteY1"/>
                                  </a:cxn>
                                  <a:cxn ang="0">
                                    <a:pos x="connisteX2" y="connsiteY2"/>
                                  </a:cxn>
                                </a:cxnLst>
                                <a:rect l="l" t="t" r="r" b="b"/>
                                <a:pathLst>
                                  <a:path w="66675" h="295275">
                                    <a:moveTo>
                                      <a:pt x="19050" y="295275"/>
                                    </a:moveTo>
                                    <a:lnTo>
                                      <a:pt x="66675" y="190500"/>
                                    </a:lnTo>
                                    <a:lnTo>
                                      <a:pt x="0" y="0"/>
                                    </a:lnTo>
                                  </a:path>
                                </a:pathLst>
                              </a:custGeom>
                              <a:noFill/>
                              <a:ln w="9525">
                                <a:solidFill>
                                  <a:schemeClr val="accent6"/>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51" o:spid="_x0000_s1026" o:spt="100" style="position:absolute;left:0pt;margin-left:191.3pt;margin-top:56.1pt;height:23.25pt;width:5.25pt;z-index:251671552;mso-width-relative:page;mso-height-relative:page;" filled="f" stroked="t" coordsize="66675,295275" o:gfxdata="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DBHKRA2QAAAAsB&#10;AAAPAAAAAAAAAAEAIAAAACIAAABkcnMvZG93bnJldi54bWxQSwECFAAUAAAACACHTuJAx2rgn8UC&#10;AACMBgAADgAAAAAAAAABACAAAAAoAQAAZHJzL2Uyb0RvYy54bWxQSwUGAAAAAAYABgBZAQAAXwYA&#10;AAAA&#10;" path="m19050,295275l66675,190500,0,0e">
                      <v:path o:connectlocs="19050,295275;66675,190500;0,0" o:connectangles="0,0,0"/>
                      <v:fill on="f" focussize="0,0"/>
                      <v:stroke color="#F79646 [3209]" joinstyle="round"/>
                      <v:imagedata o:title=""/>
                      <o:lock v:ext="edit" aspectratio="f"/>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2591435</wp:posOffset>
                      </wp:positionH>
                      <wp:positionV relativeFrom="paragraph">
                        <wp:posOffset>1455420</wp:posOffset>
                      </wp:positionV>
                      <wp:extent cx="161925" cy="390525"/>
                      <wp:effectExtent l="3810" t="3175" r="5715" b="6350"/>
                      <wp:wrapNone/>
                      <wp:docPr id="112" name="任意多边形 50"/>
                      <wp:cNvGraphicFramePr/>
                      <a:graphic xmlns:a="http://schemas.openxmlformats.org/drawingml/2006/main">
                        <a:graphicData uri="http://schemas.microsoft.com/office/word/2010/wordprocessingShape">
                          <wps:wsp>
                            <wps:cNvSpPr/>
                            <wps:spPr>
                              <a:xfrm>
                                <a:off x="3632835" y="4748530"/>
                                <a:ext cx="161925" cy="390525"/>
                              </a:xfrm>
                              <a:custGeom>
                                <a:avLst/>
                                <a:gdLst>
                                  <a:gd name="connisteX0" fmla="*/ 161925 w 161925"/>
                                  <a:gd name="connsiteY0" fmla="*/ 390525 h 390525"/>
                                  <a:gd name="connisteX1" fmla="*/ 114300 w 161925"/>
                                  <a:gd name="connsiteY1" fmla="*/ 228600 h 390525"/>
                                  <a:gd name="connisteX2" fmla="*/ 95250 w 161925"/>
                                  <a:gd name="connsiteY2" fmla="*/ 123825 h 390525"/>
                                  <a:gd name="connisteX3" fmla="*/ 0 w 161925"/>
                                  <a:gd name="connsiteY3" fmla="*/ 0 h 390525"/>
                                </a:gdLst>
                                <a:ahLst/>
                                <a:cxnLst>
                                  <a:cxn ang="0">
                                    <a:pos x="connisteX0" y="connsiteY0"/>
                                  </a:cxn>
                                  <a:cxn ang="0">
                                    <a:pos x="connisteX1" y="connsiteY1"/>
                                  </a:cxn>
                                  <a:cxn ang="0">
                                    <a:pos x="connisteX2" y="connsiteY2"/>
                                  </a:cxn>
                                  <a:cxn ang="0">
                                    <a:pos x="connisteX3" y="connsiteY3"/>
                                  </a:cxn>
                                </a:cxnLst>
                                <a:rect l="l" t="t" r="r" b="b"/>
                                <a:pathLst>
                                  <a:path w="161925" h="390525">
                                    <a:moveTo>
                                      <a:pt x="161925" y="390525"/>
                                    </a:moveTo>
                                    <a:lnTo>
                                      <a:pt x="114300" y="228600"/>
                                    </a:lnTo>
                                    <a:lnTo>
                                      <a:pt x="95250" y="123825"/>
                                    </a:lnTo>
                                    <a:lnTo>
                                      <a:pt x="0" y="0"/>
                                    </a:lnTo>
                                  </a:path>
                                </a:pathLst>
                              </a:custGeom>
                              <a:noFill/>
                              <a:ln w="9525">
                                <a:solidFill>
                                  <a:schemeClr val="accent6"/>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50" o:spid="_x0000_s1026" o:spt="100" style="position:absolute;left:0pt;margin-left:204.05pt;margin-top:114.6pt;height:30.75pt;width:12.75pt;z-index:251670528;mso-width-relative:page;mso-height-relative:page;" filled="f" stroked="t" coordsize="161925,390525" o:gfxdata="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" path="m161925,390525l114300,228600,95250,123825,0,0e">
                      <v:path o:connectlocs="161925,390525;114300,228600;95250,123825;0,0" o:connectangles="0,0,0,0"/>
                      <v:fill on="f" focussize="0,0"/>
                      <v:stroke color="#F79646 [3209]" joinstyle="round"/>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2267585</wp:posOffset>
                      </wp:positionH>
                      <wp:positionV relativeFrom="paragraph">
                        <wp:posOffset>640080</wp:posOffset>
                      </wp:positionV>
                      <wp:extent cx="466725" cy="1457325"/>
                      <wp:effectExtent l="12065" t="3175" r="16510" b="6350"/>
                      <wp:wrapNone/>
                      <wp:docPr id="114" name="任意多边形 40"/>
                      <wp:cNvGraphicFramePr/>
                      <a:graphic xmlns:a="http://schemas.openxmlformats.org/drawingml/2006/main">
                        <a:graphicData uri="http://schemas.microsoft.com/office/word/2010/wordprocessingShape">
                          <wps:wsp>
                            <wps:cNvSpPr/>
                            <wps:spPr>
                              <a:xfrm>
                                <a:off x="3308985" y="3933190"/>
                                <a:ext cx="466725" cy="1457325"/>
                              </a:xfrm>
                              <a:custGeom>
                                <a:avLst/>
                                <a:gdLst>
                                  <a:gd name="connisteX0" fmla="*/ 466725 w 466725"/>
                                  <a:gd name="connsiteY0" fmla="*/ 1457325 h 1457325"/>
                                  <a:gd name="connisteX1" fmla="*/ 400050 w 466725"/>
                                  <a:gd name="connsiteY1" fmla="*/ 1333500 h 1457325"/>
                                  <a:gd name="connisteX2" fmla="*/ 304800 w 466725"/>
                                  <a:gd name="connsiteY2" fmla="*/ 1076325 h 1457325"/>
                                  <a:gd name="connisteX3" fmla="*/ 266700 w 466725"/>
                                  <a:gd name="connsiteY3" fmla="*/ 914400 h 1457325"/>
                                  <a:gd name="connisteX4" fmla="*/ 152400 w 466725"/>
                                  <a:gd name="connsiteY4" fmla="*/ 752475 h 1457325"/>
                                  <a:gd name="connisteX5" fmla="*/ 95250 w 466725"/>
                                  <a:gd name="connsiteY5" fmla="*/ 609600 h 1457325"/>
                                  <a:gd name="connisteX6" fmla="*/ 85725 w 466725"/>
                                  <a:gd name="connsiteY6" fmla="*/ 304800 h 1457325"/>
                                  <a:gd name="connisteX7" fmla="*/ 0 w 466725"/>
                                  <a:gd name="connsiteY7" fmla="*/ 0 h 145732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466725" h="1457325">
                                    <a:moveTo>
                                      <a:pt x="466725" y="1457325"/>
                                    </a:moveTo>
                                    <a:lnTo>
                                      <a:pt x="400050" y="1333500"/>
                                    </a:lnTo>
                                    <a:lnTo>
                                      <a:pt x="304800" y="1076325"/>
                                    </a:lnTo>
                                    <a:lnTo>
                                      <a:pt x="266700" y="914400"/>
                                    </a:lnTo>
                                    <a:lnTo>
                                      <a:pt x="152400" y="752475"/>
                                    </a:lnTo>
                                    <a:lnTo>
                                      <a:pt x="95250" y="609600"/>
                                    </a:lnTo>
                                    <a:lnTo>
                                      <a:pt x="85725" y="304800"/>
                                    </a:lnTo>
                                    <a:lnTo>
                                      <a:pt x="0" y="0"/>
                                    </a:lnTo>
                                  </a:path>
                                </a:pathLst>
                              </a:custGeom>
                              <a:noFill/>
                              <a:ln w="952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40" o:spid="_x0000_s1026" o:spt="100" style="position:absolute;left:0pt;margin-left:178.55pt;margin-top:50.4pt;height:114.75pt;width:36.75pt;z-index:251667456;mso-width-relative:page;mso-height-relative:page;" filled="f" stroked="t" coordsize="466725,1457325" o:gfxdata="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" path="m466725,1457325l400050,1333500,304800,1076325,266700,914400,152400,752475,95250,609600,85725,304800,0,0e">
                      <v:path o:connectlocs="466725,1457325;400050,1333500;304800,1076325;266700,914400;152400,752475;95250,609600;85725,304800;0,0" o:connectangles="0,0,0,0,0,0,0,0"/>
                      <v:fill on="f" focussize="0,0"/>
                      <v:stroke color="#FFC000 [2404]" joinstyle="round"/>
                      <v:imagedata o:title=""/>
                      <o:lock v:ext="edit" aspectratio="f"/>
                    </v:shape>
                  </w:pict>
                </mc:Fallback>
              </mc:AlternateContent>
            </w:r>
            <w:r>
              <w:drawing>
                <wp:anchor distT="0" distB="0" distL="114300" distR="114300" simplePos="0" relativeHeight="251660288" behindDoc="0" locked="0" layoutInCell="1" allowOverlap="1">
                  <wp:simplePos x="0" y="0"/>
                  <wp:positionH relativeFrom="column">
                    <wp:posOffset>5120005</wp:posOffset>
                  </wp:positionH>
                  <wp:positionV relativeFrom="paragraph">
                    <wp:posOffset>104775</wp:posOffset>
                  </wp:positionV>
                  <wp:extent cx="514985" cy="683260"/>
                  <wp:effectExtent l="0" t="0" r="18415" b="2540"/>
                  <wp:wrapNone/>
                  <wp:docPr id="1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6"/>
                          <pic:cNvPicPr>
                            <a:picLocks noChangeAspect="1"/>
                          </pic:cNvPicPr>
                        </pic:nvPicPr>
                        <pic:blipFill>
                          <a:blip r:embed="rId26"/>
                          <a:srcRect l="3421" b="3762"/>
                          <a:stretch>
                            <a:fillRect/>
                          </a:stretch>
                        </pic:blipFill>
                        <pic:spPr>
                          <a:xfrm>
                            <a:off x="0" y="0"/>
                            <a:ext cx="514985" cy="683260"/>
                          </a:xfrm>
                          <a:prstGeom prst="rect">
                            <a:avLst/>
                          </a:prstGeom>
                          <a:noFill/>
                          <a:ln>
                            <a:noFill/>
                          </a:ln>
                        </pic:spPr>
                      </pic:pic>
                    </a:graphicData>
                  </a:graphic>
                </wp:anchor>
              </w:drawing>
            </w:r>
          </w:p>
          <w:p w14:paraId="3ED260A2">
            <w:pPr>
              <w:pStyle w:val="7"/>
              <w:autoSpaceDE w:val="0"/>
              <w:autoSpaceDN w:val="0"/>
              <w:spacing w:line="360" w:lineRule="auto"/>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图2- 6  本项目工程总体走向布置图</w:t>
            </w:r>
          </w:p>
          <w:p w14:paraId="27D1FB86">
            <w:pPr>
              <w:autoSpaceDE w:val="0"/>
              <w:autoSpaceDN w:val="0"/>
              <w:spacing w:line="360" w:lineRule="auto"/>
              <w:ind w:firstLine="480" w:firstLineChars="200"/>
            </w:pPr>
            <w:r>
              <w:rPr>
                <w:rFonts w:hint="eastAsia"/>
              </w:rPr>
              <w:t>根据本项目总体平面布置，以防洪规划为基础，综合考虑现状地形地质条件、水流特征等，尽量满足各方面要求；沟道治理导线路布置具有较强的可操作性，沟道定线利用原有沟槽，结合现状地形，减少了工程量，降低工程造价；护岸护坡结构以安全为前提，兼顾了生态及景观，沟槽与河床、河床与沟堤、沟堤与周围景观的和谐。同时，护岸坡面生长植物，增强生态性。</w:t>
            </w:r>
          </w:p>
          <w:p w14:paraId="3DAB00E6">
            <w:pPr>
              <w:pStyle w:val="106"/>
              <w:ind w:firstLine="482"/>
              <w:rPr>
                <w:b/>
                <w:bCs/>
              </w:rPr>
            </w:pPr>
            <w:r>
              <w:rPr>
                <w:rFonts w:hint="eastAsia"/>
                <w:b/>
                <w:bCs/>
              </w:rPr>
              <w:t>二、施工平面布置</w:t>
            </w:r>
          </w:p>
          <w:p w14:paraId="644E3A64">
            <w:pPr>
              <w:pStyle w:val="106"/>
              <w:ind w:firstLine="482"/>
              <w:rPr>
                <w:b/>
                <w:bCs/>
              </w:rPr>
            </w:pPr>
            <w:r>
              <w:rPr>
                <w:rFonts w:hint="eastAsia"/>
                <w:b/>
                <w:bCs/>
              </w:rPr>
              <w:t>1、施工营地</w:t>
            </w:r>
          </w:p>
          <w:p w14:paraId="2822E911">
            <w:pPr>
              <w:pStyle w:val="106"/>
            </w:pPr>
            <w:r>
              <w:rPr>
                <w:rFonts w:hint="eastAsia"/>
              </w:rPr>
              <w:t>项目施工期间施工项目部、办公生活用房直接租用附近民房布置，不单独新增占地设置临时办公生活场地。</w:t>
            </w:r>
          </w:p>
          <w:p w14:paraId="5E5409BD">
            <w:pPr>
              <w:pStyle w:val="106"/>
              <w:ind w:firstLine="482"/>
              <w:rPr>
                <w:b/>
                <w:bCs/>
              </w:rPr>
            </w:pPr>
            <w:r>
              <w:rPr>
                <w:rFonts w:hint="eastAsia"/>
                <w:b/>
                <w:bCs/>
              </w:rPr>
              <w:t>2、施工场地</w:t>
            </w:r>
          </w:p>
          <w:p w14:paraId="59068C53">
            <w:pPr>
              <w:pStyle w:val="106"/>
            </w:pPr>
            <w:r>
              <w:rPr>
                <w:rFonts w:hint="eastAsia"/>
              </w:rPr>
              <w:t>本项目设置1个施工场地，主要布置施工现场材料堆场、钢筋加工场、木材加工场等</w:t>
            </w:r>
            <w:r>
              <w:rPr>
                <w:rFonts w:hint="eastAsia"/>
                <w:lang w:val="zh-CN"/>
              </w:rPr>
              <w:t>，位于堤右0+300外侧的海螺沟贡嘎神汤温泉酒店灾后恢复提升工程占地内，紧邻现状道路和项目建设区进行布置，</w:t>
            </w:r>
            <w:r>
              <w:rPr>
                <w:rFonts w:hint="eastAsia"/>
              </w:rPr>
              <w:t>占地面积约0.1hm²，占地类型为商服用地，该处场地位于海螺沟贡嘎神汤温泉酒店灾后恢复提升工程占地内，该工程计划于2025年1月至2027年10月进行建设，本项目施工期间与</w:t>
            </w:r>
            <w:r>
              <w:t>贡嘎神汤温泉酒店灾后恢复提升工程</w:t>
            </w:r>
            <w:r>
              <w:rPr>
                <w:rFonts w:hint="eastAsia"/>
              </w:rPr>
              <w:t>共用施工场地，在本项目施工期结束后施工场地由</w:t>
            </w:r>
            <w:r>
              <w:t>贡嘎神汤温泉酒店灾后恢复提升工程</w:t>
            </w:r>
            <w:r>
              <w:rPr>
                <w:rFonts w:hint="eastAsia"/>
              </w:rPr>
              <w:t>继续使用，因此本项目施工场地使用结束后暂不进行恢复，直接由海螺沟贡嘎神汤温泉酒店灾后恢复提升工程进行施工建设，并进行后续拆除及占地恢复。</w:t>
            </w:r>
          </w:p>
          <w:p w14:paraId="6B421EDF">
            <w:pPr>
              <w:autoSpaceDE w:val="0"/>
              <w:autoSpaceDN w:val="0"/>
              <w:spacing w:line="360" w:lineRule="auto"/>
              <w:ind w:firstLine="482" w:firstLineChars="200"/>
              <w:rPr>
                <w:b/>
                <w:bCs/>
              </w:rPr>
            </w:pPr>
            <w:r>
              <w:rPr>
                <w:rFonts w:hint="eastAsia"/>
                <w:b/>
                <w:bCs/>
              </w:rPr>
              <w:t>3、施工临时道路</w:t>
            </w:r>
          </w:p>
          <w:p w14:paraId="62A73F3B">
            <w:pPr>
              <w:autoSpaceDE w:val="0"/>
              <w:autoSpaceDN w:val="0"/>
              <w:spacing w:line="360" w:lineRule="auto"/>
              <w:ind w:firstLine="480" w:firstLineChars="200"/>
            </w:pPr>
            <w:r>
              <w:rPr>
                <w:rFonts w:hint="eastAsia"/>
              </w:rPr>
              <w:t>场内运输以建设区周围现有道路为基础，沿河道内布置施工作业带，施工作业带与现状道路相接，施工车辆直接利用施工作业带进行通行，不设置施工便道。</w:t>
            </w:r>
          </w:p>
          <w:p w14:paraId="45319BC4">
            <w:pPr>
              <w:autoSpaceDE w:val="0"/>
              <w:autoSpaceDN w:val="0"/>
              <w:spacing w:line="360" w:lineRule="auto"/>
              <w:ind w:firstLine="482" w:firstLineChars="200"/>
              <w:rPr>
                <w:b/>
                <w:bCs/>
              </w:rPr>
            </w:pPr>
            <w:r>
              <w:rPr>
                <w:rFonts w:hint="eastAsia"/>
                <w:b/>
                <w:bCs/>
              </w:rPr>
              <w:t>4、料场</w:t>
            </w:r>
          </w:p>
          <w:p w14:paraId="1B31862C">
            <w:pPr>
              <w:autoSpaceDE w:val="0"/>
              <w:autoSpaceDN w:val="0"/>
              <w:spacing w:line="360" w:lineRule="auto"/>
              <w:ind w:firstLine="480" w:firstLineChars="200"/>
              <w:rPr>
                <w:b/>
                <w:bCs/>
              </w:rPr>
            </w:pPr>
            <w:r>
              <w:rPr>
                <w:rFonts w:hint="eastAsia"/>
              </w:rPr>
              <w:t>本工程建设所需地方建材除利用项目开挖的砂卵石外，其余混凝土、级配碎石等均在甘孜州相应的合法商品料场购买。不涉及建设料场。</w:t>
            </w:r>
          </w:p>
          <w:p w14:paraId="55F502E6">
            <w:pPr>
              <w:autoSpaceDE w:val="0"/>
              <w:autoSpaceDN w:val="0"/>
              <w:spacing w:line="360" w:lineRule="auto"/>
              <w:ind w:firstLine="482" w:firstLineChars="200"/>
            </w:pPr>
            <w:r>
              <w:rPr>
                <w:rFonts w:hint="eastAsia"/>
                <w:b/>
                <w:bCs/>
              </w:rPr>
              <w:t>5、临时堆土场</w:t>
            </w:r>
          </w:p>
          <w:p w14:paraId="337D253F">
            <w:pPr>
              <w:autoSpaceDE w:val="0"/>
              <w:autoSpaceDN w:val="0"/>
              <w:spacing w:line="360" w:lineRule="auto"/>
              <w:ind w:firstLine="480" w:firstLineChars="200"/>
            </w:pPr>
            <w:r>
              <w:rPr>
                <w:rFonts w:hint="eastAsia"/>
              </w:rPr>
              <w:t>（1）表土堆存场</w:t>
            </w:r>
          </w:p>
          <w:p w14:paraId="630AA6BE">
            <w:pPr>
              <w:autoSpaceDE w:val="0"/>
              <w:autoSpaceDN w:val="0"/>
              <w:spacing w:line="360" w:lineRule="auto"/>
              <w:ind w:firstLine="480" w:firstLineChars="200"/>
            </w:pPr>
            <w:r>
              <w:rPr>
                <w:rFonts w:hint="eastAsia"/>
              </w:rPr>
              <w:t>经调查，项目施工过程中建设范围内均为河道及正在施工建设的海螺沟贡嘎神汤温泉酒店灾后恢复提升工程用地，工程占地为水域及水利设施用地和商服用地，无可剥离表土资源，因此不设置表土堆存场。</w:t>
            </w:r>
          </w:p>
          <w:p w14:paraId="2AABC474">
            <w:pPr>
              <w:autoSpaceDE w:val="0"/>
              <w:autoSpaceDN w:val="0"/>
              <w:spacing w:line="360" w:lineRule="auto"/>
              <w:ind w:firstLine="480" w:firstLineChars="200"/>
            </w:pPr>
            <w:r>
              <w:rPr>
                <w:rFonts w:hint="eastAsia"/>
              </w:rPr>
              <w:t>（2）土石方周转场</w:t>
            </w:r>
          </w:p>
          <w:p w14:paraId="1A9C7288">
            <w:pPr>
              <w:autoSpaceDE w:val="0"/>
              <w:autoSpaceDN w:val="0"/>
              <w:spacing w:line="360" w:lineRule="auto"/>
              <w:ind w:firstLine="480" w:firstLineChars="200"/>
            </w:pPr>
            <w:r>
              <w:rPr>
                <w:rFonts w:hint="eastAsia"/>
              </w:rPr>
              <w:t>本项目施工期间堤防基坑开挖土方沿施工作业带堆放于施工围堰内，不集中设置临时堆土场。项目堤防工程施工期间基坑开挖土石方沿施工作业带进行堆存，后续直接用于基坑回填利用，项目建设期间产生的临时堆土堆料1.87万m³。</w:t>
            </w:r>
            <w:r>
              <w:rPr>
                <w:rFonts w:hint="eastAsia"/>
                <w:color w:val="000000" w:themeColor="text1"/>
                <w14:textFill>
                  <w14:solidFill>
                    <w14:schemeClr w14:val="tx1"/>
                  </w14:solidFill>
                </w14:textFill>
              </w:rPr>
              <w:t>本项目不单独设置砂石堆场和淤泥堆场：河道砂砾石开挖对象为河道内淤积的砂卵石，不涉及淤泥，不产生淤泥需堆存；开挖料随挖随运、分类就近回用：</w:t>
            </w:r>
            <w:r>
              <w:rPr>
                <w:rFonts w:hint="eastAsia"/>
              </w:rPr>
              <w:t>大卵石用于钢筋石笼、大块石用于固床梁护坦、合格砂卵石用于堤身及堤后回填。沿施工作业带及施工围堰内临时周转堆放，不设独立堆场。临时堆料布置在河道管理范围内的施工作业带及围堰内，不占用河道外耕地、林地，不新增临时用地；堆料采取分层堆放、坡面平整并覆盖</w:t>
            </w:r>
            <w:r>
              <w:rPr>
                <w:rFonts w:hint="eastAsia"/>
                <w:bCs/>
              </w:rPr>
              <w:t>密目网</w:t>
            </w:r>
            <w:r>
              <w:rPr>
                <w:rFonts w:hint="eastAsia"/>
              </w:rPr>
              <w:t>，四周设排水沟、沉淀池，堆料外侧设临时拦挡，防止降雨径流携带泥沙进入河道；堆料随工程进度及时回填利用，不长期堆存。综上，本项目临时堆场布置合理，对周边环境影响很小。</w:t>
            </w:r>
          </w:p>
        </w:tc>
      </w:tr>
      <w:tr w14:paraId="1430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Align w:val="center"/>
          </w:tcPr>
          <w:p w14:paraId="51F3D83B">
            <w:pPr>
              <w:spacing w:line="360" w:lineRule="auto"/>
              <w:jc w:val="center"/>
              <w:rPr>
                <w:b/>
                <w:bCs/>
              </w:rPr>
            </w:pPr>
            <w:r>
              <w:rPr>
                <w:rFonts w:hint="eastAsia"/>
                <w:b/>
                <w:bCs/>
              </w:rPr>
              <w:t>施工方案</w:t>
            </w:r>
          </w:p>
        </w:tc>
        <w:tc>
          <w:tcPr>
            <w:tcW w:w="9299" w:type="dxa"/>
            <w:vAlign w:val="center"/>
          </w:tcPr>
          <w:p w14:paraId="12BB2A79">
            <w:pPr>
              <w:pStyle w:val="106"/>
              <w:ind w:firstLine="482"/>
              <w:rPr>
                <w:b/>
                <w:bCs/>
              </w:rPr>
            </w:pPr>
            <w:r>
              <w:rPr>
                <w:rFonts w:hint="eastAsia"/>
                <w:b/>
                <w:bCs/>
              </w:rPr>
              <w:t>一、施工组织</w:t>
            </w:r>
          </w:p>
          <w:p w14:paraId="31593209">
            <w:pPr>
              <w:pStyle w:val="106"/>
            </w:pPr>
            <w:r>
              <w:rPr>
                <w:rFonts w:hint="eastAsia"/>
              </w:rPr>
              <w:t>1、施工条件</w:t>
            </w:r>
          </w:p>
          <w:p w14:paraId="45E14116">
            <w:pPr>
              <w:pStyle w:val="106"/>
            </w:pPr>
            <w:r>
              <w:rPr>
                <w:rFonts w:hint="eastAsia"/>
              </w:rPr>
              <w:t>（1）施工材料</w:t>
            </w:r>
          </w:p>
          <w:p w14:paraId="6D8ABD36">
            <w:pPr>
              <w:pStyle w:val="106"/>
            </w:pPr>
            <w:r>
              <w:rPr>
                <w:rFonts w:hint="eastAsia"/>
              </w:rPr>
              <w:t>本工程地处海螺沟景区，工程混凝土均采用外购商砼的方式解决。施工过程中工区附近有商品混凝土厂，商砼产量和质量均可满足本工程要求，综合运距10km。</w:t>
            </w:r>
          </w:p>
          <w:p w14:paraId="7E89A0BF">
            <w:pPr>
              <w:pStyle w:val="106"/>
            </w:pPr>
            <w:r>
              <w:rPr>
                <w:rFonts w:hint="eastAsia"/>
              </w:rPr>
              <w:t>工程所需砂卵石填筑料</w:t>
            </w:r>
            <w:r>
              <w:rPr>
                <w:rFonts w:hint="eastAsia"/>
                <w:color w:val="000000" w:themeColor="text1"/>
                <w14:textFill>
                  <w14:solidFill>
                    <w14:schemeClr w14:val="tx1"/>
                  </w14:solidFill>
                </w14:textFill>
              </w:rPr>
              <w:t>利用开挖料及河道砂砾石开挖料</w:t>
            </w:r>
            <w:r>
              <w:rPr>
                <w:rFonts w:hint="eastAsia"/>
              </w:rPr>
              <w:t>，其质量及储量均满足填筑料要求；大卵石料在开挖料中选捡，其储量及质量满足本工程所需。</w:t>
            </w:r>
          </w:p>
          <w:p w14:paraId="00E8C164">
            <w:pPr>
              <w:pStyle w:val="106"/>
            </w:pPr>
            <w:r>
              <w:rPr>
                <w:rFonts w:hint="eastAsia"/>
              </w:rPr>
              <w:t>本工程所需的钢筋、汽油、柴油等主要材料均在泸定县城区购买，综合运距60km。</w:t>
            </w:r>
          </w:p>
          <w:p w14:paraId="7C4FD27F">
            <w:pPr>
              <w:pStyle w:val="106"/>
            </w:pPr>
            <w:r>
              <w:rPr>
                <w:rFonts w:hint="eastAsia"/>
              </w:rPr>
              <w:t>（2）取料及堆存方式</w:t>
            </w:r>
          </w:p>
          <w:p w14:paraId="1D4B42AF">
            <w:pPr>
              <w:pStyle w:val="106"/>
            </w:pPr>
            <w:r>
              <w:rPr>
                <w:rFonts w:hint="eastAsia"/>
              </w:rPr>
              <w:t>主体工程中所需要的砂料等材料直接运往施工现场，露天存放于施工场地内；钢材、木材、水泥等建筑材料堆存方式为仓储，建筑材料储备天数按2天计，于施工现场施工场地内布置临时工棚。</w:t>
            </w:r>
          </w:p>
          <w:p w14:paraId="6B49EBD8">
            <w:pPr>
              <w:pStyle w:val="106"/>
            </w:pPr>
            <w:r>
              <w:rPr>
                <w:rFonts w:hint="eastAsia"/>
              </w:rPr>
              <w:t>（3）交通条件</w:t>
            </w:r>
          </w:p>
          <w:p w14:paraId="0DE9A71F">
            <w:pPr>
              <w:pStyle w:val="106"/>
            </w:pPr>
            <w:r>
              <w:rPr>
                <w:rFonts w:hint="eastAsia"/>
              </w:rPr>
              <w:t>场外运输以汽车运输为主，项目区可通过周边的贡嘎神汤温泉酒店道路、S211省道与外界相通，交通便利。</w:t>
            </w:r>
          </w:p>
          <w:p w14:paraId="57BD083B">
            <w:pPr>
              <w:pStyle w:val="106"/>
            </w:pPr>
            <w:r>
              <w:rPr>
                <w:rFonts w:hint="eastAsia"/>
              </w:rPr>
              <w:t>施工期间场内运输沿新建护脚堤防设置施工作业带，利用施工作业带作为施工通行道路，布置于河道内的施工围堰内。</w:t>
            </w:r>
          </w:p>
          <w:p w14:paraId="09F1B393">
            <w:pPr>
              <w:pStyle w:val="106"/>
            </w:pPr>
            <w:r>
              <w:rPr>
                <w:rFonts w:hint="eastAsia"/>
              </w:rPr>
              <w:t>（4）水电供应</w:t>
            </w:r>
          </w:p>
          <w:p w14:paraId="1882D6B6">
            <w:pPr>
              <w:pStyle w:val="106"/>
            </w:pPr>
            <w:r>
              <w:rPr>
                <w:rFonts w:hint="eastAsia"/>
              </w:rPr>
              <w:t>①施工用电：项目附近市政电网、村镇民用电线路分布较为密集，本项目施工用电从项目沿线附近的线路接引，并于施工生产场地内设置临时配变电设施，满足工程各施工设备用电需求。</w:t>
            </w:r>
          </w:p>
          <w:p w14:paraId="6E73C274">
            <w:pPr>
              <w:pStyle w:val="106"/>
            </w:pPr>
            <w:r>
              <w:rPr>
                <w:rFonts w:hint="eastAsia"/>
              </w:rPr>
              <w:t>②施工用水：工程区河段水源丰富，水质较好，施工用水通过水泵从工程区河段抽水。</w:t>
            </w:r>
          </w:p>
          <w:p w14:paraId="69F7E123">
            <w:pPr>
              <w:pStyle w:val="106"/>
            </w:pPr>
            <w:r>
              <w:rPr>
                <w:rFonts w:hint="eastAsia"/>
              </w:rPr>
              <w:t>③施工用风：施工用风采用施工单位根据用风量大小及强度，由施工单位自备空压机解决。</w:t>
            </w:r>
          </w:p>
          <w:p w14:paraId="6584E570">
            <w:pPr>
              <w:pStyle w:val="106"/>
            </w:pPr>
            <w:r>
              <w:rPr>
                <w:rFonts w:hint="eastAsia"/>
              </w:rPr>
              <w:t>根据施工需要在施工生产场地分别布置施工用电、用水设施。机械设备动力燃料的供应，由施工单位自备油罐车供应。</w:t>
            </w:r>
          </w:p>
          <w:p w14:paraId="3662DED7">
            <w:pPr>
              <w:pStyle w:val="106"/>
              <w:ind w:firstLine="482"/>
              <w:rPr>
                <w:b/>
                <w:bCs/>
              </w:rPr>
            </w:pPr>
            <w:r>
              <w:rPr>
                <w:rFonts w:hint="eastAsia"/>
                <w:b/>
                <w:bCs/>
              </w:rPr>
              <w:t>二、施工方案</w:t>
            </w:r>
          </w:p>
          <w:p w14:paraId="0A0BC031">
            <w:pPr>
              <w:pStyle w:val="106"/>
            </w:pPr>
            <w:r>
              <w:rPr>
                <w:rFonts w:hint="eastAsia"/>
                <w:lang w:val="zh-CN"/>
              </w:rPr>
              <w:t>本项目属于</w:t>
            </w:r>
            <w:r>
              <w:rPr>
                <w:rFonts w:hint="eastAsia"/>
              </w:rPr>
              <w:t>防洪治理</w:t>
            </w:r>
            <w:r>
              <w:rPr>
                <w:rFonts w:hint="eastAsia"/>
                <w:lang w:val="zh-CN"/>
              </w:rPr>
              <w:t>工程，</w:t>
            </w:r>
            <w:r>
              <w:rPr>
                <w:rFonts w:hint="eastAsia"/>
                <w:color w:val="000000" w:themeColor="text1"/>
                <w:lang w:val="zh-CN"/>
                <w14:textFill>
                  <w14:solidFill>
                    <w14:schemeClr w14:val="tx1"/>
                  </w14:solidFill>
                </w14:textFill>
              </w:rPr>
              <w:t>包含河道砂砾石开挖、堤防建设等内容</w:t>
            </w:r>
            <w:r>
              <w:rPr>
                <w:rFonts w:hint="eastAsia"/>
                <w:lang w:val="zh-CN"/>
              </w:rPr>
              <w:t>，其对环境的主要影响为施工期。</w:t>
            </w:r>
            <w:r>
              <w:rPr>
                <w:rFonts w:hint="eastAsia"/>
                <w:color w:val="000000" w:themeColor="text1"/>
                <w:lang w:val="zh-CN"/>
                <w14:textFill>
                  <w14:solidFill>
                    <w14:schemeClr w14:val="tx1"/>
                  </w14:solidFill>
                </w14:textFill>
              </w:rPr>
              <w:t>施工期主要污染物为河道围堰、砂砾石开挖、堤防建设等工程产生的</w:t>
            </w:r>
            <w:r>
              <w:rPr>
                <w:rFonts w:hint="eastAsia"/>
                <w:lang w:val="zh-CN"/>
              </w:rPr>
              <w:t>扬尘、废水、噪声、固废、水土流失等，</w:t>
            </w:r>
            <w:r>
              <w:rPr>
                <w:rFonts w:hint="eastAsia"/>
              </w:rPr>
              <w:t>其排放量随工期和施工强度不同而有所变化，施工期工艺流程及产污环节如下图所示。</w:t>
            </w:r>
          </w:p>
          <w:p w14:paraId="7FD8C25B">
            <w:pPr>
              <w:widowControl/>
              <w:jc w:val="center"/>
            </w:pPr>
            <w:r>
              <mc:AlternateContent>
                <mc:Choice Requires="wps">
                  <w:drawing>
                    <wp:anchor distT="0" distB="0" distL="114300" distR="114300" simplePos="0" relativeHeight="251663360" behindDoc="0" locked="0" layoutInCell="1" allowOverlap="1">
                      <wp:simplePos x="0" y="0"/>
                      <wp:positionH relativeFrom="column">
                        <wp:posOffset>4124960</wp:posOffset>
                      </wp:positionH>
                      <wp:positionV relativeFrom="paragraph">
                        <wp:posOffset>1761490</wp:posOffset>
                      </wp:positionV>
                      <wp:extent cx="9525" cy="314325"/>
                      <wp:effectExtent l="46355" t="0" r="58420" b="9525"/>
                      <wp:wrapNone/>
                      <wp:docPr id="119" name="直接箭头连接符 5"/>
                      <wp:cNvGraphicFramePr/>
                      <a:graphic xmlns:a="http://schemas.openxmlformats.org/drawingml/2006/main">
                        <a:graphicData uri="http://schemas.microsoft.com/office/word/2010/wordprocessingShape">
                          <wps:wsp>
                            <wps:cNvCnPr/>
                            <wps:spPr>
                              <a:xfrm flipH="1">
                                <a:off x="5166360" y="2682240"/>
                                <a:ext cx="9525" cy="31432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直接箭头连接符 5" o:spid="_x0000_s1026" o:spt="32" type="#_x0000_t32" style="position:absolute;left:0pt;flip:x;margin-left:324.8pt;margin-top:138.7pt;height:24.75pt;width:0.75pt;z-index:251663360;mso-width-relative:page;mso-height-relative:page;" filled="f" stroked="t" coordsize="21600,21600" o:gfxdata="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fhanDaAAAACwEAAA8AAAAAAAAAAQAg&#10;AAAAIgAAAGRycy9kb3ducmV2LnhtbFBLAQIUABQAAAAIAIdO4kDGfIweDAIAAOEDAAAOAAAAAAAA&#10;AAEAIAAAACkBAABkcnMvZTJvRG9jLnhtbFBLBQYAAAAABgAGAFkBAACnBQAAAAA=&#10;">
                      <v:fill on="f" focussize="0,0"/>
                      <v:stroke color="#000000 [3213]" joinstyle="round" endarrow="open"/>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3715385</wp:posOffset>
                      </wp:positionH>
                      <wp:positionV relativeFrom="paragraph">
                        <wp:posOffset>2075815</wp:posOffset>
                      </wp:positionV>
                      <wp:extent cx="819150" cy="485775"/>
                      <wp:effectExtent l="4445" t="4445" r="14605" b="5080"/>
                      <wp:wrapNone/>
                      <wp:docPr id="121" name="文本框 3"/>
                      <wp:cNvGraphicFramePr/>
                      <a:graphic xmlns:a="http://schemas.openxmlformats.org/drawingml/2006/main">
                        <a:graphicData uri="http://schemas.microsoft.com/office/word/2010/wordprocessingShape">
                          <wps:wsp>
                            <wps:cNvSpPr txBox="1"/>
                            <wps:spPr>
                              <a:xfrm>
                                <a:off x="4775835" y="2948940"/>
                                <a:ext cx="819150" cy="4857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DF9B9F5">
                                  <w:pPr>
                                    <w:rPr>
                                      <w:sz w:val="20"/>
                                      <w:szCs w:val="20"/>
                                    </w:rPr>
                                  </w:pPr>
                                  <w:r>
                                    <w:rPr>
                                      <w:rFonts w:hint="eastAsia"/>
                                      <w:sz w:val="20"/>
                                      <w:szCs w:val="20"/>
                                    </w:rPr>
                                    <w:t>钢筋石笼施工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92.55pt;margin-top:163.45pt;height:38.25pt;width:64.5pt;z-index:251662336;mso-width-relative:page;mso-height-relative:page;" fillcolor="#FFFFFF [3201]" filled="t" stroked="t" coordsize="21600,21600" o:gfxdata="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PdTNnYAAAACwEAAA8AAAAAAAAAAQAgAAAAIgAAAGRycy9kb3ducmV2LnhtbFBLAQIUABQA&#10;AAAIAIdO4kBq8ezzYgIAAMQEAAAOAAAAAAAAAAEAIAAAACcBAABkcnMvZTJvRG9jLnhtbFBLBQYA&#10;AAAABgAGAFkBAAD7BQAAAAA=&#10;">
                      <v:fill on="t" focussize="0,0"/>
                      <v:stroke weight="0.5pt" color="#000000 [3204]" joinstyle="round"/>
                      <v:imagedata o:title=""/>
                      <o:lock v:ext="edit" aspectratio="f"/>
                      <v:textbox>
                        <w:txbxContent>
                          <w:p w14:paraId="2DF9B9F5">
                            <w:pPr>
                              <w:rPr>
                                <w:sz w:val="20"/>
                                <w:szCs w:val="20"/>
                              </w:rPr>
                            </w:pPr>
                            <w:r>
                              <w:rPr>
                                <w:rFonts w:hint="eastAsia"/>
                                <w:sz w:val="20"/>
                                <w:szCs w:val="20"/>
                              </w:rPr>
                              <w:t>钢筋石笼施工</w:t>
                            </w:r>
                          </w:p>
                        </w:txbxContent>
                      </v:textbox>
                    </v:shape>
                  </w:pict>
                </mc:Fallback>
              </mc:AlternateContent>
            </w:r>
            <w:r>
              <w:drawing>
                <wp:inline distT="0" distB="0" distL="114300" distR="114300">
                  <wp:extent cx="5430520" cy="4025265"/>
                  <wp:effectExtent l="0" t="0" r="17780" b="13335"/>
                  <wp:docPr id="1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
                          <pic:cNvPicPr>
                            <a:picLocks noChangeAspect="1"/>
                          </pic:cNvPicPr>
                        </pic:nvPicPr>
                        <pic:blipFill>
                          <a:blip r:embed="rId27"/>
                          <a:stretch>
                            <a:fillRect/>
                          </a:stretch>
                        </pic:blipFill>
                        <pic:spPr>
                          <a:xfrm>
                            <a:off x="0" y="0"/>
                            <a:ext cx="5430520" cy="4025265"/>
                          </a:xfrm>
                          <a:prstGeom prst="rect">
                            <a:avLst/>
                          </a:prstGeom>
                          <a:noFill/>
                          <a:ln>
                            <a:noFill/>
                          </a:ln>
                        </pic:spPr>
                      </pic:pic>
                    </a:graphicData>
                  </a:graphic>
                </wp:inline>
              </w:drawing>
            </w:r>
          </w:p>
          <w:p w14:paraId="39A523DB">
            <w:pPr>
              <w:pStyle w:val="7"/>
              <w:widowControl/>
              <w:rPr>
                <w:rFonts w:cs="Times New Roman"/>
              </w:rPr>
            </w:pPr>
            <w:r>
              <w:rPr>
                <w:rFonts w:hint="eastAsia" w:cs="Times New Roman"/>
              </w:rPr>
              <w:t>图2- 7  施工期工艺流程及产污环节图</w:t>
            </w:r>
          </w:p>
          <w:p w14:paraId="0F5D59B6">
            <w:pPr>
              <w:spacing w:line="360" w:lineRule="auto"/>
              <w:ind w:firstLine="482" w:firstLineChars="200"/>
              <w:rPr>
                <w:b/>
              </w:rPr>
            </w:pPr>
            <w:r>
              <w:rPr>
                <w:rFonts w:hint="eastAsia"/>
                <w:b/>
              </w:rPr>
              <w:t>1、施工导流</w:t>
            </w:r>
          </w:p>
          <w:p w14:paraId="0B4743BB">
            <w:pPr>
              <w:spacing w:line="360" w:lineRule="auto"/>
              <w:ind w:firstLine="482" w:firstLineChars="200"/>
              <w:rPr>
                <w:b/>
                <w:bCs/>
              </w:rPr>
            </w:pPr>
            <w:r>
              <w:rPr>
                <w:rFonts w:hint="eastAsia"/>
                <w:b/>
                <w:bCs/>
              </w:rPr>
              <w:t>（1）导流方式</w:t>
            </w:r>
          </w:p>
          <w:p w14:paraId="47FE21A5">
            <w:pPr>
              <w:pStyle w:val="91"/>
              <w:spacing w:line="360" w:lineRule="auto"/>
              <w:rPr>
                <w:lang w:val="zh-CN"/>
              </w:rPr>
            </w:pPr>
            <w:r>
              <w:rPr>
                <w:rFonts w:hint="eastAsia"/>
                <w:lang w:val="zh-CN"/>
              </w:rPr>
              <w:t>施工导流采用土石围堰导流，施工期采取分段纵向围堰进行导流，同时辅以基坑经常性排水。根据水力计算及施工期洪水水面线，施工导流方式采用束窄河床，分段施工导流，沿河道修建纵向围堰，保证河道干地施工。</w:t>
            </w:r>
          </w:p>
          <w:p w14:paraId="7B5D8011">
            <w:pPr>
              <w:spacing w:line="360" w:lineRule="auto"/>
              <w:ind w:firstLine="482" w:firstLineChars="200"/>
              <w:rPr>
                <w:b/>
                <w:bCs/>
              </w:rPr>
            </w:pPr>
            <w:r>
              <w:rPr>
                <w:rFonts w:hint="eastAsia"/>
                <w:b/>
                <w:bCs/>
              </w:rPr>
              <w:t>（2）围堰设计</w:t>
            </w:r>
          </w:p>
          <w:p w14:paraId="4D07172B">
            <w:pPr>
              <w:pStyle w:val="91"/>
              <w:spacing w:line="360" w:lineRule="auto"/>
              <w:rPr>
                <w:lang w:val="zh-CN"/>
              </w:rPr>
            </w:pPr>
            <w:r>
              <w:rPr>
                <w:rFonts w:hint="eastAsia"/>
                <w:lang w:val="zh-CN"/>
              </w:rPr>
              <w:t>根据本工程的实际情况，为充分利用开挖料和便于施工，本工程围堰采用土石围堰结构型式。</w:t>
            </w:r>
            <w:r>
              <w:rPr>
                <w:rFonts w:hint="eastAsia"/>
              </w:rPr>
              <w:t>围堰主体采用堤防基础开挖料填筑，顶宽4.0m，迎水面及背水面坡比1:1，迎水面采用编织袋装土砌筑及复合土工膜防渗，复合土工膜为2布1膜，规格为300g/m²，背水面为砂卵石填筑坡面。施工围堰顶高程根据5年一遇洪水水面线确定，堤防超高取0.5m</w:t>
            </w:r>
            <w:r>
              <w:rPr>
                <w:rFonts w:hint="eastAsia"/>
                <w:lang w:val="zh-CN"/>
              </w:rPr>
              <w:t>。</w:t>
            </w:r>
          </w:p>
          <w:p w14:paraId="2410A45D">
            <w:pPr>
              <w:spacing w:line="360" w:lineRule="auto"/>
              <w:ind w:firstLine="482" w:firstLineChars="200"/>
              <w:rPr>
                <w:b/>
                <w:bCs/>
              </w:rPr>
            </w:pPr>
            <w:r>
              <w:rPr>
                <w:rFonts w:hint="eastAsia"/>
                <w:b/>
                <w:bCs/>
              </w:rPr>
              <w:t>（3）基坑排水</w:t>
            </w:r>
          </w:p>
          <w:p w14:paraId="2D7E5229">
            <w:pPr>
              <w:pStyle w:val="91"/>
              <w:spacing w:line="360" w:lineRule="auto"/>
              <w:rPr>
                <w:lang w:val="zh-CN"/>
              </w:rPr>
            </w:pPr>
            <w:r>
              <w:rPr>
                <w:rFonts w:hint="eastAsia"/>
              </w:rPr>
              <w:t>围堰临水侧设一层土工膜进行防渗，但是基础仍为卵石层，属于强透水层，基坑排水主要为围堰基础渗水量。基坑排水包括初期排水和经常性排水，初期排水选用2台4.0kW污水泵。经常性排水包括基坑积水、渗透水、降雨及施工废水等，采用明沟排至沉沙池，再由水泵抽至围堰外侧排出，选用3台4kW潜污泵同时进行抽水，同时备用2台，潜污泵型号80QW-40-15-4.0，单台抽水能力为40m³/h</w:t>
            </w:r>
            <w:r>
              <w:rPr>
                <w:rFonts w:hint="eastAsia"/>
                <w:lang w:val="zh-CN"/>
              </w:rPr>
              <w:t>。</w:t>
            </w:r>
          </w:p>
          <w:p w14:paraId="6222C895">
            <w:pPr>
              <w:spacing w:line="360" w:lineRule="auto"/>
              <w:ind w:firstLine="482" w:firstLineChars="200"/>
              <w:rPr>
                <w:b/>
                <w:bCs/>
              </w:rPr>
            </w:pPr>
            <w:r>
              <w:rPr>
                <w:rFonts w:hint="eastAsia"/>
                <w:b/>
                <w:bCs/>
              </w:rPr>
              <w:t>（4）围堰施工</w:t>
            </w:r>
          </w:p>
          <w:p w14:paraId="6B75E63A">
            <w:pPr>
              <w:pStyle w:val="91"/>
              <w:spacing w:line="360" w:lineRule="auto"/>
              <w:rPr>
                <w:lang w:val="zh-CN"/>
              </w:rPr>
            </w:pPr>
            <w:r>
              <w:rPr>
                <w:rFonts w:hint="eastAsia"/>
                <w:lang w:val="zh-CN"/>
              </w:rPr>
              <w:t>采用开挖料回填填筑围堰挡水，常水位以上采用74</w:t>
            </w:r>
            <w:r>
              <w:t>kW</w:t>
            </w:r>
            <w:r>
              <w:rPr>
                <w:rFonts w:hint="eastAsia"/>
                <w:lang w:val="zh-CN"/>
              </w:rPr>
              <w:t>推土机摊平碾压。并在背水侧采用开挖砂砾石料土采用编织袋装用作围堰料，土工膜防渗。采用74</w:t>
            </w:r>
            <w:r>
              <w:t>kW</w:t>
            </w:r>
            <w:r>
              <w:rPr>
                <w:rFonts w:hint="eastAsia"/>
                <w:lang w:val="zh-CN"/>
              </w:rPr>
              <w:t>推土机集料，人工装麻袋，5t载重汽车运输，人工装卸填筑。</w:t>
            </w:r>
          </w:p>
          <w:p w14:paraId="250E20B4">
            <w:pPr>
              <w:pStyle w:val="91"/>
              <w:spacing w:line="360" w:lineRule="auto"/>
              <w:rPr>
                <w:lang w:val="zh-CN"/>
              </w:rPr>
            </w:pPr>
            <w:r>
              <w:rPr>
                <w:rFonts w:hint="eastAsia"/>
                <w:lang w:val="zh-CN"/>
              </w:rPr>
              <w:t>围堰枯水期拆除，选用0.5m³挖掘机后退法开挖，5t自卸汽车运至</w:t>
            </w:r>
            <w:r>
              <w:rPr>
                <w:rFonts w:hint="eastAsia"/>
              </w:rPr>
              <w:t>堤后低洼处回填</w:t>
            </w:r>
            <w:r>
              <w:rPr>
                <w:rFonts w:hint="eastAsia"/>
                <w:lang w:val="zh-CN"/>
              </w:rPr>
              <w:t>，74</w:t>
            </w:r>
            <w:r>
              <w:t>kW</w:t>
            </w:r>
            <w:r>
              <w:rPr>
                <w:rFonts w:hint="eastAsia"/>
                <w:lang w:val="zh-CN"/>
              </w:rPr>
              <w:t>推土机摊平。</w:t>
            </w:r>
          </w:p>
          <w:p w14:paraId="2A0966F1">
            <w:pPr>
              <w:spacing w:line="360" w:lineRule="auto"/>
              <w:ind w:firstLine="482" w:firstLineChars="200"/>
              <w:rPr>
                <w:b/>
                <w:bCs/>
              </w:rPr>
            </w:pPr>
            <w:r>
              <w:rPr>
                <w:rFonts w:hint="eastAsia"/>
                <w:b/>
                <w:bCs/>
              </w:rPr>
              <w:t>2、主体工程施工</w:t>
            </w:r>
          </w:p>
          <w:p w14:paraId="45BF0551">
            <w:pPr>
              <w:spacing w:line="360" w:lineRule="auto"/>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（1）河道砂砾石开挖、清表及土方开挖</w:t>
            </w:r>
          </w:p>
          <w:p w14:paraId="4C3BBF21">
            <w:pPr>
              <w:pStyle w:val="91"/>
              <w:spacing w:line="360" w:lineRule="auto"/>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砂卵石开挖采用1.</w:t>
            </w:r>
            <w:r>
              <w:rPr>
                <w:color w:val="000000" w:themeColor="text1"/>
                <w14:textFill>
                  <w14:solidFill>
                    <w14:schemeClr w14:val="tx1"/>
                  </w14:solidFill>
                </w14:textFill>
              </w:rPr>
              <w:t>0</w:t>
            </w:r>
            <w:r>
              <w:rPr>
                <w:color w:val="000000" w:themeColor="text1"/>
                <w:lang w:val="zh-CN"/>
                <w14:textFill>
                  <w14:solidFill>
                    <w14:schemeClr w14:val="tx1"/>
                  </w14:solidFill>
                </w14:textFill>
              </w:rPr>
              <w:t>m³</w:t>
            </w:r>
            <w:r>
              <w:rPr>
                <w:rFonts w:hint="eastAsia"/>
                <w:color w:val="000000" w:themeColor="text1"/>
                <w14:textFill>
                  <w14:solidFill>
                    <w14:schemeClr w14:val="tx1"/>
                  </w14:solidFill>
                </w14:textFill>
              </w:rPr>
              <w:t>液压</w:t>
            </w:r>
            <w:r>
              <w:rPr>
                <w:rFonts w:hint="eastAsia"/>
                <w:color w:val="000000" w:themeColor="text1"/>
                <w:lang w:val="zh-CN"/>
                <w14:textFill>
                  <w14:solidFill>
                    <w14:schemeClr w14:val="tx1"/>
                  </w14:solidFill>
                </w14:textFill>
              </w:rPr>
              <w:t>挖掘机开挖，59kw推土机辅助集料，开挖料由</w:t>
            </w:r>
            <w:r>
              <w:rPr>
                <w:rFonts w:hint="eastAsia"/>
                <w:color w:val="000000" w:themeColor="text1"/>
                <w14:textFill>
                  <w14:solidFill>
                    <w14:schemeClr w14:val="tx1"/>
                  </w14:solidFill>
                </w14:textFill>
              </w:rPr>
              <w:t>液压</w:t>
            </w:r>
            <w:r>
              <w:rPr>
                <w:rFonts w:hint="eastAsia"/>
                <w:color w:val="000000" w:themeColor="text1"/>
                <w:lang w:val="zh-CN"/>
                <w14:textFill>
                  <w14:solidFill>
                    <w14:schemeClr w14:val="tx1"/>
                  </w14:solidFill>
                </w14:textFill>
              </w:rPr>
              <w:t>挖掘机挖装</w:t>
            </w:r>
            <w:r>
              <w:rPr>
                <w:rFonts w:hint="eastAsia"/>
                <w:color w:val="000000" w:themeColor="text1"/>
                <w14:textFill>
                  <w14:solidFill>
                    <w14:schemeClr w14:val="tx1"/>
                  </w14:solidFill>
                </w14:textFill>
              </w:rPr>
              <w:t>8～</w:t>
            </w:r>
            <w:r>
              <w:rPr>
                <w:rFonts w:hint="eastAsia"/>
                <w:color w:val="000000" w:themeColor="text1"/>
                <w:lang w:val="zh-CN"/>
                <w14:textFill>
                  <w14:solidFill>
                    <w14:schemeClr w14:val="tx1"/>
                  </w14:solidFill>
                </w14:textFill>
              </w:rPr>
              <w:t>10t自卸汽车运输，综合运距0.5～1.0km；砂卵石开挖料顺势修筑施工围堰及左岸护坡回填，部分开挖料用作围堰填筑，剩下采用8～10t自卸汽车运输至堤后临时堆放，其中合格砂卵石料用于堤身填筑，剩下堆放于左岸坡脚护坡。</w:t>
            </w:r>
          </w:p>
          <w:p w14:paraId="2B203280">
            <w:pPr>
              <w:pStyle w:val="91"/>
              <w:spacing w:line="360" w:lineRule="auto"/>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砂砾石开挖范围为治理河段K0+000～左K0+684.2河道内淤积的砂卵石，采用1.0m³液压挖掘机在施工围堰保护下分区分段开挖，开挖深度按设计断面控制，不超出设计范围；施工安排在枯水期，河床基本裸露，不涉及淤泥。开挖出的砂卵石料随挖随运至施工作业带及左岸坡脚临时堆放，堆放高度不超过2m并对坡面进行平整，堆放场地四周设排水沟及沉淀池；堆料渗水及雨水径流经沉淀池沉淀后进入河道，不携带泥沙；开挖料按粒径分类后全部回用：大卵石用于钢筋石笼填充、大块石用于固床梁下游防冲护坦抛填、合格砂卵石用于堤身及堤后夯实回填、部分用于施工围堰填筑、剩余用于左岸岸顶道路低洼处回填，不产生外运弃渣；工程完工后对临时堆料区进行场地平整。</w:t>
            </w:r>
          </w:p>
          <w:p w14:paraId="0D3E265B">
            <w:pPr>
              <w:spacing w:line="360" w:lineRule="auto"/>
              <w:ind w:firstLine="482" w:firstLineChars="200"/>
              <w:rPr>
                <w:b/>
                <w:bCs/>
              </w:rPr>
            </w:pPr>
            <w:r>
              <w:rPr>
                <w:rFonts w:hint="eastAsia"/>
                <w:b/>
                <w:bCs/>
              </w:rPr>
              <w:t>（2）堤身填筑</w:t>
            </w:r>
          </w:p>
          <w:p w14:paraId="245219F9">
            <w:pPr>
              <w:spacing w:line="360" w:lineRule="auto"/>
              <w:ind w:firstLine="480" w:firstLineChars="200"/>
            </w:pPr>
            <w:r>
              <w:rPr>
                <w:rFonts w:hint="eastAsia"/>
              </w:rPr>
              <w:t>填筑施工程序为：施工测量放样→清除表层覆土及松散砂卵石层→原坡面压实→填筑砂卵石料→分层铺平、碾压→修坡成形。</w:t>
            </w:r>
          </w:p>
          <w:p w14:paraId="7CBB1FAC">
            <w:pPr>
              <w:spacing w:line="360" w:lineRule="auto"/>
              <w:ind w:firstLine="480" w:firstLineChars="200"/>
            </w:pPr>
            <w:r>
              <w:rPr>
                <w:rFonts w:hint="eastAsia"/>
              </w:rPr>
              <w:t>堤身填筑按卸料铺料－平土碾压—质检三道工序进行流水作业。填筑施工采用10t～12t自卸汽车从料场直接上堤卸料，1.6m³挖掘机及59kw推土机平料，人工洒水，振动碾压实。填筑料必须分层碾压，铺层厚度0.5m左右，最大粒径不得大于200mm，碾压8-10遍。碾压时，先静压，后振压，碾压遍数不少于4遍。填筑顺序由低处自下而上分层铺填，不得顺坡填筑；分段填筑时，各段应设立标识，以防出现漏压、欠压和过压；上下层的分段接缝位置应错开，且相邻施工段的作业面应均衡上升，段与段之间不可避免地出现高差时，应注意接头的连接质量。碾压时，开行方式为进退错距法，其行走方向平行于堤防轴线，碾迹的搭接宽度大于0.5m。分段、分片碾压时，相邻两个工作面碾压的搭接宽度平行于堤线方向不小于0.5m，垂直于防护堤线方向应为3～5m。碾压时，对机械碾压不到的死角辅以蛙式打夯机进行夯实。堤身填筑时要求石渣填筑固体体积率宜大于76%，相对孔隙率不宜大于24%控制。具体填筑参数应根据设计要求及现场碾压试验确定，同时应符合《堤防工程设计规范》（GB50286-2013）第7.2条的要求。</w:t>
            </w:r>
          </w:p>
          <w:p w14:paraId="31BB0EDC">
            <w:pPr>
              <w:numPr>
                <w:ilvl w:val="0"/>
                <w:numId w:val="14"/>
              </w:numPr>
              <w:spacing w:line="360" w:lineRule="auto"/>
              <w:ind w:firstLine="482" w:firstLineChars="200"/>
              <w:rPr>
                <w:b/>
                <w:bCs/>
              </w:rPr>
            </w:pPr>
            <w:r>
              <w:rPr>
                <w:rFonts w:hint="eastAsia"/>
                <w:b/>
                <w:bCs/>
              </w:rPr>
              <w:t>砼浇筑</w:t>
            </w:r>
          </w:p>
          <w:p w14:paraId="7035CDAF">
            <w:pPr>
              <w:pStyle w:val="91"/>
              <w:spacing w:line="360" w:lineRule="auto"/>
              <w:rPr>
                <w:lang w:val="zh-CN"/>
              </w:rPr>
            </w:pPr>
            <w:r>
              <w:rPr>
                <w:rFonts w:hint="eastAsia"/>
                <w:lang w:val="zh-CN"/>
              </w:rPr>
              <w:t>本工程混凝土主要用于河堤挡墙、丁坝、固床梁。</w:t>
            </w:r>
          </w:p>
          <w:p w14:paraId="5B20A284">
            <w:pPr>
              <w:pStyle w:val="91"/>
              <w:spacing w:line="360" w:lineRule="auto"/>
              <w:rPr>
                <w:lang w:val="zh-CN"/>
              </w:rPr>
            </w:pPr>
            <w:r>
              <w:rPr>
                <w:rFonts w:hint="eastAsia"/>
                <w:lang w:val="zh-CN"/>
              </w:rPr>
              <w:t>混凝土采用商品混凝土，罐车运输到施工地点；采用溜槽入仓，堤顶部分混凝土采用人工入仓，钢模浇筑，混凝土振捣采用插入式振捣器振捣密实。混凝土运输困难部位采用胶轮车配合运输至作业面，入仓后，人工平仓，插入式振捣器振捣密实。</w:t>
            </w:r>
          </w:p>
          <w:p w14:paraId="0E078A2F">
            <w:pPr>
              <w:pStyle w:val="91"/>
              <w:spacing w:line="360" w:lineRule="auto"/>
              <w:rPr>
                <w:lang w:val="zh-CN"/>
              </w:rPr>
            </w:pPr>
            <w:r>
              <w:rPr>
                <w:rFonts w:hint="eastAsia"/>
                <w:lang w:val="zh-CN"/>
              </w:rPr>
              <w:t>混凝土必须在5小时内浇筑完毕，为防止混凝土出现冷缝，两次混凝土浇筑时间不超过1.5小时，交接处用振捣棒不间断的振捣。浇筑过程中，振捣持续时间应使混凝土表面产生浮浆，无气泡，不下沉为止。振捣器插点呈梅花形均匀排列，采用行列式的次序移动，移动位置的距离不大于40cm。保证无漏振，无过振。</w:t>
            </w:r>
          </w:p>
          <w:p w14:paraId="524CD396">
            <w:pPr>
              <w:pStyle w:val="91"/>
              <w:spacing w:line="360" w:lineRule="auto"/>
              <w:rPr>
                <w:lang w:val="zh-CN"/>
              </w:rPr>
            </w:pPr>
            <w:r>
              <w:rPr>
                <w:rFonts w:hint="eastAsia"/>
                <w:lang w:val="zh-CN"/>
              </w:rPr>
              <w:t>混凝土浇筑完毕在气温较高时需要采用洒水或喷水养护，冬季施工需要采用覆盖草袋或薄膜进行保温。</w:t>
            </w:r>
          </w:p>
          <w:p w14:paraId="685E0944">
            <w:pPr>
              <w:pStyle w:val="91"/>
              <w:spacing w:line="360" w:lineRule="auto"/>
              <w:rPr>
                <w:lang w:val="zh-CN"/>
              </w:rPr>
            </w:pPr>
            <w:r>
              <w:rPr>
                <w:rFonts w:hint="eastAsia"/>
                <w:lang w:val="zh-CN"/>
              </w:rPr>
              <w:t>伸缩缝施工在混凝土施工时进行，分缝间隔10m设置，采用闭孔泡沫板填缝，堤顶路面分缝采用切割机切缝，沥青砂浆填缝。</w:t>
            </w:r>
          </w:p>
          <w:p w14:paraId="7A96657E">
            <w:pPr>
              <w:pStyle w:val="91"/>
              <w:spacing w:line="360" w:lineRule="auto"/>
              <w:rPr>
                <w:lang w:val="zh-CN"/>
              </w:rPr>
            </w:pPr>
            <w:r>
              <w:rPr>
                <w:rFonts w:hint="eastAsia"/>
                <w:lang w:val="zh-CN"/>
              </w:rPr>
              <w:t>模板拆除按规范要求决定拆模的时间，防止因抢工期提前拆模。采用湿砂或草袋覆盖，人工洒水保护。</w:t>
            </w:r>
          </w:p>
          <w:p w14:paraId="76C09346">
            <w:pPr>
              <w:pStyle w:val="91"/>
              <w:spacing w:line="360" w:lineRule="auto"/>
              <w:rPr>
                <w:lang w:val="zh-CN"/>
              </w:rPr>
            </w:pPr>
            <w:r>
              <w:rPr>
                <w:rFonts w:hint="eastAsia"/>
                <w:lang w:val="zh-CN"/>
              </w:rPr>
              <w:t>堤身设DN75PVC排水管，按设计坡度预埋在墙身内。</w:t>
            </w:r>
          </w:p>
          <w:p w14:paraId="54DED20D">
            <w:pPr>
              <w:pStyle w:val="91"/>
              <w:spacing w:line="360" w:lineRule="auto"/>
              <w:ind w:firstLine="482"/>
              <w:rPr>
                <w:b/>
                <w:bCs/>
              </w:rPr>
            </w:pPr>
            <w:r>
              <w:rPr>
                <w:rFonts w:hint="eastAsia"/>
                <w:b/>
                <w:bCs/>
                <w:lang w:val="zh-CN"/>
              </w:rPr>
              <w:t>（</w:t>
            </w:r>
            <w:r>
              <w:rPr>
                <w:b/>
                <w:bCs/>
              </w:rPr>
              <w:t>4</w:t>
            </w:r>
            <w:r>
              <w:rPr>
                <w:rFonts w:hint="eastAsia"/>
                <w:b/>
                <w:bCs/>
                <w:lang w:val="zh-CN"/>
              </w:rPr>
              <w:t>）</w:t>
            </w:r>
            <w:r>
              <w:rPr>
                <w:rFonts w:hint="eastAsia"/>
                <w:b/>
                <w:bCs/>
              </w:rPr>
              <w:t>钢筋石笼施工</w:t>
            </w:r>
          </w:p>
          <w:p w14:paraId="032D0CAD">
            <w:pPr>
              <w:pStyle w:val="91"/>
              <w:spacing w:line="360" w:lineRule="auto"/>
              <w:rPr>
                <w:lang w:val="zh-CN"/>
              </w:rPr>
            </w:pPr>
            <w:r>
              <w:rPr>
                <w:rFonts w:hint="eastAsia"/>
                <w:lang w:val="zh-CN"/>
              </w:rPr>
              <w:t>钢筋石笼施工分两个阶段进行，第一阶段，先完成基础部分，待沉降稳定后，再完成基础以上部分。钢筋石笼采用人工安放，钢筋网采用6@20cm×20cm，基础下、基础上部分的钢筋采用Φ6钢筋捆绑相连，并在干</w:t>
            </w:r>
            <w:r>
              <w:rPr>
                <w:rFonts w:hint="eastAsia"/>
              </w:rPr>
              <w:t>砌块</w:t>
            </w:r>
            <w:r>
              <w:rPr>
                <w:rFonts w:hint="eastAsia"/>
                <w:lang w:val="zh-CN"/>
              </w:rPr>
              <w:t>石中部设置Φ6钢筋作为拉筋，水平间距100cm，待干砌块石支砌完成后，用钢筋网将干砌块石包住，连成一个整体。石笼石料砌筑采用人工砌筑，并辅助运输车辆抛填的方法施工。钢筋石笼采用人工编制，在钢筋编制过程中，钢筋石笼采用双向铰接的菱形编制方法：采用Φ6钢筋纵向固定一边，用两根Φ6钢筋为一组，间距20cm斜向布置，斜交角度分别为60°和120°，每隔20cm交叉一次，并在结点处双向铰接（即双向绕两圈），编成网格状。</w:t>
            </w:r>
          </w:p>
          <w:p w14:paraId="724BF50D">
            <w:pPr>
              <w:pStyle w:val="91"/>
              <w:spacing w:line="360" w:lineRule="auto"/>
              <w:rPr>
                <w:lang w:val="zh-CN"/>
              </w:rPr>
            </w:pPr>
            <w:r>
              <w:rPr>
                <w:rFonts w:hint="eastAsia"/>
                <w:lang w:val="zh-CN"/>
              </w:rPr>
              <w:t>钢筋网应现场编制，并在砌石体中部设置Φ6钢筋作为拉筋，拉筋间距1.0m，呈梅花形放置，两端与两侧钢筋网连接。待干砌石支砌完成后，用钢筋网将干砌石包住。接头处采用Φ6钢筋捆绑封口，封口应错开，形成齿状，不得在一条线上。</w:t>
            </w:r>
          </w:p>
          <w:p w14:paraId="6704FA5E">
            <w:pPr>
              <w:spacing w:line="360" w:lineRule="auto"/>
              <w:ind w:firstLine="482" w:firstLineChars="200"/>
              <w:rPr>
                <w:b/>
                <w:bCs/>
                <w:snapToGrid w:val="0"/>
                <w:kern w:val="0"/>
              </w:rPr>
            </w:pPr>
            <w:r>
              <w:rPr>
                <w:rFonts w:hint="eastAsia"/>
                <w:b/>
                <w:bCs/>
                <w:snapToGrid w:val="0"/>
                <w:kern w:val="0"/>
              </w:rPr>
              <w:t>3、施工结束、围堰拆除</w:t>
            </w:r>
          </w:p>
          <w:p w14:paraId="4505E8A7">
            <w:pPr>
              <w:spacing w:line="360" w:lineRule="auto"/>
              <w:ind w:firstLine="480" w:firstLineChars="200"/>
            </w:pPr>
            <w:r>
              <w:rPr>
                <w:rFonts w:hint="eastAsia"/>
                <w:kern w:val="0"/>
                <w:lang w:bidi="ar"/>
              </w:rPr>
              <w:t>在河槽内顺水流方向修筑纵向围堰，根据施工部位分段布置横向围堰挡水，封堵侧进行开挖施工，另一侧排泄上游来水。围堰迎水面护坡采用编织袋装土，后铺设一层土工膜，围堰充分利用工程开挖料，人工堆筑。工程完工后，立即将导流工程拆除，先下游围堰，再上游围堰。围堰拆除采用1m³反铲挖掘机配合10t自卸汽车进行施工。</w:t>
            </w:r>
          </w:p>
          <w:p w14:paraId="0EBB15DA">
            <w:pPr>
              <w:pStyle w:val="106"/>
              <w:ind w:firstLine="482"/>
              <w:rPr>
                <w:b/>
                <w:bCs/>
              </w:rPr>
            </w:pPr>
            <w:r>
              <w:rPr>
                <w:rFonts w:hint="eastAsia"/>
                <w:b/>
                <w:bCs/>
              </w:rPr>
              <w:t>三、施工进度</w:t>
            </w:r>
          </w:p>
          <w:p w14:paraId="3A42151A">
            <w:pPr>
              <w:pStyle w:val="106"/>
              <w:rPr>
                <w:lang w:val="zh-CN"/>
              </w:rPr>
            </w:pPr>
            <w:r>
              <w:rPr>
                <w:rFonts w:hint="eastAsia"/>
                <w:lang w:val="zh-CN"/>
              </w:rPr>
              <w:t>根据现场调查及咨询建设单位，项目已于2025年</w:t>
            </w:r>
            <w:r>
              <w:t>9</w:t>
            </w:r>
            <w:r>
              <w:rPr>
                <w:rFonts w:hint="eastAsia"/>
                <w:lang w:val="zh-CN"/>
              </w:rPr>
              <w:t>月动工，2025年</w:t>
            </w:r>
            <w:r>
              <w:t>1</w:t>
            </w:r>
            <w:r>
              <w:rPr>
                <w:rFonts w:hint="eastAsia"/>
              </w:rPr>
              <w:t>2</w:t>
            </w:r>
            <w:r>
              <w:rPr>
                <w:rFonts w:hint="eastAsia"/>
                <w:lang w:val="zh-CN"/>
              </w:rPr>
              <w:t>月主体工程完工，总工期</w:t>
            </w:r>
            <w:r>
              <w:t>4</w:t>
            </w:r>
            <w:r>
              <w:rPr>
                <w:rFonts w:hint="eastAsia"/>
                <w:lang w:val="zh-CN"/>
              </w:rPr>
              <w:t>个月。</w:t>
            </w:r>
          </w:p>
        </w:tc>
      </w:tr>
      <w:tr w14:paraId="1144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D6693A7">
            <w:pPr>
              <w:spacing w:line="360" w:lineRule="auto"/>
              <w:jc w:val="center"/>
              <w:rPr>
                <w:b/>
                <w:bCs/>
              </w:rPr>
            </w:pPr>
            <w:r>
              <w:rPr>
                <w:rFonts w:hint="eastAsia"/>
                <w:b/>
                <w:bCs/>
              </w:rPr>
              <w:t>其他</w:t>
            </w:r>
          </w:p>
        </w:tc>
        <w:tc>
          <w:tcPr>
            <w:tcW w:w="9299" w:type="dxa"/>
            <w:vAlign w:val="center"/>
          </w:tcPr>
          <w:p w14:paraId="033B33F4">
            <w:pPr>
              <w:pStyle w:val="106"/>
            </w:pPr>
            <w:r>
              <w:rPr>
                <w:rFonts w:hint="eastAsia"/>
              </w:rPr>
              <w:t>无</w:t>
            </w:r>
          </w:p>
        </w:tc>
      </w:tr>
    </w:tbl>
    <w:p w14:paraId="195EB67C">
      <w:pPr>
        <w:pStyle w:val="52"/>
        <w:jc w:val="center"/>
        <w:rPr>
          <w:rFonts w:eastAsia="黑体"/>
          <w:b w:val="0"/>
          <w:sz w:val="30"/>
          <w:szCs w:val="30"/>
        </w:rPr>
        <w:sectPr>
          <w:pgSz w:w="11906" w:h="16838"/>
          <w:pgMar w:top="1440" w:right="1080" w:bottom="1440" w:left="1080" w:header="851" w:footer="992" w:gutter="0"/>
          <w:cols w:space="720" w:num="1"/>
          <w:docGrid w:type="lines" w:linePitch="312" w:charSpace="0"/>
        </w:sectPr>
      </w:pPr>
    </w:p>
    <w:p w14:paraId="618B8338">
      <w:pPr>
        <w:pStyle w:val="52"/>
        <w:jc w:val="center"/>
        <w:rPr>
          <w:rFonts w:eastAsia="黑体"/>
          <w:b w:val="0"/>
          <w:sz w:val="30"/>
          <w:szCs w:val="30"/>
        </w:rPr>
      </w:pPr>
      <w:bookmarkStart w:id="2" w:name="_Toc19473"/>
      <w:r>
        <w:rPr>
          <w:rFonts w:hint="eastAsia" w:eastAsia="黑体"/>
          <w:b w:val="0"/>
          <w:sz w:val="30"/>
          <w:szCs w:val="30"/>
        </w:rPr>
        <w:t>三、生态环境现状、保护目标及评价标准</w:t>
      </w:r>
      <w:bookmarkEnd w:id="2"/>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9221"/>
      </w:tblGrid>
      <w:tr w14:paraId="5CFA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14:paraId="4035E2D2">
            <w:pPr>
              <w:spacing w:line="360" w:lineRule="auto"/>
              <w:jc w:val="center"/>
              <w:rPr>
                <w:rFonts w:eastAsia="黑体"/>
                <w:b/>
                <w:bCs/>
                <w:sz w:val="30"/>
                <w:szCs w:val="30"/>
              </w:rPr>
            </w:pPr>
            <w:r>
              <w:rPr>
                <w:rFonts w:hint="eastAsia"/>
                <w:b/>
                <w:bCs/>
              </w:rPr>
              <w:t>区域环境质量现状</w:t>
            </w:r>
          </w:p>
        </w:tc>
        <w:tc>
          <w:tcPr>
            <w:tcW w:w="9221" w:type="dxa"/>
          </w:tcPr>
          <w:p w14:paraId="6E4B6635">
            <w:pPr>
              <w:spacing w:line="360" w:lineRule="auto"/>
              <w:rPr>
                <w:b/>
              </w:rPr>
            </w:pPr>
            <w:r>
              <w:rPr>
                <w:rFonts w:hint="eastAsia"/>
                <w:b/>
              </w:rPr>
              <w:t>一、生态环境现状</w:t>
            </w:r>
          </w:p>
          <w:p w14:paraId="5D9CE9E0">
            <w:pPr>
              <w:spacing w:line="360" w:lineRule="auto"/>
              <w:ind w:firstLine="472" w:firstLineChars="196"/>
              <w:rPr>
                <w:b/>
                <w:bCs/>
              </w:rPr>
            </w:pPr>
            <w:r>
              <w:rPr>
                <w:rFonts w:hint="eastAsia"/>
                <w:b/>
                <w:bCs/>
              </w:rPr>
              <w:t>1、主体功能区划</w:t>
            </w:r>
          </w:p>
          <w:p w14:paraId="67C5227F">
            <w:pPr>
              <w:widowControl/>
              <w:spacing w:line="360" w:lineRule="auto"/>
              <w:ind w:firstLine="480" w:firstLineChars="200"/>
              <w:jc w:val="left"/>
              <w:rPr>
                <w:kern w:val="0"/>
                <w:lang w:bidi="ar"/>
              </w:rPr>
            </w:pPr>
            <w:r>
              <w:rPr>
                <w:rFonts w:hint="eastAsia"/>
                <w:kern w:val="0"/>
                <w:lang w:bidi="ar"/>
              </w:rPr>
              <w:t>2024年4月7日，四川省人民政府以“川府发〔2024〕8号”文正式印发了《四川省国土空间规划（2021—2035年）》。该规划将位于川西北、攀西和川东北地区，生态保护极重要区面积较大、生态功能突出、生态系统相对脆弱的64个县（市、区）确定为重点生态功能区，其中60个为国家级、4个为省级，主要位于川西北、攀西和川东北地区城市化地区共87个县（市、区），其中52个为国家级、35个为省级，主要位于经济基础良好、人口分布密集、资源环境承载能力较强的重要发展轴带沿线区域。《四川省国土空间规划（2021—2035年）》把阿坝、甘孜两州所有县（市）确定为重点生态功能区，可因地制宜发展不影响主体功能定位的适宜产业，但要严格控制开发强度。</w:t>
            </w:r>
          </w:p>
          <w:p w14:paraId="10C9401A">
            <w:pPr>
              <w:widowControl/>
              <w:spacing w:line="360" w:lineRule="auto"/>
              <w:ind w:firstLine="480" w:firstLineChars="200"/>
              <w:jc w:val="left"/>
              <w:rPr>
                <w:kern w:val="0"/>
                <w:lang w:bidi="ar"/>
              </w:rPr>
            </w:pPr>
            <w:r>
              <w:rPr>
                <w:rFonts w:hint="eastAsia"/>
                <w:kern w:val="0"/>
                <w:lang w:bidi="ar"/>
              </w:rPr>
              <w:t>本项目位于四川省甘孜州，属于国家级重点生态功能区。本项目为防洪治理工程，项目建设不会对区域耕地、草地等造成严重破坏，对区域生态环境和自然景观影响程度较小，符合国家产业政策，与该区域发展方向相符合。</w:t>
            </w:r>
          </w:p>
          <w:p w14:paraId="13ACD062">
            <w:pPr>
              <w:widowControl/>
              <w:spacing w:line="360" w:lineRule="auto"/>
              <w:jc w:val="center"/>
            </w:pPr>
            <w:r>
              <mc:AlternateContent>
                <mc:Choice Requires="wps">
                  <w:drawing>
                    <wp:anchor distT="0" distB="0" distL="114300" distR="114300" simplePos="0" relativeHeight="251664384" behindDoc="0" locked="0" layoutInCell="1" allowOverlap="1">
                      <wp:simplePos x="0" y="0"/>
                      <wp:positionH relativeFrom="column">
                        <wp:posOffset>1501140</wp:posOffset>
                      </wp:positionH>
                      <wp:positionV relativeFrom="paragraph">
                        <wp:posOffset>1664970</wp:posOffset>
                      </wp:positionV>
                      <wp:extent cx="832485" cy="230505"/>
                      <wp:effectExtent l="5080" t="4445" r="57785" b="241300"/>
                      <wp:wrapNone/>
                      <wp:docPr id="126" name="矩形标注 8"/>
                      <wp:cNvGraphicFramePr/>
                      <a:graphic xmlns:a="http://schemas.openxmlformats.org/drawingml/2006/main">
                        <a:graphicData uri="http://schemas.microsoft.com/office/word/2010/wordprocessingShape">
                          <wps:wsp>
                            <wps:cNvSpPr/>
                            <wps:spPr>
                              <a:xfrm>
                                <a:off x="0" y="0"/>
                                <a:ext cx="832485" cy="230505"/>
                              </a:xfrm>
                              <a:prstGeom prst="wedgeRectCallout">
                                <a:avLst>
                                  <a:gd name="adj1" fmla="val 55568"/>
                                  <a:gd name="adj2" fmla="val 151101"/>
                                </a:avLst>
                              </a:prstGeom>
                              <a:noFill/>
                              <a:ln w="952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4F3A41D">
                                  <w:pPr>
                                    <w:adjustRightInd w:val="0"/>
                                    <w:snapToGrid w:val="0"/>
                                    <w:jc w:val="center"/>
                                    <w:rPr>
                                      <w:color w:val="FF0000"/>
                                      <w:sz w:val="18"/>
                                      <w:szCs w:val="18"/>
                                    </w:rPr>
                                  </w:pPr>
                                  <w:r>
                                    <w:rPr>
                                      <w:rFonts w:hint="eastAsia"/>
                                      <w:color w:val="FF0000"/>
                                      <w:sz w:val="18"/>
                                      <w:szCs w:val="18"/>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8" o:spid="_x0000_s1026" o:spt="61" type="#_x0000_t61" style="position:absolute;left:0pt;margin-left:118.2pt;margin-top:131.1pt;height:18.15pt;width:65.55pt;z-index:251664384;v-text-anchor:middle;mso-width-relative:page;mso-height-relative:page;" filled="f" stroked="t" coordsize="21600,21600" o:gfxdata="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MPPhF9sAAAALAQAADwAAAAAAAAABACAAAAAiAAAAZHJzL2Rvd25yZXYueG1sUEsB&#10;AhQAFAAAAAgAh07iQIkl/DWdAgAAIwUAAA4AAAAAAAAAAQAgAAAAKgEAAGRycy9lMm9Eb2MueG1s&#10;UEsFBgAAAAAGAAYAWQEAADkGAAAAAA==&#10;" adj="22803,43438">
                      <v:fill on="f" focussize="0,0"/>
                      <v:stroke color="#FF0000 [2404]" joinstyle="round"/>
                      <v:imagedata o:title=""/>
                      <o:lock v:ext="edit" aspectratio="f"/>
                      <v:textbox>
                        <w:txbxContent>
                          <w:p w14:paraId="54F3A41D">
                            <w:pPr>
                              <w:adjustRightInd w:val="0"/>
                              <w:snapToGrid w:val="0"/>
                              <w:jc w:val="center"/>
                              <w:rPr>
                                <w:color w:val="FF0000"/>
                                <w:sz w:val="18"/>
                                <w:szCs w:val="18"/>
                              </w:rPr>
                            </w:pPr>
                            <w:r>
                              <w:rPr>
                                <w:rFonts w:hint="eastAsia"/>
                                <w:color w:val="FF0000"/>
                                <w:sz w:val="18"/>
                                <w:szCs w:val="18"/>
                              </w:rPr>
                              <w:t>本项目位置</w:t>
                            </w:r>
                          </w:p>
                        </w:txbxContent>
                      </v:textbox>
                    </v:shape>
                  </w:pict>
                </mc:Fallback>
              </mc:AlternateContent>
            </w:r>
            <w:r>
              <w:drawing>
                <wp:inline distT="0" distB="0" distL="114300" distR="114300">
                  <wp:extent cx="5299075" cy="3724910"/>
                  <wp:effectExtent l="0" t="0" r="15875" b="8890"/>
                  <wp:docPr id="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
                          <pic:cNvPicPr>
                            <a:picLocks noChangeAspect="1"/>
                          </pic:cNvPicPr>
                        </pic:nvPicPr>
                        <pic:blipFill>
                          <a:blip r:embed="rId28"/>
                          <a:stretch>
                            <a:fillRect/>
                          </a:stretch>
                        </pic:blipFill>
                        <pic:spPr>
                          <a:xfrm>
                            <a:off x="0" y="0"/>
                            <a:ext cx="5299075" cy="3724910"/>
                          </a:xfrm>
                          <a:prstGeom prst="rect">
                            <a:avLst/>
                          </a:prstGeom>
                          <a:noFill/>
                          <a:ln>
                            <a:noFill/>
                          </a:ln>
                        </pic:spPr>
                      </pic:pic>
                    </a:graphicData>
                  </a:graphic>
                </wp:inline>
              </w:drawing>
            </w:r>
          </w:p>
          <w:p w14:paraId="67C2F626">
            <w:pPr>
              <w:pStyle w:val="7"/>
              <w:widowControl/>
              <w:spacing w:line="360" w:lineRule="auto"/>
              <w:rPr>
                <w:rFonts w:cs="Times New Roman"/>
              </w:rPr>
            </w:pPr>
            <w:r>
              <w:rPr>
                <w:rFonts w:hint="eastAsia" w:cs="Times New Roman"/>
              </w:rPr>
              <w:t xml:space="preserve">图3- </w:t>
            </w:r>
            <w:r>
              <w:rPr>
                <w:rFonts w:cs="Times New Roman"/>
              </w:rPr>
              <w:fldChar w:fldCharType="begin"/>
            </w:r>
            <w:r>
              <w:rPr>
                <w:rFonts w:hint="eastAsia" w:cs="Times New Roman"/>
              </w:rPr>
              <w:instrText xml:space="preserve"> SEQ 图3- \* ARABIC </w:instrText>
            </w:r>
            <w:r>
              <w:rPr>
                <w:rFonts w:cs="Times New Roman"/>
              </w:rPr>
              <w:fldChar w:fldCharType="separate"/>
            </w:r>
            <w:r>
              <w:rPr>
                <w:rFonts w:hint="eastAsia" w:cs="Times New Roman"/>
              </w:rPr>
              <w:t>1</w:t>
            </w:r>
            <w:r>
              <w:rPr>
                <w:rFonts w:cs="Times New Roman"/>
              </w:rPr>
              <w:fldChar w:fldCharType="end"/>
            </w:r>
            <w:r>
              <w:rPr>
                <w:rFonts w:hint="eastAsia" w:cs="Times New Roman"/>
              </w:rPr>
              <w:t xml:space="preserve">  四川省主体功能区划图</w:t>
            </w:r>
          </w:p>
          <w:p w14:paraId="3D69F2A3">
            <w:pPr>
              <w:spacing w:line="360" w:lineRule="auto"/>
              <w:ind w:firstLine="472" w:firstLineChars="196"/>
              <w:rPr>
                <w:b/>
                <w:bCs/>
              </w:rPr>
            </w:pPr>
            <w:r>
              <w:rPr>
                <w:rFonts w:hint="eastAsia"/>
                <w:b/>
                <w:bCs/>
              </w:rPr>
              <w:t>2、生态功能区划</w:t>
            </w:r>
          </w:p>
          <w:p w14:paraId="248E2119">
            <w:pPr>
              <w:widowControl/>
              <w:spacing w:line="360" w:lineRule="auto"/>
              <w:ind w:firstLine="480" w:firstLineChars="200"/>
              <w:jc w:val="left"/>
              <w:rPr>
                <w:kern w:val="0"/>
                <w:lang w:bidi="ar"/>
              </w:rPr>
            </w:pPr>
            <w:r>
              <w:rPr>
                <w:rFonts w:hint="eastAsia"/>
                <w:kern w:val="0"/>
                <w:lang w:bidi="ar"/>
              </w:rPr>
              <w:t>根据《四川省生态功能区划》（川府发〔2006〕100号），四川省生态功能区分为三级，即生态区、生态亚区、生态功能区。本项目所在区域位于四川省甘孜州泸定县，泸定县属Ⅲ川西高山高原亚热带—温带—寒温带生态区，Ⅲ-3 大雪山—沙鲁里山云杉冷杉林—高山灌丛—高山草甸生态亚区，Ⅲ-3-2雅砻江中游林牧业与土壤保持生态功能区。该区域在四川西部，涉及甘孜州和凉山州的8个县，面积3.0万平方公里。</w:t>
            </w:r>
          </w:p>
          <w:p w14:paraId="7B98734D">
            <w:pPr>
              <w:widowControl/>
              <w:spacing w:line="360" w:lineRule="auto"/>
              <w:ind w:firstLine="480" w:firstLineChars="200"/>
              <w:jc w:val="left"/>
              <w:rPr>
                <w:kern w:val="0"/>
                <w:lang w:bidi="ar"/>
              </w:rPr>
            </w:pPr>
            <w:r>
              <w:rPr>
                <w:rFonts w:hint="eastAsia"/>
                <w:kern w:val="0"/>
                <w:lang w:bidi="ar"/>
              </w:rPr>
              <w:t>主要生态问题：泥石流滑坡崩塌较强发育，草地过牧，存在荒漠化现象。</w:t>
            </w:r>
          </w:p>
          <w:p w14:paraId="228C4C28">
            <w:pPr>
              <w:widowControl/>
              <w:spacing w:line="360" w:lineRule="auto"/>
              <w:ind w:firstLine="480" w:firstLineChars="200"/>
              <w:jc w:val="left"/>
              <w:rPr>
                <w:kern w:val="0"/>
                <w:lang w:bidi="ar"/>
              </w:rPr>
            </w:pPr>
            <w:r>
              <w:rPr>
                <w:rFonts w:hint="eastAsia"/>
                <w:kern w:val="0"/>
                <w:lang w:bidi="ar"/>
              </w:rPr>
              <w:t>生态环境敏感性：土壤侵蚀高度敏感，野生动物生境高度敏感，沙漠化中度敏感。</w:t>
            </w:r>
          </w:p>
          <w:p w14:paraId="7B5265AE">
            <w:pPr>
              <w:widowControl/>
              <w:spacing w:line="360" w:lineRule="auto"/>
              <w:ind w:firstLine="480" w:firstLineChars="200"/>
              <w:jc w:val="left"/>
              <w:rPr>
                <w:kern w:val="0"/>
                <w:lang w:bidi="ar"/>
              </w:rPr>
            </w:pPr>
            <w:r>
              <w:rPr>
                <w:rFonts w:hint="eastAsia"/>
                <w:kern w:val="0"/>
                <w:lang w:bidi="ar"/>
              </w:rPr>
              <w:t>主要生态服务功能：林牧产品提供功能，土壤保持功能，生物多样性保护功能，水源涵养功能。</w:t>
            </w:r>
          </w:p>
          <w:p w14:paraId="2313CB89">
            <w:pPr>
              <w:widowControl/>
              <w:spacing w:line="360" w:lineRule="auto"/>
              <w:ind w:firstLine="480" w:firstLineChars="200"/>
              <w:jc w:val="left"/>
              <w:rPr>
                <w:kern w:val="0"/>
                <w:lang w:bidi="ar"/>
              </w:rPr>
            </w:pPr>
            <w:r>
              <w:rPr>
                <w:rFonts w:hint="eastAsia"/>
                <w:kern w:val="0"/>
                <w:lang w:bidi="ar"/>
              </w:rPr>
              <w:t>生态保护与发展方向：保护森林和草原植被，保护生物多样性；巩固天然防护林和退耕还林成果。防治山地灾害和水土流失，科学发展牧业，合理开发水利资源，禁止建设污染强度大的工业企业。</w:t>
            </w:r>
          </w:p>
          <w:p w14:paraId="4973FC0B">
            <w:pPr>
              <w:widowControl/>
              <w:spacing w:line="360" w:lineRule="auto"/>
              <w:ind w:firstLine="480" w:firstLineChars="200"/>
              <w:jc w:val="left"/>
              <w:rPr>
                <w:kern w:val="0"/>
                <w:lang w:bidi="ar"/>
              </w:rPr>
            </w:pPr>
            <w:r>
              <w:rPr>
                <w:rFonts w:hint="eastAsia"/>
                <w:kern w:val="0"/>
                <w:lang w:bidi="ar"/>
              </w:rPr>
              <w:t>本项目所在区域属于《四川省主体功能区规划》规定的国家层面限制开发区域（重点生态功能区），符合区域生态功能发展的总体要求，与《四川省生态功能区划》是协调的。同时，区域生态功能定位也进一步明确了本项目在实施过程中必须加强生态环境保护，采取必要的措施开展生态修复和环境保护与治理。因此，本项目建设符合四川省生态功能区划提出的生态建设与发展方向。</w:t>
            </w:r>
          </w:p>
          <w:p w14:paraId="01991175">
            <w:pPr>
              <w:widowControl/>
              <w:spacing w:line="360" w:lineRule="auto"/>
              <w:jc w:val="center"/>
            </w:pPr>
            <w:r>
              <mc:AlternateContent>
                <mc:Choice Requires="wps">
                  <w:drawing>
                    <wp:anchor distT="0" distB="0" distL="114300" distR="114300" simplePos="0" relativeHeight="251665408" behindDoc="0" locked="0" layoutInCell="1" allowOverlap="1">
                      <wp:simplePos x="0" y="0"/>
                      <wp:positionH relativeFrom="column">
                        <wp:posOffset>453390</wp:posOffset>
                      </wp:positionH>
                      <wp:positionV relativeFrom="paragraph">
                        <wp:posOffset>1964055</wp:posOffset>
                      </wp:positionV>
                      <wp:extent cx="832485" cy="230505"/>
                      <wp:effectExtent l="5080" t="4445" r="400685" b="12700"/>
                      <wp:wrapNone/>
                      <wp:docPr id="131" name="矩形标注 16"/>
                      <wp:cNvGraphicFramePr/>
                      <a:graphic xmlns:a="http://schemas.openxmlformats.org/drawingml/2006/main">
                        <a:graphicData uri="http://schemas.microsoft.com/office/word/2010/wordprocessingShape">
                          <wps:wsp>
                            <wps:cNvSpPr/>
                            <wps:spPr>
                              <a:xfrm>
                                <a:off x="0" y="0"/>
                                <a:ext cx="832485" cy="230505"/>
                              </a:xfrm>
                              <a:prstGeom prst="wedgeRectCallout">
                                <a:avLst>
                                  <a:gd name="adj1" fmla="val 96758"/>
                                  <a:gd name="adj2" fmla="val -14187"/>
                                </a:avLst>
                              </a:prstGeom>
                              <a:noFill/>
                              <a:ln w="952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FC9A427">
                                  <w:pPr>
                                    <w:adjustRightInd w:val="0"/>
                                    <w:snapToGrid w:val="0"/>
                                    <w:jc w:val="center"/>
                                    <w:rPr>
                                      <w:color w:val="FF0000"/>
                                      <w:sz w:val="18"/>
                                      <w:szCs w:val="18"/>
                                    </w:rPr>
                                  </w:pPr>
                                  <w:r>
                                    <w:rPr>
                                      <w:rFonts w:hint="eastAsia"/>
                                      <w:color w:val="FF0000"/>
                                      <w:sz w:val="18"/>
                                      <w:szCs w:val="18"/>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16" o:spid="_x0000_s1026" o:spt="61" type="#_x0000_t61" style="position:absolute;left:0pt;margin-left:35.7pt;margin-top:154.65pt;height:18.15pt;width:65.55pt;z-index:251665408;v-text-anchor:middle;mso-width-relative:page;mso-height-relative:page;" filled="f" stroked="t" coordsize="21600,21600" o:gfxdata="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CCkKzq2gAAAAoBAAAPAAAAAAAAAAEAIAAAACIAAABkcnMvZG93bnJldi54bWxQSwEC&#10;FAAUAAAACACHTuJAHXQ/Y50CAAAkBQAADgAAAAAAAAABACAAAAApAQAAZHJzL2Uyb0RvYy54bWxQ&#10;SwUGAAAAAAYABgBZAQAAOAYAAAAA&#10;" adj="31700,7736">
                      <v:fill on="f" focussize="0,0"/>
                      <v:stroke color="#FF0000 [2404]" joinstyle="round"/>
                      <v:imagedata o:title=""/>
                      <o:lock v:ext="edit" aspectratio="f"/>
                      <v:textbox>
                        <w:txbxContent>
                          <w:p w14:paraId="6FC9A427">
                            <w:pPr>
                              <w:adjustRightInd w:val="0"/>
                              <w:snapToGrid w:val="0"/>
                              <w:jc w:val="center"/>
                              <w:rPr>
                                <w:color w:val="FF0000"/>
                                <w:sz w:val="18"/>
                                <w:szCs w:val="18"/>
                              </w:rPr>
                            </w:pPr>
                            <w:r>
                              <w:rPr>
                                <w:rFonts w:hint="eastAsia"/>
                                <w:color w:val="FF0000"/>
                                <w:sz w:val="18"/>
                                <w:szCs w:val="18"/>
                              </w:rPr>
                              <w:t>本项目位置</w:t>
                            </w:r>
                          </w:p>
                        </w:txbxContent>
                      </v:textbox>
                    </v:shape>
                  </w:pict>
                </mc:Fallback>
              </mc:AlternateContent>
            </w:r>
            <w:r>
              <w:drawing>
                <wp:inline distT="0" distB="0" distL="114300" distR="114300">
                  <wp:extent cx="5570855" cy="3810000"/>
                  <wp:effectExtent l="0" t="0" r="10795" b="0"/>
                  <wp:docPr id="1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
                          <pic:cNvPicPr>
                            <a:picLocks noChangeAspect="1"/>
                          </pic:cNvPicPr>
                        </pic:nvPicPr>
                        <pic:blipFill>
                          <a:blip r:embed="rId29"/>
                          <a:stretch>
                            <a:fillRect/>
                          </a:stretch>
                        </pic:blipFill>
                        <pic:spPr>
                          <a:xfrm>
                            <a:off x="0" y="0"/>
                            <a:ext cx="5570855" cy="3810000"/>
                          </a:xfrm>
                          <a:prstGeom prst="rect">
                            <a:avLst/>
                          </a:prstGeom>
                          <a:noFill/>
                          <a:ln>
                            <a:noFill/>
                          </a:ln>
                        </pic:spPr>
                      </pic:pic>
                    </a:graphicData>
                  </a:graphic>
                </wp:inline>
              </w:drawing>
            </w:r>
          </w:p>
          <w:p w14:paraId="683F78B6">
            <w:pPr>
              <w:pStyle w:val="7"/>
              <w:widowControl/>
              <w:spacing w:line="360" w:lineRule="auto"/>
              <w:rPr>
                <w:rFonts w:cs="Times New Roman"/>
              </w:rPr>
            </w:pPr>
            <w:r>
              <w:rPr>
                <w:rFonts w:hint="eastAsia" w:cs="Times New Roman"/>
              </w:rPr>
              <w:t xml:space="preserve">图3- </w:t>
            </w:r>
            <w:r>
              <w:rPr>
                <w:rFonts w:cs="Times New Roman"/>
              </w:rPr>
              <w:fldChar w:fldCharType="begin"/>
            </w:r>
            <w:r>
              <w:rPr>
                <w:rFonts w:hint="eastAsia" w:cs="Times New Roman"/>
              </w:rPr>
              <w:instrText xml:space="preserve"> SEQ 图3- \* ARABIC </w:instrText>
            </w:r>
            <w:r>
              <w:rPr>
                <w:rFonts w:cs="Times New Roman"/>
              </w:rPr>
              <w:fldChar w:fldCharType="separate"/>
            </w:r>
            <w:r>
              <w:rPr>
                <w:rFonts w:hint="eastAsia" w:cs="Times New Roman"/>
              </w:rPr>
              <w:t>2</w:t>
            </w:r>
            <w:r>
              <w:rPr>
                <w:rFonts w:cs="Times New Roman"/>
              </w:rPr>
              <w:fldChar w:fldCharType="end"/>
            </w:r>
            <w:r>
              <w:rPr>
                <w:rFonts w:hint="eastAsia" w:cs="Times New Roman"/>
              </w:rPr>
              <w:t xml:space="preserve">  四川省生态功能区划图</w:t>
            </w:r>
          </w:p>
          <w:p w14:paraId="6606DBB2">
            <w:pPr>
              <w:adjustRightInd w:val="0"/>
              <w:snapToGrid w:val="0"/>
              <w:spacing w:line="360" w:lineRule="auto"/>
              <w:ind w:firstLine="482" w:firstLineChars="200"/>
              <w:rPr>
                <w:b/>
                <w:bCs/>
              </w:rPr>
            </w:pPr>
            <w:r>
              <w:rPr>
                <w:rFonts w:hint="eastAsia"/>
                <w:b/>
                <w:bCs/>
              </w:rPr>
              <w:t>3、项目用地及区域生态环境现状</w:t>
            </w:r>
          </w:p>
          <w:p w14:paraId="30273174">
            <w:pPr>
              <w:adjustRightInd w:val="0"/>
              <w:snapToGrid w:val="0"/>
              <w:spacing w:line="360" w:lineRule="auto"/>
              <w:ind w:firstLine="482" w:firstLineChars="200"/>
              <w:rPr>
                <w:b/>
                <w:bCs/>
              </w:rPr>
            </w:pPr>
            <w:r>
              <w:rPr>
                <w:rFonts w:hint="eastAsia"/>
                <w:b/>
                <w:bCs/>
              </w:rPr>
              <w:t>（1）项目用地情况</w:t>
            </w:r>
          </w:p>
          <w:p w14:paraId="6AA0F74B">
            <w:pPr>
              <w:adjustRightInd w:val="0"/>
              <w:snapToGrid w:val="0"/>
              <w:spacing w:line="360" w:lineRule="auto"/>
              <w:ind w:firstLine="480" w:firstLineChars="200"/>
            </w:pPr>
            <w:r>
              <w:rPr>
                <w:rFonts w:hint="eastAsia"/>
              </w:rPr>
              <w:t>本项目位于甘孜州泸定县磨西镇，为河道防洪治理工程，工程占地包括永久占地和临时占地。</w:t>
            </w:r>
            <w:r>
              <w:rPr>
                <w:rFonts w:hint="eastAsia"/>
                <w:lang w:val="zh-CN"/>
              </w:rPr>
              <w:t>确定本项目共占用土地面积1.11hm²，其中永久占地0.31hm²、临时占地0.80hm²，占地类型包括水域及水利设施用地、商服用地</w:t>
            </w:r>
            <w:r>
              <w:rPr>
                <w:rFonts w:hint="eastAsia"/>
              </w:rPr>
              <w:t>。</w:t>
            </w:r>
          </w:p>
          <w:p w14:paraId="3C3BF560">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1</w:t>
            </w:r>
            <w:r>
              <w:rPr>
                <w:rFonts w:cs="Times New Roman"/>
              </w:rPr>
              <w:fldChar w:fldCharType="end"/>
            </w:r>
            <w:r>
              <w:rPr>
                <w:rFonts w:hint="eastAsia" w:cs="Times New Roman"/>
              </w:rPr>
              <w:t xml:space="preserve">  工程征地汇总表</w:t>
            </w:r>
          </w:p>
          <w:tbl>
            <w:tblPr>
              <w:tblStyle w:val="2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221"/>
              <w:gridCol w:w="2358"/>
              <w:gridCol w:w="994"/>
              <w:gridCol w:w="1257"/>
              <w:gridCol w:w="2041"/>
            </w:tblGrid>
            <w:tr w14:paraId="241EB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vMerge w:val="restart"/>
                  <w:tcBorders>
                    <w:tl2br w:val="nil"/>
                    <w:tr2bl w:val="nil"/>
                  </w:tcBorders>
                  <w:vAlign w:val="center"/>
                </w:tcPr>
                <w:p w14:paraId="63414AC0">
                  <w:pPr>
                    <w:pStyle w:val="59"/>
                    <w:rPr>
                      <w:rFonts w:cs="Times New Roman"/>
                      <w:b/>
                      <w:bCs/>
                    </w:rPr>
                  </w:pPr>
                  <w:r>
                    <w:rPr>
                      <w:rFonts w:hint="eastAsia" w:cs="Times New Roman"/>
                      <w:b/>
                      <w:bCs/>
                    </w:rPr>
                    <w:t>项目名称</w:t>
                  </w:r>
                </w:p>
              </w:tc>
              <w:tc>
                <w:tcPr>
                  <w:tcW w:w="1987" w:type="pct"/>
                  <w:gridSpan w:val="2"/>
                  <w:tcBorders>
                    <w:tl2br w:val="nil"/>
                    <w:tr2bl w:val="nil"/>
                  </w:tcBorders>
                  <w:vAlign w:val="center"/>
                </w:tcPr>
                <w:p w14:paraId="5ADD90A6">
                  <w:pPr>
                    <w:pStyle w:val="59"/>
                    <w:rPr>
                      <w:rFonts w:cs="Times New Roman"/>
                      <w:b/>
                      <w:bCs/>
                    </w:rPr>
                  </w:pPr>
                  <w:r>
                    <w:rPr>
                      <w:rFonts w:hint="eastAsia" w:cs="Times New Roman"/>
                      <w:b/>
                      <w:bCs/>
                    </w:rPr>
                    <w:t>占地性质</w:t>
                  </w:r>
                </w:p>
              </w:tc>
              <w:tc>
                <w:tcPr>
                  <w:tcW w:w="552" w:type="pct"/>
                  <w:vMerge w:val="restart"/>
                  <w:tcBorders>
                    <w:tl2br w:val="nil"/>
                    <w:tr2bl w:val="nil"/>
                  </w:tcBorders>
                  <w:vAlign w:val="center"/>
                </w:tcPr>
                <w:p w14:paraId="01031589">
                  <w:pPr>
                    <w:pStyle w:val="59"/>
                    <w:rPr>
                      <w:rFonts w:cs="Times New Roman"/>
                      <w:b/>
                      <w:bCs/>
                    </w:rPr>
                  </w:pPr>
                  <w:r>
                    <w:rPr>
                      <w:rFonts w:hint="eastAsia" w:cs="Times New Roman"/>
                      <w:b/>
                      <w:bCs/>
                    </w:rPr>
                    <w:t>合计</w:t>
                  </w:r>
                </w:p>
              </w:tc>
              <w:tc>
                <w:tcPr>
                  <w:tcW w:w="1831" w:type="pct"/>
                  <w:gridSpan w:val="2"/>
                  <w:tcBorders>
                    <w:tl2br w:val="nil"/>
                    <w:tr2bl w:val="nil"/>
                  </w:tcBorders>
                  <w:vAlign w:val="center"/>
                </w:tcPr>
                <w:p w14:paraId="6E5DEB74">
                  <w:pPr>
                    <w:pStyle w:val="59"/>
                    <w:rPr>
                      <w:rFonts w:cs="Times New Roman"/>
                      <w:b/>
                      <w:bCs/>
                    </w:rPr>
                  </w:pPr>
                  <w:r>
                    <w:rPr>
                      <w:rFonts w:hint="eastAsia" w:cs="Times New Roman"/>
                      <w:b/>
                      <w:bCs/>
                    </w:rPr>
                    <w:t>占地性质</w:t>
                  </w:r>
                </w:p>
              </w:tc>
            </w:tr>
            <w:tr w14:paraId="16555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vMerge w:val="continue"/>
                  <w:tcBorders>
                    <w:tl2br w:val="nil"/>
                    <w:tr2bl w:val="nil"/>
                  </w:tcBorders>
                  <w:vAlign w:val="center"/>
                </w:tcPr>
                <w:p w14:paraId="48F800C2">
                  <w:pPr>
                    <w:pStyle w:val="59"/>
                    <w:rPr>
                      <w:rFonts w:cs="Times New Roman"/>
                      <w:b/>
                      <w:bCs/>
                    </w:rPr>
                  </w:pPr>
                </w:p>
              </w:tc>
              <w:tc>
                <w:tcPr>
                  <w:tcW w:w="678" w:type="pct"/>
                  <w:tcBorders>
                    <w:tl2br w:val="nil"/>
                    <w:tr2bl w:val="nil"/>
                  </w:tcBorders>
                  <w:vAlign w:val="center"/>
                </w:tcPr>
                <w:p w14:paraId="6D41E5F2">
                  <w:pPr>
                    <w:pStyle w:val="59"/>
                    <w:rPr>
                      <w:rFonts w:cs="Times New Roman"/>
                      <w:b/>
                      <w:bCs/>
                    </w:rPr>
                  </w:pPr>
                  <w:r>
                    <w:rPr>
                      <w:rFonts w:hint="eastAsia" w:cs="Times New Roman"/>
                      <w:b/>
                      <w:bCs/>
                    </w:rPr>
                    <w:t>商服用地</w:t>
                  </w:r>
                </w:p>
              </w:tc>
              <w:tc>
                <w:tcPr>
                  <w:tcW w:w="1308" w:type="pct"/>
                  <w:tcBorders>
                    <w:tl2br w:val="nil"/>
                    <w:tr2bl w:val="nil"/>
                  </w:tcBorders>
                  <w:vAlign w:val="center"/>
                </w:tcPr>
                <w:p w14:paraId="141F5C18">
                  <w:pPr>
                    <w:pStyle w:val="59"/>
                    <w:rPr>
                      <w:rFonts w:cs="Times New Roman"/>
                      <w:b/>
                      <w:bCs/>
                    </w:rPr>
                  </w:pPr>
                  <w:r>
                    <w:rPr>
                      <w:rFonts w:hint="eastAsia" w:cs="Times New Roman"/>
                      <w:b/>
                      <w:bCs/>
                    </w:rPr>
                    <w:t>水域及水利设施用地</w:t>
                  </w:r>
                </w:p>
              </w:tc>
              <w:tc>
                <w:tcPr>
                  <w:tcW w:w="552" w:type="pct"/>
                  <w:vMerge w:val="continue"/>
                  <w:tcBorders>
                    <w:tl2br w:val="nil"/>
                    <w:tr2bl w:val="nil"/>
                  </w:tcBorders>
                  <w:vAlign w:val="center"/>
                </w:tcPr>
                <w:p w14:paraId="121CBCD8">
                  <w:pPr>
                    <w:pStyle w:val="59"/>
                    <w:rPr>
                      <w:rFonts w:cs="Times New Roman"/>
                      <w:b/>
                      <w:bCs/>
                    </w:rPr>
                  </w:pPr>
                </w:p>
              </w:tc>
              <w:tc>
                <w:tcPr>
                  <w:tcW w:w="698" w:type="pct"/>
                  <w:tcBorders>
                    <w:tl2br w:val="nil"/>
                    <w:tr2bl w:val="nil"/>
                  </w:tcBorders>
                  <w:vAlign w:val="center"/>
                </w:tcPr>
                <w:p w14:paraId="73855FD1">
                  <w:pPr>
                    <w:pStyle w:val="59"/>
                    <w:rPr>
                      <w:rFonts w:cs="Times New Roman"/>
                      <w:b/>
                      <w:bCs/>
                    </w:rPr>
                  </w:pPr>
                  <w:r>
                    <w:rPr>
                      <w:rFonts w:hint="eastAsia" w:cs="Times New Roman"/>
                      <w:b/>
                      <w:bCs/>
                    </w:rPr>
                    <w:t>永久占地</w:t>
                  </w:r>
                </w:p>
              </w:tc>
              <w:tc>
                <w:tcPr>
                  <w:tcW w:w="1133" w:type="pct"/>
                  <w:tcBorders>
                    <w:tl2br w:val="nil"/>
                    <w:tr2bl w:val="nil"/>
                  </w:tcBorders>
                  <w:vAlign w:val="center"/>
                </w:tcPr>
                <w:p w14:paraId="5EB9BB5A">
                  <w:pPr>
                    <w:pStyle w:val="59"/>
                    <w:rPr>
                      <w:rFonts w:cs="Times New Roman"/>
                      <w:b/>
                      <w:bCs/>
                    </w:rPr>
                  </w:pPr>
                  <w:r>
                    <w:rPr>
                      <w:rFonts w:hint="eastAsia" w:cs="Times New Roman"/>
                      <w:b/>
                      <w:bCs/>
                    </w:rPr>
                    <w:t>临时占地</w:t>
                  </w:r>
                </w:p>
              </w:tc>
            </w:tr>
            <w:tr w14:paraId="72719F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tcBorders>
                    <w:tl2br w:val="nil"/>
                    <w:tr2bl w:val="nil"/>
                  </w:tcBorders>
                  <w:vAlign w:val="center"/>
                </w:tcPr>
                <w:p w14:paraId="6219D644">
                  <w:pPr>
                    <w:pStyle w:val="59"/>
                    <w:rPr>
                      <w:rFonts w:cs="Times New Roman"/>
                    </w:rPr>
                  </w:pPr>
                  <w:r>
                    <w:rPr>
                      <w:rFonts w:hint="eastAsia" w:cs="Times New Roman"/>
                    </w:rPr>
                    <w:t>主体工程</w:t>
                  </w:r>
                </w:p>
              </w:tc>
              <w:tc>
                <w:tcPr>
                  <w:tcW w:w="678" w:type="pct"/>
                  <w:tcBorders>
                    <w:tl2br w:val="nil"/>
                    <w:tr2bl w:val="nil"/>
                  </w:tcBorders>
                  <w:vAlign w:val="center"/>
                </w:tcPr>
                <w:p w14:paraId="143DD163">
                  <w:pPr>
                    <w:pStyle w:val="59"/>
                    <w:rPr>
                      <w:rFonts w:cs="Times New Roman"/>
                    </w:rPr>
                  </w:pPr>
                  <w:r>
                    <w:rPr>
                      <w:rFonts w:cs="Times New Roman"/>
                    </w:rPr>
                    <w:t>/</w:t>
                  </w:r>
                </w:p>
              </w:tc>
              <w:tc>
                <w:tcPr>
                  <w:tcW w:w="1308" w:type="pct"/>
                  <w:tcBorders>
                    <w:tl2br w:val="nil"/>
                    <w:tr2bl w:val="nil"/>
                  </w:tcBorders>
                  <w:vAlign w:val="center"/>
                </w:tcPr>
                <w:p w14:paraId="22967EE9">
                  <w:pPr>
                    <w:pStyle w:val="59"/>
                    <w:rPr>
                      <w:rFonts w:cs="Times New Roman"/>
                    </w:rPr>
                  </w:pPr>
                  <w:r>
                    <w:rPr>
                      <w:rFonts w:cs="Times New Roman"/>
                    </w:rPr>
                    <w:t>1.01</w:t>
                  </w:r>
                </w:p>
              </w:tc>
              <w:tc>
                <w:tcPr>
                  <w:tcW w:w="552" w:type="pct"/>
                  <w:tcBorders>
                    <w:tl2br w:val="nil"/>
                    <w:tr2bl w:val="nil"/>
                  </w:tcBorders>
                  <w:vAlign w:val="center"/>
                </w:tcPr>
                <w:p w14:paraId="028F701D">
                  <w:pPr>
                    <w:pStyle w:val="59"/>
                    <w:rPr>
                      <w:rFonts w:cs="Times New Roman"/>
                    </w:rPr>
                  </w:pPr>
                  <w:r>
                    <w:rPr>
                      <w:rFonts w:cs="Times New Roman"/>
                    </w:rPr>
                    <w:t>1.01</w:t>
                  </w:r>
                </w:p>
              </w:tc>
              <w:tc>
                <w:tcPr>
                  <w:tcW w:w="698" w:type="pct"/>
                  <w:tcBorders>
                    <w:tl2br w:val="nil"/>
                    <w:tr2bl w:val="nil"/>
                  </w:tcBorders>
                  <w:vAlign w:val="center"/>
                </w:tcPr>
                <w:p w14:paraId="53CCB63E">
                  <w:pPr>
                    <w:pStyle w:val="59"/>
                    <w:rPr>
                      <w:rFonts w:cs="Times New Roman"/>
                    </w:rPr>
                  </w:pPr>
                  <w:r>
                    <w:rPr>
                      <w:rFonts w:cs="Times New Roman"/>
                    </w:rPr>
                    <w:t>0.31</w:t>
                  </w:r>
                </w:p>
              </w:tc>
              <w:tc>
                <w:tcPr>
                  <w:tcW w:w="1133" w:type="pct"/>
                  <w:tcBorders>
                    <w:tl2br w:val="nil"/>
                    <w:tr2bl w:val="nil"/>
                  </w:tcBorders>
                  <w:vAlign w:val="center"/>
                </w:tcPr>
                <w:p w14:paraId="6F783AB8">
                  <w:pPr>
                    <w:pStyle w:val="59"/>
                    <w:rPr>
                      <w:rFonts w:cs="Times New Roman"/>
                    </w:rPr>
                  </w:pPr>
                  <w:r>
                    <w:rPr>
                      <w:rFonts w:cs="Times New Roman"/>
                    </w:rPr>
                    <w:t>0.70</w:t>
                  </w:r>
                </w:p>
              </w:tc>
            </w:tr>
            <w:tr w14:paraId="5D22D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tcBorders>
                    <w:tl2br w:val="nil"/>
                    <w:tr2bl w:val="nil"/>
                  </w:tcBorders>
                  <w:vAlign w:val="center"/>
                </w:tcPr>
                <w:p w14:paraId="0C06986C">
                  <w:pPr>
                    <w:pStyle w:val="59"/>
                    <w:rPr>
                      <w:rFonts w:cs="Times New Roman"/>
                    </w:rPr>
                  </w:pPr>
                  <w:r>
                    <w:rPr>
                      <w:rFonts w:hint="eastAsia" w:cs="Times New Roman"/>
                    </w:rPr>
                    <w:t>施工场地</w:t>
                  </w:r>
                </w:p>
              </w:tc>
              <w:tc>
                <w:tcPr>
                  <w:tcW w:w="678" w:type="pct"/>
                  <w:tcBorders>
                    <w:tl2br w:val="nil"/>
                    <w:tr2bl w:val="nil"/>
                  </w:tcBorders>
                  <w:vAlign w:val="center"/>
                </w:tcPr>
                <w:p w14:paraId="7412171C">
                  <w:pPr>
                    <w:pStyle w:val="59"/>
                    <w:rPr>
                      <w:rFonts w:cs="Times New Roman"/>
                    </w:rPr>
                  </w:pPr>
                  <w:r>
                    <w:rPr>
                      <w:rFonts w:cs="Times New Roman"/>
                    </w:rPr>
                    <w:t>0.10</w:t>
                  </w:r>
                </w:p>
              </w:tc>
              <w:tc>
                <w:tcPr>
                  <w:tcW w:w="1308" w:type="pct"/>
                  <w:tcBorders>
                    <w:tl2br w:val="nil"/>
                    <w:tr2bl w:val="nil"/>
                  </w:tcBorders>
                  <w:vAlign w:val="center"/>
                </w:tcPr>
                <w:p w14:paraId="750D8FFE">
                  <w:pPr>
                    <w:pStyle w:val="59"/>
                    <w:rPr>
                      <w:rFonts w:cs="Times New Roman"/>
                    </w:rPr>
                  </w:pPr>
                  <w:r>
                    <w:rPr>
                      <w:rFonts w:cs="Times New Roman"/>
                    </w:rPr>
                    <w:t>/</w:t>
                  </w:r>
                </w:p>
              </w:tc>
              <w:tc>
                <w:tcPr>
                  <w:tcW w:w="552" w:type="pct"/>
                  <w:tcBorders>
                    <w:tl2br w:val="nil"/>
                    <w:tr2bl w:val="nil"/>
                  </w:tcBorders>
                  <w:vAlign w:val="center"/>
                </w:tcPr>
                <w:p w14:paraId="245A092C">
                  <w:pPr>
                    <w:pStyle w:val="59"/>
                    <w:rPr>
                      <w:rFonts w:cs="Times New Roman"/>
                    </w:rPr>
                  </w:pPr>
                  <w:r>
                    <w:rPr>
                      <w:rFonts w:cs="Times New Roman"/>
                    </w:rPr>
                    <w:t>0.10</w:t>
                  </w:r>
                </w:p>
              </w:tc>
              <w:tc>
                <w:tcPr>
                  <w:tcW w:w="698" w:type="pct"/>
                  <w:tcBorders>
                    <w:tl2br w:val="nil"/>
                    <w:tr2bl w:val="nil"/>
                  </w:tcBorders>
                  <w:vAlign w:val="center"/>
                </w:tcPr>
                <w:p w14:paraId="2D1EA73D">
                  <w:pPr>
                    <w:pStyle w:val="59"/>
                    <w:rPr>
                      <w:rFonts w:cs="Times New Roman"/>
                    </w:rPr>
                  </w:pPr>
                  <w:r>
                    <w:rPr>
                      <w:rFonts w:cs="Times New Roman"/>
                    </w:rPr>
                    <w:t>/</w:t>
                  </w:r>
                </w:p>
              </w:tc>
              <w:tc>
                <w:tcPr>
                  <w:tcW w:w="1133" w:type="pct"/>
                  <w:tcBorders>
                    <w:tl2br w:val="nil"/>
                    <w:tr2bl w:val="nil"/>
                  </w:tcBorders>
                  <w:vAlign w:val="center"/>
                </w:tcPr>
                <w:p w14:paraId="0C02A93A">
                  <w:pPr>
                    <w:pStyle w:val="59"/>
                    <w:rPr>
                      <w:rFonts w:cs="Times New Roman"/>
                    </w:rPr>
                  </w:pPr>
                  <w:r>
                    <w:rPr>
                      <w:rFonts w:cs="Times New Roman"/>
                    </w:rPr>
                    <w:t>0.10</w:t>
                  </w:r>
                </w:p>
              </w:tc>
            </w:tr>
            <w:tr w14:paraId="4AFE5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tcBorders>
                    <w:tl2br w:val="nil"/>
                    <w:tr2bl w:val="nil"/>
                  </w:tcBorders>
                  <w:vAlign w:val="center"/>
                </w:tcPr>
                <w:p w14:paraId="1C837B8C">
                  <w:pPr>
                    <w:pStyle w:val="59"/>
                    <w:rPr>
                      <w:rFonts w:cs="Times New Roman"/>
                    </w:rPr>
                  </w:pPr>
                  <w:r>
                    <w:rPr>
                      <w:rFonts w:hint="eastAsia" w:cs="Times New Roman"/>
                    </w:rPr>
                    <w:t>合计</w:t>
                  </w:r>
                </w:p>
              </w:tc>
              <w:tc>
                <w:tcPr>
                  <w:tcW w:w="678" w:type="pct"/>
                  <w:tcBorders>
                    <w:tl2br w:val="nil"/>
                    <w:tr2bl w:val="nil"/>
                  </w:tcBorders>
                  <w:vAlign w:val="center"/>
                </w:tcPr>
                <w:p w14:paraId="7B277935">
                  <w:pPr>
                    <w:pStyle w:val="59"/>
                    <w:rPr>
                      <w:rFonts w:cs="Times New Roman"/>
                    </w:rPr>
                  </w:pPr>
                  <w:r>
                    <w:rPr>
                      <w:rFonts w:cs="Times New Roman"/>
                    </w:rPr>
                    <w:t>0.10</w:t>
                  </w:r>
                </w:p>
              </w:tc>
              <w:tc>
                <w:tcPr>
                  <w:tcW w:w="1308" w:type="pct"/>
                  <w:tcBorders>
                    <w:tl2br w:val="nil"/>
                    <w:tr2bl w:val="nil"/>
                  </w:tcBorders>
                  <w:vAlign w:val="center"/>
                </w:tcPr>
                <w:p w14:paraId="3461CDCE">
                  <w:pPr>
                    <w:pStyle w:val="59"/>
                    <w:rPr>
                      <w:rFonts w:cs="Times New Roman"/>
                    </w:rPr>
                  </w:pPr>
                  <w:r>
                    <w:rPr>
                      <w:rFonts w:cs="Times New Roman"/>
                    </w:rPr>
                    <w:t>1.01</w:t>
                  </w:r>
                </w:p>
              </w:tc>
              <w:tc>
                <w:tcPr>
                  <w:tcW w:w="552" w:type="pct"/>
                  <w:tcBorders>
                    <w:tl2br w:val="nil"/>
                    <w:tr2bl w:val="nil"/>
                  </w:tcBorders>
                  <w:vAlign w:val="center"/>
                </w:tcPr>
                <w:p w14:paraId="272132E0">
                  <w:pPr>
                    <w:pStyle w:val="59"/>
                    <w:rPr>
                      <w:rFonts w:cs="Times New Roman"/>
                    </w:rPr>
                  </w:pPr>
                  <w:r>
                    <w:rPr>
                      <w:rFonts w:cs="Times New Roman"/>
                    </w:rPr>
                    <w:t>1.11</w:t>
                  </w:r>
                </w:p>
              </w:tc>
              <w:tc>
                <w:tcPr>
                  <w:tcW w:w="698" w:type="pct"/>
                  <w:tcBorders>
                    <w:tl2br w:val="nil"/>
                    <w:tr2bl w:val="nil"/>
                  </w:tcBorders>
                  <w:vAlign w:val="center"/>
                </w:tcPr>
                <w:p w14:paraId="3FA98973">
                  <w:pPr>
                    <w:pStyle w:val="59"/>
                    <w:rPr>
                      <w:rFonts w:cs="Times New Roman"/>
                    </w:rPr>
                  </w:pPr>
                  <w:r>
                    <w:rPr>
                      <w:rFonts w:cs="Times New Roman"/>
                    </w:rPr>
                    <w:t>0.31</w:t>
                  </w:r>
                </w:p>
              </w:tc>
              <w:tc>
                <w:tcPr>
                  <w:tcW w:w="1133" w:type="pct"/>
                  <w:tcBorders>
                    <w:tl2br w:val="nil"/>
                    <w:tr2bl w:val="nil"/>
                  </w:tcBorders>
                  <w:vAlign w:val="center"/>
                </w:tcPr>
                <w:p w14:paraId="660AE4F4">
                  <w:pPr>
                    <w:pStyle w:val="59"/>
                    <w:rPr>
                      <w:rFonts w:cs="Times New Roman"/>
                    </w:rPr>
                  </w:pPr>
                  <w:r>
                    <w:rPr>
                      <w:rFonts w:cs="Times New Roman"/>
                    </w:rPr>
                    <w:t>0.80</w:t>
                  </w:r>
                </w:p>
              </w:tc>
            </w:tr>
          </w:tbl>
          <w:p w14:paraId="1B97EDD8">
            <w:pPr>
              <w:adjustRightInd w:val="0"/>
              <w:snapToGrid w:val="0"/>
              <w:spacing w:before="156" w:beforeLines="50" w:line="360" w:lineRule="auto"/>
              <w:ind w:firstLine="480" w:firstLineChars="200"/>
            </w:pPr>
            <w:r>
              <w:rPr>
                <w:rFonts w:hint="eastAsia"/>
              </w:rPr>
              <w:t>本项目区域内生态状态以农村生态环境为主要特征，并结合农村生态系统特点，区域内无珍稀濒危野生动物及珍稀植物，绿化景观较好，沿线覆盖有商服用地、水域及水利设施用地等，区域生态环境现状受人类活动影响较为频繁。</w:t>
            </w:r>
          </w:p>
          <w:p w14:paraId="2E8C2CAB">
            <w:pPr>
              <w:pStyle w:val="106"/>
              <w:ind w:firstLine="482"/>
              <w:rPr>
                <w:b/>
                <w:bCs/>
              </w:rPr>
            </w:pPr>
            <w:r>
              <w:rPr>
                <w:rFonts w:hint="eastAsia"/>
                <w:b/>
                <w:bCs/>
              </w:rPr>
              <w:t>（2）陆生植物现状</w:t>
            </w:r>
          </w:p>
          <w:p w14:paraId="529A749C">
            <w:pPr>
              <w:pStyle w:val="106"/>
            </w:pPr>
            <w:r>
              <w:rPr>
                <w:rFonts w:hint="eastAsia"/>
              </w:rPr>
              <w:t>本项目位于甘孜州泸定县磨西镇。本项目用地范围现状主要为水域及水利设施用地、商服用地等。项目周边区域主要包括森林、灌丛、河流等自然生态系统，以及由人类起主导作用的农业生态系统、城镇生态系统。</w:t>
            </w:r>
          </w:p>
          <w:p w14:paraId="0A78725F">
            <w:pPr>
              <w:spacing w:line="360" w:lineRule="auto"/>
              <w:ind w:firstLine="480" w:firstLineChars="200"/>
              <w:rPr>
                <w:szCs w:val="22"/>
              </w:rPr>
            </w:pPr>
            <w:r>
              <w:rPr>
                <w:rFonts w:hint="eastAsia"/>
                <w:szCs w:val="22"/>
              </w:rPr>
              <w:t>①自然植被</w:t>
            </w:r>
          </w:p>
          <w:p w14:paraId="49C856FD">
            <w:pPr>
              <w:spacing w:line="360" w:lineRule="auto"/>
              <w:ind w:firstLine="480" w:firstLineChars="200"/>
              <w:rPr>
                <w:szCs w:val="22"/>
              </w:rPr>
            </w:pPr>
            <w:r>
              <w:rPr>
                <w:rFonts w:hint="eastAsia"/>
              </w:rPr>
              <w:t>本项目区域海拔位于1300～1500m之间，主要植被类型为干旱河谷灌丛、常绿、落叶阔叶林和针阔叶混交林。</w:t>
            </w:r>
            <w:r>
              <w:rPr>
                <w:rFonts w:hint="eastAsia"/>
                <w:szCs w:val="22"/>
              </w:rPr>
              <w:t>项目区域</w:t>
            </w:r>
            <w:r>
              <w:rPr>
                <w:rFonts w:hint="eastAsia"/>
              </w:rPr>
              <w:t>陆生自然植被组合比较简单，</w:t>
            </w:r>
            <w:r>
              <w:rPr>
                <w:rFonts w:hint="eastAsia"/>
                <w:szCs w:val="22"/>
              </w:rPr>
              <w:t>植物物种主要有冷杉、川西云杉、康定柳（</w:t>
            </w:r>
            <w:r>
              <w:rPr>
                <w:rFonts w:hint="eastAsia"/>
                <w:i/>
                <w:iCs/>
                <w:szCs w:val="22"/>
              </w:rPr>
              <w:t>Salix paraplesia）</w:t>
            </w:r>
            <w:r>
              <w:rPr>
                <w:rFonts w:hint="eastAsia"/>
                <w:szCs w:val="22"/>
              </w:rPr>
              <w:t>、川滇高山栎（</w:t>
            </w:r>
            <w:r>
              <w:rPr>
                <w:rFonts w:hint="eastAsia"/>
                <w:i/>
                <w:iCs/>
                <w:szCs w:val="22"/>
              </w:rPr>
              <w:t>Quercus aquifolioides）</w:t>
            </w:r>
            <w:r>
              <w:rPr>
                <w:rFonts w:hint="eastAsia"/>
                <w:szCs w:val="22"/>
              </w:rPr>
              <w:t>、山光杜鹃（</w:t>
            </w:r>
            <w:r>
              <w:rPr>
                <w:rFonts w:hint="eastAsia"/>
                <w:i/>
                <w:iCs/>
                <w:szCs w:val="22"/>
              </w:rPr>
              <w:t>Rhododendron oreodoxo）</w:t>
            </w:r>
            <w:r>
              <w:rPr>
                <w:rFonts w:hint="eastAsia"/>
                <w:szCs w:val="22"/>
              </w:rPr>
              <w:t>、沙棘（</w:t>
            </w:r>
            <w:r>
              <w:rPr>
                <w:i/>
                <w:iCs/>
                <w:szCs w:val="22"/>
              </w:rPr>
              <w:t>Hippophae rhamnoides</w:t>
            </w:r>
            <w:r>
              <w:rPr>
                <w:rFonts w:hint="eastAsia"/>
                <w:szCs w:val="22"/>
              </w:rPr>
              <w:t xml:space="preserve"> Linn.）、川滇小檗（</w:t>
            </w:r>
            <w:r>
              <w:rPr>
                <w:rFonts w:hint="eastAsia"/>
                <w:i/>
                <w:iCs/>
                <w:szCs w:val="22"/>
              </w:rPr>
              <w:t>Berberis jamesiana）</w:t>
            </w:r>
            <w:r>
              <w:rPr>
                <w:rFonts w:hint="eastAsia"/>
                <w:szCs w:val="22"/>
              </w:rPr>
              <w:t>等。</w:t>
            </w:r>
          </w:p>
          <w:p w14:paraId="25BE15C2">
            <w:pPr>
              <w:spacing w:line="360" w:lineRule="auto"/>
              <w:ind w:firstLine="480" w:firstLineChars="200"/>
              <w:rPr>
                <w:szCs w:val="22"/>
              </w:rPr>
            </w:pPr>
            <w:r>
              <w:rPr>
                <w:rFonts w:hint="eastAsia"/>
                <w:szCs w:val="22"/>
              </w:rPr>
              <w:t>经调查，本项目评价区内无列入国家及地方保护名录的珍稀濒危重点保护植物及古、大、珍、奇树木分布。</w:t>
            </w:r>
          </w:p>
          <w:p w14:paraId="085571E5">
            <w:pPr>
              <w:spacing w:line="360" w:lineRule="auto"/>
              <w:ind w:firstLine="480" w:firstLineChars="200"/>
              <w:rPr>
                <w:szCs w:val="22"/>
              </w:rPr>
            </w:pPr>
            <w:r>
              <w:rPr>
                <w:rFonts w:hint="eastAsia"/>
                <w:szCs w:val="22"/>
              </w:rPr>
              <w:t>②人工植被</w:t>
            </w:r>
          </w:p>
          <w:p w14:paraId="50FF1D6E">
            <w:pPr>
              <w:spacing w:line="360" w:lineRule="auto"/>
              <w:ind w:firstLine="480" w:firstLineChars="200"/>
              <w:rPr>
                <w:szCs w:val="22"/>
              </w:rPr>
            </w:pPr>
            <w:r>
              <w:rPr>
                <w:rFonts w:hint="eastAsia"/>
              </w:rPr>
              <w:t>项目区沿线栽培植被中，以</w:t>
            </w:r>
            <w:r>
              <w:rPr>
                <w:rFonts w:hint="eastAsia"/>
                <w:szCs w:val="22"/>
              </w:rPr>
              <w:t>青稞为主，还包括玉米、豌豆、胡豆、洋芋、萝卜等，经济林木有花椒、苹果、核桃、梨等。草场主要有蒿草、羊茅、披碱草等。</w:t>
            </w:r>
          </w:p>
          <w:p w14:paraId="6618EA7D">
            <w:pPr>
              <w:spacing w:line="360" w:lineRule="auto"/>
              <w:ind w:firstLine="480" w:firstLineChars="200"/>
              <w:rPr>
                <w:szCs w:val="22"/>
              </w:rPr>
            </w:pPr>
            <w:r>
              <w:rPr>
                <w:rFonts w:hint="eastAsia"/>
                <w:szCs w:val="22"/>
              </w:rPr>
              <w:t>③陆生动物</w:t>
            </w:r>
          </w:p>
          <w:p w14:paraId="64E89BF8">
            <w:pPr>
              <w:spacing w:line="360" w:lineRule="auto"/>
              <w:ind w:firstLine="480" w:firstLineChars="200"/>
              <w:rPr>
                <w:szCs w:val="22"/>
              </w:rPr>
            </w:pPr>
            <w:r>
              <w:rPr>
                <w:rFonts w:hint="eastAsia"/>
              </w:rPr>
              <w:t>由于项目沿线人类活动较为频繁，生态环境主要为农田生态系统，野生动物较少，无大型野生哺乳类动物分布</w:t>
            </w:r>
            <w:r>
              <w:rPr>
                <w:rFonts w:hint="eastAsia"/>
                <w:szCs w:val="22"/>
              </w:rPr>
              <w:t>。结合流域内龙洞水电站陆生生态调查成果（2018年），并通过实地调查，项目沿线陆生野生动物主要有刺胸齿突蟾（</w:t>
            </w:r>
            <w:r>
              <w:rPr>
                <w:rFonts w:hint="eastAsia"/>
                <w:i/>
                <w:iCs/>
                <w:szCs w:val="22"/>
              </w:rPr>
              <w:t>Scutiger mammatus）</w:t>
            </w:r>
            <w:r>
              <w:rPr>
                <w:rFonts w:hint="eastAsia"/>
                <w:szCs w:val="22"/>
              </w:rPr>
              <w:t>、胸腺齿突蟾（</w:t>
            </w:r>
            <w:r>
              <w:rPr>
                <w:rFonts w:hint="eastAsia"/>
                <w:i/>
                <w:iCs/>
                <w:szCs w:val="22"/>
              </w:rPr>
              <w:t>Scutiger brevipes）</w:t>
            </w:r>
            <w:r>
              <w:rPr>
                <w:rFonts w:hint="eastAsia"/>
                <w:szCs w:val="22"/>
              </w:rPr>
              <w:t>、西藏蟾蜍（</w:t>
            </w:r>
            <w:r>
              <w:rPr>
                <w:rFonts w:hint="eastAsia"/>
                <w:i/>
                <w:iCs/>
                <w:szCs w:val="22"/>
              </w:rPr>
              <w:t>Bufo tibetanus）</w:t>
            </w:r>
            <w:r>
              <w:rPr>
                <w:rFonts w:hint="eastAsia"/>
                <w:szCs w:val="22"/>
              </w:rPr>
              <w:t>等两栖动物，斜鳞蛇（</w:t>
            </w:r>
            <w:r>
              <w:rPr>
                <w:rFonts w:hint="eastAsia"/>
                <w:i/>
                <w:iCs/>
                <w:szCs w:val="22"/>
              </w:rPr>
              <w:t>Pseudoxenodon macrops）</w:t>
            </w:r>
            <w:r>
              <w:rPr>
                <w:rFonts w:hint="eastAsia"/>
                <w:szCs w:val="22"/>
              </w:rPr>
              <w:t>、黑眉锦蛇（</w:t>
            </w:r>
            <w:r>
              <w:rPr>
                <w:rFonts w:hint="eastAsia"/>
                <w:i/>
                <w:iCs/>
                <w:szCs w:val="22"/>
              </w:rPr>
              <w:t>Elaphe taeniura）</w:t>
            </w:r>
            <w:r>
              <w:rPr>
                <w:rFonts w:hint="eastAsia"/>
                <w:szCs w:val="22"/>
              </w:rPr>
              <w:t>、康定滑蜥（</w:t>
            </w:r>
            <w:r>
              <w:rPr>
                <w:rFonts w:hint="eastAsia"/>
                <w:i/>
                <w:iCs/>
                <w:szCs w:val="22"/>
              </w:rPr>
              <w:t>Scincella potanini）</w:t>
            </w:r>
            <w:r>
              <w:rPr>
                <w:rFonts w:hint="eastAsia"/>
                <w:szCs w:val="22"/>
              </w:rPr>
              <w:t>、草绿攀蜥（</w:t>
            </w:r>
            <w:r>
              <w:rPr>
                <w:rFonts w:hint="eastAsia"/>
                <w:i/>
                <w:iCs/>
                <w:szCs w:val="22"/>
              </w:rPr>
              <w:t>Japalura flaviceps）</w:t>
            </w:r>
            <w:r>
              <w:rPr>
                <w:rFonts w:hint="eastAsia"/>
                <w:szCs w:val="22"/>
              </w:rPr>
              <w:t>、丽纹攀蜥（</w:t>
            </w:r>
            <w:r>
              <w:rPr>
                <w:rFonts w:hint="eastAsia"/>
                <w:i/>
                <w:iCs/>
                <w:szCs w:val="22"/>
              </w:rPr>
              <w:t>Diploderma splendidum）</w:t>
            </w:r>
            <w:r>
              <w:rPr>
                <w:rFonts w:hint="eastAsia"/>
                <w:szCs w:val="22"/>
              </w:rPr>
              <w:t>、康定滑蜥（</w:t>
            </w:r>
            <w:r>
              <w:rPr>
                <w:rFonts w:hint="eastAsia"/>
                <w:i/>
                <w:iCs/>
                <w:szCs w:val="22"/>
              </w:rPr>
              <w:t>Scincella potanini）</w:t>
            </w:r>
            <w:r>
              <w:rPr>
                <w:rFonts w:hint="eastAsia"/>
                <w:szCs w:val="22"/>
              </w:rPr>
              <w:t>、山滑蜥（</w:t>
            </w:r>
            <w:r>
              <w:rPr>
                <w:rFonts w:hint="eastAsia"/>
                <w:i/>
                <w:iCs/>
                <w:szCs w:val="22"/>
              </w:rPr>
              <w:t>Scincella monticola）</w:t>
            </w:r>
            <w:r>
              <w:rPr>
                <w:rFonts w:hint="eastAsia"/>
                <w:szCs w:val="22"/>
              </w:rPr>
              <w:t>等爬行动物，环颈雉（</w:t>
            </w:r>
            <w:r>
              <w:rPr>
                <w:rFonts w:hint="eastAsia"/>
                <w:i/>
                <w:iCs/>
                <w:szCs w:val="22"/>
              </w:rPr>
              <w:t>Phasianus colchicus）</w:t>
            </w:r>
            <w:r>
              <w:rPr>
                <w:rFonts w:hint="eastAsia"/>
                <w:szCs w:val="22"/>
              </w:rPr>
              <w:t>、喜鹊（</w:t>
            </w:r>
            <w:r>
              <w:rPr>
                <w:rFonts w:hint="eastAsia"/>
                <w:i/>
                <w:iCs/>
                <w:szCs w:val="22"/>
              </w:rPr>
              <w:t>Pica pica）</w:t>
            </w:r>
            <w:r>
              <w:rPr>
                <w:rFonts w:hint="eastAsia"/>
                <w:szCs w:val="22"/>
              </w:rPr>
              <w:t>、麻雀（</w:t>
            </w:r>
            <w:r>
              <w:rPr>
                <w:rFonts w:hint="eastAsia"/>
                <w:i/>
                <w:iCs/>
                <w:szCs w:val="22"/>
              </w:rPr>
              <w:t>Passer）</w:t>
            </w:r>
            <w:r>
              <w:rPr>
                <w:rFonts w:hint="eastAsia"/>
                <w:szCs w:val="22"/>
              </w:rPr>
              <w:t>、大嘴乌鸦（</w:t>
            </w:r>
            <w:r>
              <w:rPr>
                <w:rFonts w:hint="eastAsia"/>
                <w:i/>
                <w:iCs/>
                <w:szCs w:val="22"/>
              </w:rPr>
              <w:t>Corvus macrorhynchos）</w:t>
            </w:r>
            <w:r>
              <w:rPr>
                <w:rFonts w:hint="eastAsia"/>
                <w:szCs w:val="22"/>
              </w:rPr>
              <w:t>、褐冠山雀（</w:t>
            </w:r>
            <w:r>
              <w:rPr>
                <w:rFonts w:hint="eastAsia"/>
                <w:i/>
                <w:iCs/>
                <w:szCs w:val="22"/>
              </w:rPr>
              <w:t>Lophophanes dichrous）</w:t>
            </w:r>
            <w:r>
              <w:rPr>
                <w:rFonts w:hint="eastAsia"/>
                <w:szCs w:val="22"/>
              </w:rPr>
              <w:t>等鸟类，藏鼠兔（</w:t>
            </w:r>
            <w:r>
              <w:rPr>
                <w:rFonts w:hint="eastAsia"/>
                <w:i/>
                <w:iCs/>
                <w:szCs w:val="22"/>
              </w:rPr>
              <w:t>Ochotona thibetana）</w:t>
            </w:r>
            <w:r>
              <w:rPr>
                <w:rFonts w:hint="eastAsia"/>
                <w:szCs w:val="22"/>
              </w:rPr>
              <w:t>、高原兔（</w:t>
            </w:r>
            <w:r>
              <w:rPr>
                <w:rFonts w:hint="eastAsia"/>
                <w:i/>
                <w:iCs/>
                <w:szCs w:val="22"/>
              </w:rPr>
              <w:t>Lepus oiostolus）</w:t>
            </w:r>
            <w:r>
              <w:rPr>
                <w:rFonts w:hint="eastAsia"/>
                <w:szCs w:val="22"/>
              </w:rPr>
              <w:t>、大耳姬鼠（</w:t>
            </w:r>
            <w:r>
              <w:rPr>
                <w:rFonts w:hint="eastAsia"/>
                <w:i/>
                <w:iCs/>
                <w:szCs w:val="22"/>
              </w:rPr>
              <w:t>Apodemus latronum）</w:t>
            </w:r>
            <w:r>
              <w:rPr>
                <w:rFonts w:hint="eastAsia"/>
                <w:szCs w:val="22"/>
              </w:rPr>
              <w:t>、社鼠（</w:t>
            </w:r>
            <w:r>
              <w:rPr>
                <w:rFonts w:hint="eastAsia"/>
                <w:i/>
                <w:iCs/>
                <w:szCs w:val="22"/>
              </w:rPr>
              <w:t>Niviventer niviventer）</w:t>
            </w:r>
            <w:r>
              <w:rPr>
                <w:rFonts w:hint="eastAsia"/>
                <w:szCs w:val="22"/>
              </w:rPr>
              <w:t>、川西白腹鼠（</w:t>
            </w:r>
            <w:r>
              <w:rPr>
                <w:rFonts w:hint="eastAsia"/>
                <w:i/>
                <w:iCs/>
                <w:szCs w:val="22"/>
              </w:rPr>
              <w:t>Niviventer excelsior）</w:t>
            </w:r>
            <w:r>
              <w:rPr>
                <w:rFonts w:hint="eastAsia"/>
                <w:szCs w:val="22"/>
              </w:rPr>
              <w:t>等兽类。</w:t>
            </w:r>
          </w:p>
          <w:p w14:paraId="4AB45BC6">
            <w:pPr>
              <w:spacing w:line="360" w:lineRule="auto"/>
              <w:ind w:firstLine="480" w:firstLineChars="200"/>
            </w:pPr>
            <w:r>
              <w:rPr>
                <w:rFonts w:hint="eastAsia"/>
              </w:rPr>
              <w:t>本工程位于泸定县磨西镇，工程河段沿线两岸植被类型主要为耕地；工程河段位于集镇、农村地区，占地区植被类型主要为耕地和人工植被等。工程河段人类活动较剧烈，农耕较发达，无原始森林分布。林木主要以四旁竹林、果树为主，零星分布有柏木、杉木等，草本植物以莎草、豆科为主。现有林木多呈带状分布于山腰，或呈团状，农林交错。另外，工程区主要农作物有小麦、豌豆、胡豆、土豆、水稻、玉米、大豆、高粱、红苕等，经济作物有棉花、花生、油菜籽、烟叶、药材以及水果、板栗、核桃、花椒等，其植被覆盖能力随生长季节和轮作、间套种等栽培制度而异。</w:t>
            </w:r>
          </w:p>
          <w:p w14:paraId="04319D3D">
            <w:pPr>
              <w:pStyle w:val="106"/>
            </w:pPr>
            <w:r>
              <w:rPr>
                <w:rFonts w:hint="eastAsia"/>
              </w:rPr>
              <w:t>由于人为活动的影响，本项目区及临近周边陆域区域中，现状大型野生动物已难觅踪迹，陆域区位中常见野生动物主要为高原地区山地鸟类如麻雀、喜鹊、乌鸦等，以及农田生态系统中常见的社鼠和川西白腹鼠等啮齿类动物，</w:t>
            </w:r>
            <w:r>
              <w:rPr>
                <w:rFonts w:hint="eastAsia"/>
                <w:b/>
                <w:bCs/>
              </w:rPr>
              <w:t>项目区域暂未发现有野生动物的集中栖息或集中繁殖等敏感区域，暂未发现珍稀濒危物种和重点保护野生动物。</w:t>
            </w:r>
          </w:p>
          <w:p w14:paraId="7E69EC9F">
            <w:pPr>
              <w:pStyle w:val="106"/>
              <w:ind w:firstLine="482"/>
              <w:rPr>
                <w:b/>
                <w:bCs/>
              </w:rPr>
            </w:pPr>
            <w:r>
              <w:rPr>
                <w:rFonts w:hint="eastAsia"/>
                <w:b/>
                <w:bCs/>
              </w:rPr>
              <w:t>（3）水生生物现状</w:t>
            </w:r>
          </w:p>
          <w:p w14:paraId="40A78A32">
            <w:pPr>
              <w:spacing w:line="360" w:lineRule="auto"/>
              <w:ind w:firstLine="480" w:firstLineChars="200"/>
              <w:jc w:val="left"/>
            </w:pPr>
            <w:r>
              <w:rPr>
                <w:rFonts w:hint="eastAsia"/>
              </w:rPr>
              <w:t>2026年，建设单位委托四川博天瑞工程咨询有限公司编制《泸定县海螺沟山洪沟（共和村、柏秧坪村段）治理工程对水生生物影响及补救措施专题评价报告》，2026年3月，对工程影响水域进行了实地调查，实地调查在工程影响水域内共设置了3个采样断面，采样断面位置信息如下。</w:t>
            </w:r>
          </w:p>
          <w:p w14:paraId="766D7282">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2</w:t>
            </w:r>
            <w:r>
              <w:rPr>
                <w:rFonts w:cs="Times New Roman"/>
              </w:rPr>
              <w:fldChar w:fldCharType="end"/>
            </w:r>
            <w:r>
              <w:rPr>
                <w:rFonts w:hint="eastAsia" w:cs="Times New Roman"/>
              </w:rPr>
              <w:t xml:space="preserve">  水生生物调查采样点位置信息表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79"/>
              <w:gridCol w:w="1065"/>
              <w:gridCol w:w="3015"/>
              <w:gridCol w:w="1528"/>
              <w:gridCol w:w="1561"/>
              <w:gridCol w:w="1053"/>
            </w:tblGrid>
            <w:tr w14:paraId="575341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2" w:type="pct"/>
                  <w:tcBorders>
                    <w:tl2br w:val="nil"/>
                    <w:tr2bl w:val="nil"/>
                  </w:tcBorders>
                  <w:vAlign w:val="center"/>
                </w:tcPr>
                <w:p w14:paraId="5FCED6F7">
                  <w:pPr>
                    <w:snapToGrid w:val="0"/>
                    <w:jc w:val="center"/>
                    <w:rPr>
                      <w:rFonts w:eastAsia="宋"/>
                      <w:b/>
                      <w:bCs/>
                      <w:sz w:val="21"/>
                      <w:szCs w:val="21"/>
                    </w:rPr>
                  </w:pPr>
                  <w:r>
                    <w:rPr>
                      <w:rFonts w:hint="eastAsia" w:ascii="宋体" w:hAnsi="宋体" w:cs="宋体"/>
                      <w:b/>
                      <w:bCs/>
                      <w:sz w:val="21"/>
                      <w:szCs w:val="21"/>
                    </w:rPr>
                    <w:t>序</w:t>
                  </w:r>
                  <w:r>
                    <w:rPr>
                      <w:rFonts w:hint="eastAsia" w:eastAsia="宋"/>
                      <w:b/>
                      <w:bCs/>
                      <w:sz w:val="21"/>
                      <w:szCs w:val="21"/>
                    </w:rPr>
                    <w:t>号</w:t>
                  </w:r>
                </w:p>
              </w:tc>
              <w:tc>
                <w:tcPr>
                  <w:tcW w:w="591" w:type="pct"/>
                  <w:tcBorders>
                    <w:tl2br w:val="nil"/>
                    <w:tr2bl w:val="nil"/>
                  </w:tcBorders>
                  <w:vAlign w:val="center"/>
                </w:tcPr>
                <w:p w14:paraId="1D19B7BF">
                  <w:pPr>
                    <w:snapToGrid w:val="0"/>
                    <w:jc w:val="center"/>
                    <w:rPr>
                      <w:rFonts w:eastAsia="宋"/>
                      <w:b/>
                      <w:bCs/>
                      <w:sz w:val="21"/>
                      <w:szCs w:val="21"/>
                    </w:rPr>
                  </w:pPr>
                  <w:r>
                    <w:rPr>
                      <w:rFonts w:hint="eastAsia" w:eastAsia="宋"/>
                      <w:b/>
                      <w:bCs/>
                      <w:sz w:val="21"/>
                      <w:szCs w:val="21"/>
                    </w:rPr>
                    <w:t>河流名称</w:t>
                  </w:r>
                </w:p>
              </w:tc>
              <w:tc>
                <w:tcPr>
                  <w:tcW w:w="1674" w:type="pct"/>
                  <w:tcBorders>
                    <w:tl2br w:val="nil"/>
                    <w:tr2bl w:val="nil"/>
                  </w:tcBorders>
                  <w:vAlign w:val="center"/>
                </w:tcPr>
                <w:p w14:paraId="7EAAD115">
                  <w:pPr>
                    <w:snapToGrid w:val="0"/>
                    <w:jc w:val="center"/>
                    <w:rPr>
                      <w:rFonts w:eastAsia="宋"/>
                      <w:b/>
                      <w:bCs/>
                      <w:sz w:val="21"/>
                      <w:szCs w:val="21"/>
                    </w:rPr>
                  </w:pPr>
                  <w:r>
                    <w:rPr>
                      <w:rFonts w:hint="eastAsia" w:ascii="宋体" w:hAnsi="宋体" w:cs="宋体"/>
                      <w:b/>
                      <w:bCs/>
                      <w:sz w:val="21"/>
                      <w:szCs w:val="21"/>
                    </w:rPr>
                    <w:t>采</w:t>
                  </w:r>
                  <w:r>
                    <w:rPr>
                      <w:rFonts w:hint="eastAsia" w:eastAsia="宋"/>
                      <w:b/>
                      <w:bCs/>
                      <w:sz w:val="21"/>
                      <w:szCs w:val="21"/>
                    </w:rPr>
                    <w:t>样点位置</w:t>
                  </w:r>
                </w:p>
              </w:tc>
              <w:tc>
                <w:tcPr>
                  <w:tcW w:w="1716" w:type="pct"/>
                  <w:gridSpan w:val="2"/>
                  <w:tcBorders>
                    <w:tl2br w:val="nil"/>
                    <w:tr2bl w:val="nil"/>
                  </w:tcBorders>
                  <w:vAlign w:val="center"/>
                </w:tcPr>
                <w:p w14:paraId="7A240365">
                  <w:pPr>
                    <w:snapToGrid w:val="0"/>
                    <w:jc w:val="center"/>
                    <w:rPr>
                      <w:rFonts w:eastAsia="宋"/>
                      <w:b/>
                      <w:bCs/>
                      <w:sz w:val="21"/>
                      <w:szCs w:val="21"/>
                    </w:rPr>
                  </w:pPr>
                  <w:r>
                    <w:rPr>
                      <w:rFonts w:hint="eastAsia" w:ascii="宋体" w:hAnsi="宋体" w:cs="宋体"/>
                      <w:b/>
                      <w:bCs/>
                      <w:sz w:val="21"/>
                      <w:szCs w:val="21"/>
                    </w:rPr>
                    <w:t>采</w:t>
                  </w:r>
                  <w:r>
                    <w:rPr>
                      <w:rFonts w:hint="eastAsia" w:eastAsia="宋"/>
                      <w:b/>
                      <w:bCs/>
                      <w:sz w:val="21"/>
                      <w:szCs w:val="21"/>
                    </w:rPr>
                    <w:t>样点坐标</w:t>
                  </w:r>
                </w:p>
              </w:tc>
              <w:tc>
                <w:tcPr>
                  <w:tcW w:w="585" w:type="pct"/>
                  <w:tcBorders>
                    <w:tl2br w:val="nil"/>
                    <w:tr2bl w:val="nil"/>
                  </w:tcBorders>
                  <w:vAlign w:val="center"/>
                </w:tcPr>
                <w:p w14:paraId="52A321C4">
                  <w:pPr>
                    <w:snapToGrid w:val="0"/>
                    <w:jc w:val="center"/>
                    <w:rPr>
                      <w:rFonts w:eastAsia="宋"/>
                      <w:b/>
                      <w:bCs/>
                      <w:sz w:val="21"/>
                      <w:szCs w:val="21"/>
                    </w:rPr>
                  </w:pPr>
                  <w:r>
                    <w:rPr>
                      <w:rFonts w:hint="eastAsia" w:eastAsia="宋"/>
                      <w:b/>
                      <w:bCs/>
                      <w:sz w:val="21"/>
                      <w:szCs w:val="21"/>
                    </w:rPr>
                    <w:t>海拔</w:t>
                  </w:r>
                </w:p>
              </w:tc>
            </w:tr>
            <w:tr w14:paraId="215F07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2" w:type="pct"/>
                  <w:tcBorders>
                    <w:tl2br w:val="nil"/>
                    <w:tr2bl w:val="nil"/>
                  </w:tcBorders>
                  <w:vAlign w:val="center"/>
                </w:tcPr>
                <w:p w14:paraId="3007C1C1">
                  <w:pPr>
                    <w:snapToGrid w:val="0"/>
                    <w:jc w:val="center"/>
                    <w:rPr>
                      <w:rFonts w:eastAsia="宋"/>
                      <w:sz w:val="21"/>
                      <w:szCs w:val="21"/>
                    </w:rPr>
                  </w:pPr>
                  <w:r>
                    <w:rPr>
                      <w:rFonts w:eastAsia="宋"/>
                      <w:sz w:val="21"/>
                      <w:szCs w:val="21"/>
                    </w:rPr>
                    <w:t>1</w:t>
                  </w:r>
                </w:p>
              </w:tc>
              <w:tc>
                <w:tcPr>
                  <w:tcW w:w="591" w:type="pct"/>
                  <w:vMerge w:val="restart"/>
                  <w:tcBorders>
                    <w:tl2br w:val="nil"/>
                    <w:tr2bl w:val="nil"/>
                  </w:tcBorders>
                  <w:vAlign w:val="center"/>
                </w:tcPr>
                <w:p w14:paraId="34A0CDAC">
                  <w:pPr>
                    <w:snapToGrid w:val="0"/>
                    <w:jc w:val="center"/>
                    <w:rPr>
                      <w:rFonts w:eastAsia="宋"/>
                      <w:sz w:val="21"/>
                      <w:szCs w:val="21"/>
                    </w:rPr>
                  </w:pPr>
                  <w:r>
                    <w:rPr>
                      <w:rFonts w:hint="eastAsia" w:eastAsia="宋"/>
                      <w:sz w:val="21"/>
                      <w:szCs w:val="21"/>
                    </w:rPr>
                    <w:t>海螺沟</w:t>
                  </w:r>
                </w:p>
              </w:tc>
              <w:tc>
                <w:tcPr>
                  <w:tcW w:w="1674" w:type="pct"/>
                  <w:tcBorders>
                    <w:tl2br w:val="nil"/>
                    <w:tr2bl w:val="nil"/>
                  </w:tcBorders>
                  <w:vAlign w:val="center"/>
                </w:tcPr>
                <w:p w14:paraId="17FF210B">
                  <w:pPr>
                    <w:snapToGrid w:val="0"/>
                    <w:jc w:val="center"/>
                    <w:rPr>
                      <w:rFonts w:eastAsia="宋"/>
                      <w:sz w:val="21"/>
                      <w:szCs w:val="21"/>
                    </w:rPr>
                  </w:pPr>
                  <w:r>
                    <w:rPr>
                      <w:rFonts w:hint="eastAsia" w:eastAsia="宋"/>
                      <w:sz w:val="21"/>
                      <w:szCs w:val="21"/>
                    </w:rPr>
                    <w:t>工程起点上游200m</w:t>
                  </w:r>
                </w:p>
              </w:tc>
              <w:tc>
                <w:tcPr>
                  <w:tcW w:w="849" w:type="pct"/>
                  <w:tcBorders>
                    <w:tl2br w:val="nil"/>
                    <w:tr2bl w:val="nil"/>
                  </w:tcBorders>
                  <w:vAlign w:val="center"/>
                </w:tcPr>
                <w:p w14:paraId="31A36981">
                  <w:pPr>
                    <w:snapToGrid w:val="0"/>
                    <w:jc w:val="center"/>
                    <w:rPr>
                      <w:rFonts w:eastAsia="宋"/>
                      <w:sz w:val="21"/>
                      <w:szCs w:val="21"/>
                    </w:rPr>
                  </w:pPr>
                  <w:r>
                    <w:rPr>
                      <w:rFonts w:hint="eastAsia"/>
                    </w:rPr>
                    <w:t>***</w:t>
                  </w:r>
                </w:p>
              </w:tc>
              <w:tc>
                <w:tcPr>
                  <w:tcW w:w="866" w:type="pct"/>
                  <w:tcBorders>
                    <w:tl2br w:val="nil"/>
                    <w:tr2bl w:val="nil"/>
                  </w:tcBorders>
                  <w:vAlign w:val="center"/>
                </w:tcPr>
                <w:p w14:paraId="651350C7">
                  <w:pPr>
                    <w:snapToGrid w:val="0"/>
                    <w:jc w:val="center"/>
                    <w:rPr>
                      <w:rFonts w:eastAsia="宋"/>
                      <w:sz w:val="21"/>
                      <w:szCs w:val="21"/>
                    </w:rPr>
                  </w:pPr>
                  <w:r>
                    <w:rPr>
                      <w:rFonts w:hint="eastAsia"/>
                    </w:rPr>
                    <w:t>***</w:t>
                  </w:r>
                </w:p>
              </w:tc>
              <w:tc>
                <w:tcPr>
                  <w:tcW w:w="585" w:type="pct"/>
                  <w:tcBorders>
                    <w:tl2br w:val="nil"/>
                    <w:tr2bl w:val="nil"/>
                  </w:tcBorders>
                  <w:vAlign w:val="center"/>
                </w:tcPr>
                <w:p w14:paraId="310ED71B">
                  <w:pPr>
                    <w:snapToGrid w:val="0"/>
                    <w:jc w:val="center"/>
                    <w:rPr>
                      <w:rFonts w:eastAsia="宋"/>
                      <w:sz w:val="21"/>
                      <w:szCs w:val="21"/>
                    </w:rPr>
                  </w:pPr>
                  <w:r>
                    <w:rPr>
                      <w:rFonts w:eastAsia="宋"/>
                      <w:sz w:val="21"/>
                      <w:szCs w:val="21"/>
                    </w:rPr>
                    <w:t>1673m</w:t>
                  </w:r>
                </w:p>
              </w:tc>
            </w:tr>
            <w:tr w14:paraId="7F83CC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2" w:type="pct"/>
                  <w:tcBorders>
                    <w:tl2br w:val="nil"/>
                    <w:tr2bl w:val="nil"/>
                  </w:tcBorders>
                  <w:vAlign w:val="center"/>
                </w:tcPr>
                <w:p w14:paraId="55AE4635">
                  <w:pPr>
                    <w:snapToGrid w:val="0"/>
                    <w:jc w:val="center"/>
                    <w:rPr>
                      <w:rFonts w:eastAsia="宋"/>
                      <w:sz w:val="21"/>
                      <w:szCs w:val="21"/>
                    </w:rPr>
                  </w:pPr>
                  <w:r>
                    <w:rPr>
                      <w:rFonts w:eastAsia="宋"/>
                      <w:sz w:val="21"/>
                      <w:szCs w:val="21"/>
                    </w:rPr>
                    <w:t>2</w:t>
                  </w:r>
                </w:p>
              </w:tc>
              <w:tc>
                <w:tcPr>
                  <w:tcW w:w="591" w:type="pct"/>
                  <w:vMerge w:val="continue"/>
                  <w:tcBorders>
                    <w:tl2br w:val="nil"/>
                    <w:tr2bl w:val="nil"/>
                  </w:tcBorders>
                  <w:vAlign w:val="center"/>
                </w:tcPr>
                <w:p w14:paraId="19C84143">
                  <w:pPr>
                    <w:snapToGrid w:val="0"/>
                    <w:jc w:val="center"/>
                    <w:rPr>
                      <w:rFonts w:eastAsia="宋"/>
                      <w:sz w:val="21"/>
                      <w:szCs w:val="21"/>
                    </w:rPr>
                  </w:pPr>
                </w:p>
              </w:tc>
              <w:tc>
                <w:tcPr>
                  <w:tcW w:w="1674" w:type="pct"/>
                  <w:tcBorders>
                    <w:tl2br w:val="nil"/>
                    <w:tr2bl w:val="nil"/>
                  </w:tcBorders>
                  <w:vAlign w:val="center"/>
                </w:tcPr>
                <w:p w14:paraId="327C714C">
                  <w:pPr>
                    <w:snapToGrid w:val="0"/>
                    <w:jc w:val="center"/>
                    <w:rPr>
                      <w:rFonts w:eastAsia="宋"/>
                      <w:sz w:val="21"/>
                      <w:szCs w:val="21"/>
                    </w:rPr>
                  </w:pPr>
                  <w:r>
                    <w:rPr>
                      <w:rFonts w:hint="eastAsia" w:eastAsia="宋"/>
                      <w:sz w:val="21"/>
                      <w:szCs w:val="21"/>
                    </w:rPr>
                    <w:t>共和电站拦河坝（工程终点）</w:t>
                  </w:r>
                </w:p>
              </w:tc>
              <w:tc>
                <w:tcPr>
                  <w:tcW w:w="849" w:type="pct"/>
                  <w:tcBorders>
                    <w:tl2br w:val="nil"/>
                    <w:tr2bl w:val="nil"/>
                  </w:tcBorders>
                  <w:vAlign w:val="center"/>
                </w:tcPr>
                <w:p w14:paraId="6B132ECC">
                  <w:pPr>
                    <w:snapToGrid w:val="0"/>
                    <w:jc w:val="center"/>
                    <w:rPr>
                      <w:rFonts w:eastAsia="宋"/>
                      <w:sz w:val="21"/>
                      <w:szCs w:val="21"/>
                    </w:rPr>
                  </w:pPr>
                  <w:r>
                    <w:rPr>
                      <w:rFonts w:hint="eastAsia"/>
                    </w:rPr>
                    <w:t>***</w:t>
                  </w:r>
                </w:p>
              </w:tc>
              <w:tc>
                <w:tcPr>
                  <w:tcW w:w="866" w:type="pct"/>
                  <w:tcBorders>
                    <w:tl2br w:val="nil"/>
                    <w:tr2bl w:val="nil"/>
                  </w:tcBorders>
                  <w:vAlign w:val="center"/>
                </w:tcPr>
                <w:p w14:paraId="59F73F2B">
                  <w:pPr>
                    <w:snapToGrid w:val="0"/>
                    <w:jc w:val="center"/>
                    <w:rPr>
                      <w:rFonts w:eastAsia="宋"/>
                      <w:sz w:val="21"/>
                      <w:szCs w:val="21"/>
                    </w:rPr>
                  </w:pPr>
                  <w:r>
                    <w:rPr>
                      <w:rFonts w:hint="eastAsia"/>
                    </w:rPr>
                    <w:t>***</w:t>
                  </w:r>
                </w:p>
              </w:tc>
              <w:tc>
                <w:tcPr>
                  <w:tcW w:w="585" w:type="pct"/>
                  <w:tcBorders>
                    <w:tl2br w:val="nil"/>
                    <w:tr2bl w:val="nil"/>
                  </w:tcBorders>
                  <w:vAlign w:val="center"/>
                </w:tcPr>
                <w:p w14:paraId="7D3F4695">
                  <w:pPr>
                    <w:snapToGrid w:val="0"/>
                    <w:jc w:val="center"/>
                    <w:rPr>
                      <w:rFonts w:eastAsia="宋"/>
                      <w:sz w:val="21"/>
                      <w:szCs w:val="21"/>
                    </w:rPr>
                  </w:pPr>
                  <w:r>
                    <w:rPr>
                      <w:rFonts w:eastAsia="宋"/>
                      <w:sz w:val="21"/>
                      <w:szCs w:val="21"/>
                    </w:rPr>
                    <w:t>1615m</w:t>
                  </w:r>
                </w:p>
              </w:tc>
            </w:tr>
            <w:tr w14:paraId="66E0B1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2" w:type="pct"/>
                  <w:tcBorders>
                    <w:tl2br w:val="nil"/>
                    <w:tr2bl w:val="nil"/>
                  </w:tcBorders>
                  <w:vAlign w:val="center"/>
                </w:tcPr>
                <w:p w14:paraId="7E585650">
                  <w:pPr>
                    <w:snapToGrid w:val="0"/>
                    <w:jc w:val="center"/>
                    <w:rPr>
                      <w:rFonts w:eastAsia="宋"/>
                      <w:sz w:val="21"/>
                      <w:szCs w:val="21"/>
                    </w:rPr>
                  </w:pPr>
                  <w:r>
                    <w:rPr>
                      <w:rFonts w:eastAsia="宋"/>
                      <w:sz w:val="21"/>
                      <w:szCs w:val="21"/>
                    </w:rPr>
                    <w:t>3</w:t>
                  </w:r>
                </w:p>
              </w:tc>
              <w:tc>
                <w:tcPr>
                  <w:tcW w:w="591" w:type="pct"/>
                  <w:vMerge w:val="continue"/>
                  <w:tcBorders>
                    <w:tl2br w:val="nil"/>
                    <w:tr2bl w:val="nil"/>
                  </w:tcBorders>
                  <w:vAlign w:val="center"/>
                </w:tcPr>
                <w:p w14:paraId="1DF43546">
                  <w:pPr>
                    <w:snapToGrid w:val="0"/>
                    <w:jc w:val="center"/>
                    <w:rPr>
                      <w:rFonts w:eastAsia="宋"/>
                      <w:sz w:val="21"/>
                      <w:szCs w:val="21"/>
                    </w:rPr>
                  </w:pPr>
                </w:p>
              </w:tc>
              <w:tc>
                <w:tcPr>
                  <w:tcW w:w="1674" w:type="pct"/>
                  <w:tcBorders>
                    <w:tl2br w:val="nil"/>
                    <w:tr2bl w:val="nil"/>
                  </w:tcBorders>
                  <w:vAlign w:val="center"/>
                </w:tcPr>
                <w:p w14:paraId="3CAC7BCC">
                  <w:pPr>
                    <w:snapToGrid w:val="0"/>
                    <w:jc w:val="center"/>
                    <w:rPr>
                      <w:rFonts w:eastAsia="宋"/>
                      <w:sz w:val="21"/>
                      <w:szCs w:val="21"/>
                    </w:rPr>
                  </w:pPr>
                  <w:r>
                    <w:rPr>
                      <w:rFonts w:hint="eastAsia" w:eastAsia="宋"/>
                      <w:sz w:val="21"/>
                      <w:szCs w:val="21"/>
                    </w:rPr>
                    <w:t>黄崩流沟-海螺沟汇口</w:t>
                  </w:r>
                </w:p>
              </w:tc>
              <w:tc>
                <w:tcPr>
                  <w:tcW w:w="849" w:type="pct"/>
                  <w:tcBorders>
                    <w:tl2br w:val="nil"/>
                    <w:tr2bl w:val="nil"/>
                  </w:tcBorders>
                  <w:vAlign w:val="center"/>
                </w:tcPr>
                <w:p w14:paraId="401611E2">
                  <w:pPr>
                    <w:snapToGrid w:val="0"/>
                    <w:jc w:val="center"/>
                    <w:rPr>
                      <w:rFonts w:eastAsia="宋"/>
                      <w:sz w:val="21"/>
                      <w:szCs w:val="21"/>
                    </w:rPr>
                  </w:pPr>
                  <w:r>
                    <w:rPr>
                      <w:rFonts w:hint="eastAsia"/>
                    </w:rPr>
                    <w:t>***</w:t>
                  </w:r>
                </w:p>
              </w:tc>
              <w:tc>
                <w:tcPr>
                  <w:tcW w:w="866" w:type="pct"/>
                  <w:tcBorders>
                    <w:tl2br w:val="nil"/>
                    <w:tr2bl w:val="nil"/>
                  </w:tcBorders>
                  <w:vAlign w:val="center"/>
                </w:tcPr>
                <w:p w14:paraId="29B8DD99">
                  <w:pPr>
                    <w:snapToGrid w:val="0"/>
                    <w:jc w:val="center"/>
                    <w:rPr>
                      <w:rFonts w:eastAsia="宋"/>
                      <w:sz w:val="21"/>
                      <w:szCs w:val="21"/>
                    </w:rPr>
                  </w:pPr>
                  <w:r>
                    <w:rPr>
                      <w:rFonts w:hint="eastAsia"/>
                    </w:rPr>
                    <w:t>***</w:t>
                  </w:r>
                </w:p>
              </w:tc>
              <w:tc>
                <w:tcPr>
                  <w:tcW w:w="585" w:type="pct"/>
                  <w:tcBorders>
                    <w:tl2br w:val="nil"/>
                    <w:tr2bl w:val="nil"/>
                  </w:tcBorders>
                  <w:vAlign w:val="center"/>
                </w:tcPr>
                <w:p w14:paraId="341A0FE6">
                  <w:pPr>
                    <w:snapToGrid w:val="0"/>
                    <w:jc w:val="center"/>
                    <w:rPr>
                      <w:rFonts w:eastAsia="宋"/>
                      <w:sz w:val="21"/>
                      <w:szCs w:val="21"/>
                    </w:rPr>
                  </w:pPr>
                  <w:r>
                    <w:rPr>
                      <w:rFonts w:eastAsia="宋"/>
                      <w:sz w:val="21"/>
                      <w:szCs w:val="21"/>
                    </w:rPr>
                    <w:t>1547m</w:t>
                  </w:r>
                </w:p>
              </w:tc>
            </w:tr>
          </w:tbl>
          <w:p w14:paraId="5828A4A5">
            <w:pPr>
              <w:spacing w:line="360" w:lineRule="auto"/>
              <w:ind w:firstLine="480" w:firstLineChars="200"/>
              <w:jc w:val="left"/>
            </w:pPr>
            <w:r>
              <w:rPr>
                <w:rFonts w:hint="eastAsia"/>
              </w:rPr>
              <w:t>本环评水生生态现状引用《泸定县海螺沟山洪沟（共和村、柏秧坪村段）治理工程对水生生物影响及补救措施专题评价报告》的调查成果，具体如下。</w:t>
            </w:r>
          </w:p>
          <w:p w14:paraId="2A4121B6">
            <w:pPr>
              <w:pStyle w:val="106"/>
            </w:pPr>
            <w:r>
              <w:rPr>
                <w:rFonts w:hint="eastAsia"/>
              </w:rPr>
              <w:t>根据现场调查结果，整体浮游生物种类及数量较少。共观测到浮游植物4门16科35种，平均密度为2519.90cells/L，平均生物量为0.0202mg/L。浮游动物4类12种（属），平均密度为19ind./L，平均生物量为0.0129mg/L。底栖动物1门1纲5科6种，平均密度为14ind./m²，平均生物量为2.25g/m²。着生藻类3门15科27种，平均密度为9.4×104cells/m²，平均生物量为0.52g/m²。评价河段浮游生物、底栖动物和着生藻类群落结构简单，现存量较低，上述特征与高海拔地区水生生态系统的典型状况相适宜。</w:t>
            </w:r>
          </w:p>
          <w:p w14:paraId="1FB71FCE">
            <w:pPr>
              <w:pStyle w:val="106"/>
            </w:pPr>
            <w:r>
              <w:rPr>
                <w:rFonts w:hint="eastAsia"/>
              </w:rPr>
              <w:t>本次调查在工程影响河段未采集到鱼类。本工程影响河段坡降大，水流湍急，河底多乱石，且在河流下段和上段由于有多处较大的跌水河段分布，阻碍了下游河口分布的鱼类上溯到工程影响河段中。该河段洪水大、泥石流严重而频繁，丰水期泥沙含量大，不适合鱼类生存，另外，该河段温泉多且泉水硫酸盐含量较高。上述人类活动或自然条件等因素导致该流域不能为鱼类等创造良好的生存环境。</w:t>
            </w:r>
          </w:p>
          <w:p w14:paraId="4F4BEFC3">
            <w:pPr>
              <w:pStyle w:val="106"/>
            </w:pPr>
            <w:r>
              <w:rPr>
                <w:rFonts w:hint="eastAsia"/>
              </w:rPr>
              <w:t>①浮游植物</w:t>
            </w:r>
          </w:p>
          <w:p w14:paraId="2F39E215">
            <w:pPr>
              <w:pStyle w:val="106"/>
            </w:pPr>
            <w:r>
              <w:rPr>
                <w:rFonts w:hint="eastAsia"/>
              </w:rPr>
              <w:t>根据相关资料结合现场采样调查的结果，调查范围内浮游植物共包括蓝藻门、硅藻门、绿藻门和裸藻门共计4门16科35种（含种、变种及部分未定种的属）。其中硅藻门浮游植物种类数最多，有27种，占比77.14%；其次是绿藻门5种，占比14.29%；蓝藻门2种，占比5.71%；裸藻门1种，占比2.86%。</w:t>
            </w:r>
          </w:p>
          <w:p w14:paraId="2D12FD73">
            <w:pPr>
              <w:pStyle w:val="106"/>
            </w:pPr>
            <w:r>
              <w:rPr>
                <w:rFonts w:hint="eastAsia"/>
              </w:rPr>
              <w:t>②浮游动物</w:t>
            </w:r>
          </w:p>
          <w:p w14:paraId="4C91F58D">
            <w:pPr>
              <w:pStyle w:val="106"/>
            </w:pPr>
            <w:r>
              <w:rPr>
                <w:rFonts w:hint="eastAsia"/>
              </w:rPr>
              <w:t>根据相关资料结合现场调查，调查范围内浮游动物共包括原生动物、轮虫和枝角类3类12种（属）。其中原生动物10种，占整个浮游动物群落的83.34%；轮虫和枝角类各1种，各占整个浮游动物群落的8.33%。</w:t>
            </w:r>
          </w:p>
          <w:p w14:paraId="795B75BF">
            <w:pPr>
              <w:pStyle w:val="106"/>
            </w:pPr>
            <w:r>
              <w:rPr>
                <w:rFonts w:hint="eastAsia"/>
              </w:rPr>
              <w:t>③底栖动物</w:t>
            </w:r>
          </w:p>
          <w:p w14:paraId="44C1198C">
            <w:pPr>
              <w:pStyle w:val="106"/>
            </w:pPr>
            <w:r>
              <w:rPr>
                <w:rFonts w:hint="eastAsia"/>
              </w:rPr>
              <w:t>根据相关资料结合现场调查，调查区河段共收集到栖动物1门1纲5科6种，全为水生昆虫或幼虫，未发现其他底栖动物。蜉蝣目的四节蜉、扁蜉，毛翅目纹石蚕等最为常见，各采样点均有出现；特别是四节蜉数量较多。评价区分布的底栖动物依赖高溶氧、流动水体，主要分布在上游急流与下游汇口，采样点2为缓流库区分布较少。</w:t>
            </w:r>
          </w:p>
          <w:p w14:paraId="34984793">
            <w:pPr>
              <w:pStyle w:val="106"/>
            </w:pPr>
            <w:r>
              <w:rPr>
                <w:rFonts w:hint="eastAsia"/>
              </w:rPr>
              <w:t>④着生藻类</w:t>
            </w:r>
          </w:p>
          <w:p w14:paraId="50FE984F">
            <w:pPr>
              <w:pStyle w:val="106"/>
            </w:pPr>
            <w:r>
              <w:rPr>
                <w:rFonts w:hint="eastAsia"/>
              </w:rPr>
              <w:t>根据相关资料结合现场采样调查的结果，调查范围内着生藻类共包括蓝藻门、硅藻门和绿藻门共计3门15科27种（含种及部分未定种的属）。其中硅藻门着生藻类种类数最多，有18种，占比66.67%；其次是绿藻门6种，占比22.22%；蓝藻门3种，占比11.11%。</w:t>
            </w:r>
          </w:p>
          <w:p w14:paraId="45E86651">
            <w:pPr>
              <w:pStyle w:val="12"/>
              <w:spacing w:before="156" w:beforeLines="50" w:after="0" w:line="360" w:lineRule="auto"/>
              <w:ind w:left="0" w:leftChars="0" w:firstLine="480" w:firstLineChars="200"/>
            </w:pPr>
            <w:r>
              <w:rPr>
                <w:rFonts w:hint="eastAsia"/>
              </w:rPr>
              <w:t>由于泥石流等自然灾害以及河道内多个电站拦截等影响，工程评价范围内无鱼类分布，也无大型规模化鱼类“三场”分布。</w:t>
            </w:r>
          </w:p>
          <w:p w14:paraId="7FAA1035">
            <w:pPr>
              <w:pStyle w:val="12"/>
              <w:spacing w:after="0" w:line="360" w:lineRule="auto"/>
              <w:ind w:left="0" w:leftChars="0" w:firstLine="482" w:firstLineChars="200"/>
            </w:pPr>
            <w:r>
              <w:rPr>
                <w:rFonts w:hint="eastAsia"/>
                <w:b/>
                <w:bCs/>
              </w:rPr>
              <w:t>综上，本项目施工沟段不涉及珍稀濒危保护野生鱼类及鱼类“三场”（越冬场、产卵场、索饵场）、洄游通道，不涉及珍稀水生植物等。</w:t>
            </w:r>
          </w:p>
          <w:p w14:paraId="3A3CB8D7">
            <w:pPr>
              <w:pStyle w:val="106"/>
              <w:ind w:firstLine="482"/>
              <w:rPr>
                <w:b/>
                <w:bCs/>
              </w:rPr>
            </w:pPr>
            <w:r>
              <w:rPr>
                <w:rFonts w:hint="eastAsia"/>
                <w:b/>
                <w:bCs/>
              </w:rPr>
              <w:t>4、项目水文环境现状</w:t>
            </w:r>
          </w:p>
          <w:p w14:paraId="468BE60C">
            <w:pPr>
              <w:pStyle w:val="106"/>
              <w:ind w:firstLine="482"/>
              <w:rPr>
                <w:b/>
                <w:bCs/>
              </w:rPr>
            </w:pPr>
            <w:r>
              <w:rPr>
                <w:rFonts w:hint="eastAsia"/>
                <w:b/>
                <w:bCs/>
              </w:rPr>
              <w:t>（1）水文</w:t>
            </w:r>
          </w:p>
          <w:p w14:paraId="00054151">
            <w:pPr>
              <w:pStyle w:val="106"/>
            </w:pPr>
            <w:r>
              <w:rPr>
                <w:rFonts w:hint="eastAsia"/>
              </w:rPr>
              <w:t>泸定县境内主要为大渡河水系，除大渡河外，尚有48条常年流水山溪注入大渡河，其流量较大的有雨洒河、加郡沟、兴隆沟、潘沟、五里沟、蚂蜂沟、湾东沟、磨西沟（楚河）、磨子沟、磨河沟、木角沟、羊圈沟、冷竹关沟等。其中流域面积大于100km²的有四条，分别为磨西沟、湾东沟、磨河沟、木角沟，与大渡河支流交汇的还有许多季节性溪流，构成全县水系格局，也是重要的地表水资源。</w:t>
            </w:r>
          </w:p>
          <w:p w14:paraId="64A76391">
            <w:pPr>
              <w:pStyle w:val="106"/>
            </w:pPr>
            <w:r>
              <w:rPr>
                <w:rFonts w:hint="eastAsia"/>
              </w:rPr>
              <w:t>海螺沟为燕子沟右岸支流，发源于贡嘎山，自北西向南东流经贡嘎山风景名胜区和贡嘎山自然保护区，至海螺沟低海拔冰川带处转由自西向东流经海螺沟冰川森林公园和贡嘎神汤后，于龚家河坝处注入燕子沟。海螺沟流域面积197km²，河长33.1km，平均比降104‰。其上游有贡嘎山风景名胜区和贡嘎山自然保护区，以及海螺沟冰川森林公园，有S211省道经过。流域地形起伏大，河谷狭窄，阶地漫滩不发育。河床两岸切割剧烈，高差悬殊，故河床比降大，多跌水，水流湍急，为典型的高山峡谷型河流。本次治理项目位于海螺沟下段，柏秧坪村境内，下游有共和电站取水口拦河坝，治理河道控制集水面积189km²，河道长度30.3km，河道平均比降111‰，20年一遇洪水流量为875m³/s，平均流速5.46～10.19m/s。</w:t>
            </w:r>
          </w:p>
          <w:p w14:paraId="04A392CA">
            <w:pPr>
              <w:pStyle w:val="106"/>
            </w:pPr>
            <w:r>
              <w:rPr>
                <w:rFonts w:hint="eastAsia"/>
              </w:rPr>
              <w:t>本项目为海螺沟冰川河防洪治理工程，通过项目的实施可完善海螺沟冰川河山洪灾害防御体系，提高其排洪能力。</w:t>
            </w:r>
          </w:p>
          <w:p w14:paraId="1242F9F2">
            <w:pPr>
              <w:pStyle w:val="106"/>
              <w:ind w:firstLine="482"/>
              <w:rPr>
                <w:b/>
                <w:bCs/>
              </w:rPr>
            </w:pPr>
            <w:r>
              <w:rPr>
                <w:rFonts w:hint="eastAsia"/>
                <w:b/>
                <w:bCs/>
              </w:rPr>
              <w:t>（2）径流</w:t>
            </w:r>
          </w:p>
          <w:p w14:paraId="2E7B72FC">
            <w:pPr>
              <w:pStyle w:val="106"/>
            </w:pPr>
            <w:r>
              <w:rPr>
                <w:rFonts w:hint="eastAsia"/>
              </w:rPr>
              <w:t>海螺沟径流特性主要体现为典型的冰川融水-降水-地下水混合补给型河流特征，径流变化受气候变化影响显著。在补给来源上，海螺沟冰川河由冰川融水（约占50.1%）、地下水（27.9%）和降水（18.2%）共同补给，属于混合型补给河流。在年内分配上，丰枯季节分明：6-9月湿季径流主要成分为冰川径流（62.3%）和降雨径流（22.7%）；枯季径流则以地下水（67.9%）和融雪径流（22.55%）为主，年内分配不均匀系数为 0.76。在年际变化上，近十余年来海螺沟冰川河年径流量呈单调上升趋势，年递增率为 0.93m³/s，其中夏季径流量增幅最为明显，这主要与冬春季节气温升高、春秋季降水量增加以及全年水面蒸发量显著减少有关。从径流峰值来看，目前正处于冰川径流峰值时期，但未来在气候变暖背景下将呈减少趋势。</w:t>
            </w:r>
          </w:p>
          <w:p w14:paraId="50F6FE9E">
            <w:pPr>
              <w:pStyle w:val="106"/>
            </w:pPr>
            <w:r>
              <w:rPr>
                <w:rFonts w:hint="eastAsia"/>
              </w:rPr>
              <w:t>工程河段无实测径流资料，根据工程位置和附近水文站布设及其资料情况，选用与冰川河相毗邻，水文气象及自然地理基本相似，河流均源出于贡嘎山北翼山脉的康定水文站为设计依据站。</w:t>
            </w:r>
          </w:p>
          <w:p w14:paraId="2E92E1C5">
            <w:pPr>
              <w:pStyle w:val="106"/>
            </w:pPr>
            <w:r>
              <w:rPr>
                <w:rFonts w:hint="eastAsia"/>
              </w:rPr>
              <w:t>根据康定水文站的年径流分析成果，采用积水面积比修正换算至工程河段，并经同一海拔换算的多年平均降水量修正，再固定加入补偿径流，由此，算出工程河段年径流成果，具体见下表。</w:t>
            </w:r>
          </w:p>
          <w:p w14:paraId="53EC0B65">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3</w:t>
            </w:r>
            <w:r>
              <w:rPr>
                <w:rFonts w:cs="Times New Roman"/>
              </w:rPr>
              <w:fldChar w:fldCharType="end"/>
            </w:r>
            <w:r>
              <w:rPr>
                <w:rFonts w:hint="eastAsia" w:cs="Times New Roman"/>
              </w:rPr>
              <w:t xml:space="preserve">  工程河段径流年内分配表</w:t>
            </w:r>
          </w:p>
          <w:tbl>
            <w:tblPr>
              <w:tblStyle w:val="49"/>
              <w:tblW w:w="5000" w:type="pct"/>
              <w:tblInd w:w="4"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1712"/>
              <w:gridCol w:w="1214"/>
              <w:gridCol w:w="1214"/>
              <w:gridCol w:w="1215"/>
              <w:gridCol w:w="1214"/>
              <w:gridCol w:w="1215"/>
              <w:gridCol w:w="1221"/>
            </w:tblGrid>
            <w:tr w14:paraId="43E65EE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42" w:type="dxa"/>
                  <w:vMerge w:val="restart"/>
                  <w:tcBorders>
                    <w:tl2br w:val="nil"/>
                    <w:tr2bl w:val="nil"/>
                  </w:tcBorders>
                  <w:vAlign w:val="center"/>
                </w:tcPr>
                <w:p w14:paraId="217E10D0">
                  <w:pPr>
                    <w:pStyle w:val="59"/>
                    <w:rPr>
                      <w:rFonts w:cs="Times New Roman"/>
                      <w:b/>
                      <w:bCs/>
                    </w:rPr>
                  </w:pPr>
                  <w:r>
                    <w:rPr>
                      <w:rFonts w:hint="eastAsia" w:cs="Times New Roman"/>
                      <w:b/>
                      <w:bCs/>
                    </w:rPr>
                    <w:t>项目时段</w:t>
                  </w:r>
                </w:p>
              </w:tc>
              <w:tc>
                <w:tcPr>
                  <w:tcW w:w="3283" w:type="dxa"/>
                  <w:gridSpan w:val="3"/>
                  <w:tcBorders>
                    <w:tl2br w:val="nil"/>
                    <w:tr2bl w:val="nil"/>
                  </w:tcBorders>
                  <w:vAlign w:val="center"/>
                </w:tcPr>
                <w:p w14:paraId="7C57BD59">
                  <w:pPr>
                    <w:pStyle w:val="59"/>
                    <w:rPr>
                      <w:rFonts w:cs="Times New Roman"/>
                      <w:b/>
                      <w:bCs/>
                    </w:rPr>
                  </w:pPr>
                  <w:r>
                    <w:rPr>
                      <w:rFonts w:hint="eastAsia" w:cs="Times New Roman"/>
                      <w:b/>
                      <w:bCs/>
                    </w:rPr>
                    <w:t>统计参数</w:t>
                  </w:r>
                </w:p>
              </w:tc>
              <w:tc>
                <w:tcPr>
                  <w:tcW w:w="3289" w:type="dxa"/>
                  <w:gridSpan w:val="3"/>
                  <w:tcBorders>
                    <w:tl2br w:val="nil"/>
                    <w:tr2bl w:val="nil"/>
                  </w:tcBorders>
                  <w:vAlign w:val="center"/>
                </w:tcPr>
                <w:p w14:paraId="4D07EB9A">
                  <w:pPr>
                    <w:pStyle w:val="59"/>
                    <w:rPr>
                      <w:rFonts w:cs="Times New Roman"/>
                      <w:b/>
                      <w:bCs/>
                    </w:rPr>
                  </w:pPr>
                  <w:r>
                    <w:rPr>
                      <w:rFonts w:hint="eastAsia" w:cs="Times New Roman"/>
                      <w:b/>
                      <w:bCs/>
                    </w:rPr>
                    <w:t>设计频率流量 Qp（m³/s）</w:t>
                  </w:r>
                </w:p>
              </w:tc>
            </w:tr>
            <w:tr w14:paraId="1868360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542" w:type="dxa"/>
                  <w:vMerge w:val="continue"/>
                  <w:tcBorders>
                    <w:tl2br w:val="nil"/>
                    <w:tr2bl w:val="nil"/>
                  </w:tcBorders>
                  <w:vAlign w:val="center"/>
                </w:tcPr>
                <w:p w14:paraId="77D42D64">
                  <w:pPr>
                    <w:pStyle w:val="59"/>
                    <w:rPr>
                      <w:rFonts w:cs="Times New Roman"/>
                      <w:b/>
                      <w:bCs/>
                    </w:rPr>
                  </w:pPr>
                </w:p>
              </w:tc>
              <w:tc>
                <w:tcPr>
                  <w:tcW w:w="1094" w:type="dxa"/>
                  <w:tcBorders>
                    <w:tl2br w:val="nil"/>
                    <w:tr2bl w:val="nil"/>
                  </w:tcBorders>
                  <w:vAlign w:val="center"/>
                </w:tcPr>
                <w:p w14:paraId="21DE553C">
                  <w:pPr>
                    <w:pStyle w:val="59"/>
                    <w:rPr>
                      <w:rFonts w:cs="Times New Roman"/>
                      <w:b/>
                      <w:bCs/>
                    </w:rPr>
                  </w:pPr>
                  <w:r>
                    <w:rPr>
                      <w:rFonts w:hint="eastAsia" w:cs="Times New Roman"/>
                      <w:b/>
                      <w:bCs/>
                    </w:rPr>
                    <w:t>均值</w:t>
                  </w:r>
                </w:p>
                <w:p w14:paraId="697894AB">
                  <w:pPr>
                    <w:pStyle w:val="59"/>
                    <w:rPr>
                      <w:rFonts w:cs="Times New Roman"/>
                      <w:b/>
                      <w:bCs/>
                    </w:rPr>
                  </w:pPr>
                  <w:r>
                    <w:rPr>
                      <w:rFonts w:hint="eastAsia" w:cs="Times New Roman"/>
                      <w:b/>
                      <w:bCs/>
                    </w:rPr>
                    <w:t>（m³/s）</w:t>
                  </w:r>
                </w:p>
              </w:tc>
              <w:tc>
                <w:tcPr>
                  <w:tcW w:w="1094" w:type="dxa"/>
                  <w:tcBorders>
                    <w:tl2br w:val="nil"/>
                    <w:tr2bl w:val="nil"/>
                  </w:tcBorders>
                  <w:vAlign w:val="center"/>
                </w:tcPr>
                <w:p w14:paraId="51EC54F6">
                  <w:pPr>
                    <w:pStyle w:val="59"/>
                    <w:rPr>
                      <w:rFonts w:cs="Times New Roman"/>
                      <w:b/>
                      <w:bCs/>
                    </w:rPr>
                  </w:pPr>
                  <w:r>
                    <w:rPr>
                      <w:rFonts w:cs="Times New Roman"/>
                      <w:b/>
                      <w:bCs/>
                    </w:rPr>
                    <w:t>Cv</w:t>
                  </w:r>
                </w:p>
              </w:tc>
              <w:tc>
                <w:tcPr>
                  <w:tcW w:w="1095" w:type="dxa"/>
                  <w:tcBorders>
                    <w:tl2br w:val="nil"/>
                    <w:tr2bl w:val="nil"/>
                  </w:tcBorders>
                  <w:vAlign w:val="center"/>
                </w:tcPr>
                <w:p w14:paraId="72845055">
                  <w:pPr>
                    <w:pStyle w:val="59"/>
                    <w:rPr>
                      <w:rFonts w:cs="Times New Roman"/>
                      <w:b/>
                      <w:bCs/>
                    </w:rPr>
                  </w:pPr>
                  <w:r>
                    <w:rPr>
                      <w:rFonts w:cs="Times New Roman"/>
                      <w:b/>
                      <w:bCs/>
                    </w:rPr>
                    <w:t>Cs/Cv</w:t>
                  </w:r>
                </w:p>
              </w:tc>
              <w:tc>
                <w:tcPr>
                  <w:tcW w:w="1094" w:type="dxa"/>
                  <w:tcBorders>
                    <w:tl2br w:val="nil"/>
                    <w:tr2bl w:val="nil"/>
                  </w:tcBorders>
                  <w:vAlign w:val="center"/>
                </w:tcPr>
                <w:p w14:paraId="590ACD74">
                  <w:pPr>
                    <w:pStyle w:val="59"/>
                    <w:rPr>
                      <w:rFonts w:cs="Times New Roman"/>
                      <w:b/>
                      <w:bCs/>
                    </w:rPr>
                  </w:pPr>
                  <w:r>
                    <w:rPr>
                      <w:rFonts w:cs="Times New Roman"/>
                      <w:b/>
                      <w:bCs/>
                    </w:rPr>
                    <w:t>10%</w:t>
                  </w:r>
                </w:p>
              </w:tc>
              <w:tc>
                <w:tcPr>
                  <w:tcW w:w="1095" w:type="dxa"/>
                  <w:tcBorders>
                    <w:tl2br w:val="nil"/>
                    <w:tr2bl w:val="nil"/>
                  </w:tcBorders>
                  <w:vAlign w:val="center"/>
                </w:tcPr>
                <w:p w14:paraId="0E78CFA8">
                  <w:pPr>
                    <w:pStyle w:val="59"/>
                    <w:rPr>
                      <w:rFonts w:cs="Times New Roman"/>
                      <w:b/>
                      <w:bCs/>
                    </w:rPr>
                  </w:pPr>
                  <w:r>
                    <w:rPr>
                      <w:rFonts w:cs="Times New Roman"/>
                      <w:b/>
                      <w:bCs/>
                    </w:rPr>
                    <w:t>50%</w:t>
                  </w:r>
                </w:p>
              </w:tc>
              <w:tc>
                <w:tcPr>
                  <w:tcW w:w="1100" w:type="dxa"/>
                  <w:tcBorders>
                    <w:tl2br w:val="nil"/>
                    <w:tr2bl w:val="nil"/>
                  </w:tcBorders>
                  <w:vAlign w:val="center"/>
                </w:tcPr>
                <w:p w14:paraId="4BC324D1">
                  <w:pPr>
                    <w:pStyle w:val="59"/>
                    <w:rPr>
                      <w:rFonts w:cs="Times New Roman"/>
                      <w:b/>
                      <w:bCs/>
                    </w:rPr>
                  </w:pPr>
                  <w:r>
                    <w:rPr>
                      <w:rFonts w:cs="Times New Roman"/>
                      <w:b/>
                      <w:bCs/>
                    </w:rPr>
                    <w:t>90%</w:t>
                  </w:r>
                </w:p>
              </w:tc>
            </w:tr>
            <w:tr w14:paraId="0DC5CFE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42" w:type="dxa"/>
                  <w:tcBorders>
                    <w:tl2br w:val="nil"/>
                    <w:tr2bl w:val="nil"/>
                  </w:tcBorders>
                  <w:vAlign w:val="center"/>
                </w:tcPr>
                <w:p w14:paraId="70ED64AF">
                  <w:pPr>
                    <w:pStyle w:val="59"/>
                    <w:rPr>
                      <w:rFonts w:cs="Times New Roman"/>
                    </w:rPr>
                  </w:pPr>
                  <w:r>
                    <w:rPr>
                      <w:rFonts w:hint="eastAsia" w:cs="Times New Roman"/>
                    </w:rPr>
                    <w:t>年（1~12月）</w:t>
                  </w:r>
                </w:p>
              </w:tc>
              <w:tc>
                <w:tcPr>
                  <w:tcW w:w="1094" w:type="dxa"/>
                  <w:tcBorders>
                    <w:tl2br w:val="nil"/>
                    <w:tr2bl w:val="nil"/>
                  </w:tcBorders>
                  <w:vAlign w:val="center"/>
                </w:tcPr>
                <w:p w14:paraId="5E3C8BFA">
                  <w:pPr>
                    <w:pStyle w:val="59"/>
                    <w:rPr>
                      <w:rFonts w:cs="Times New Roman"/>
                    </w:rPr>
                  </w:pPr>
                  <w:r>
                    <w:rPr>
                      <w:rFonts w:cs="Times New Roman"/>
                    </w:rPr>
                    <w:t>13.1</w:t>
                  </w:r>
                </w:p>
              </w:tc>
              <w:tc>
                <w:tcPr>
                  <w:tcW w:w="1094" w:type="dxa"/>
                  <w:tcBorders>
                    <w:tl2br w:val="nil"/>
                    <w:tr2bl w:val="nil"/>
                  </w:tcBorders>
                  <w:vAlign w:val="center"/>
                </w:tcPr>
                <w:p w14:paraId="53D2E025">
                  <w:pPr>
                    <w:pStyle w:val="59"/>
                    <w:rPr>
                      <w:rFonts w:cs="Times New Roman"/>
                    </w:rPr>
                  </w:pPr>
                  <w:r>
                    <w:rPr>
                      <w:rFonts w:cs="Times New Roman"/>
                    </w:rPr>
                    <w:t>0.17</w:t>
                  </w:r>
                </w:p>
              </w:tc>
              <w:tc>
                <w:tcPr>
                  <w:tcW w:w="1095" w:type="dxa"/>
                  <w:tcBorders>
                    <w:tl2br w:val="nil"/>
                    <w:tr2bl w:val="nil"/>
                  </w:tcBorders>
                  <w:vAlign w:val="center"/>
                </w:tcPr>
                <w:p w14:paraId="5BEDBB9D">
                  <w:pPr>
                    <w:pStyle w:val="59"/>
                    <w:rPr>
                      <w:rFonts w:cs="Times New Roman"/>
                    </w:rPr>
                  </w:pPr>
                  <w:r>
                    <w:rPr>
                      <w:rFonts w:cs="Times New Roman"/>
                    </w:rPr>
                    <w:t>2.0</w:t>
                  </w:r>
                </w:p>
              </w:tc>
              <w:tc>
                <w:tcPr>
                  <w:tcW w:w="1094" w:type="dxa"/>
                  <w:tcBorders>
                    <w:tl2br w:val="nil"/>
                    <w:tr2bl w:val="nil"/>
                  </w:tcBorders>
                  <w:vAlign w:val="center"/>
                </w:tcPr>
                <w:p w14:paraId="4A435D83">
                  <w:pPr>
                    <w:pStyle w:val="59"/>
                    <w:rPr>
                      <w:rFonts w:cs="Times New Roman"/>
                    </w:rPr>
                  </w:pPr>
                  <w:r>
                    <w:rPr>
                      <w:rFonts w:cs="Times New Roman"/>
                    </w:rPr>
                    <w:t>15.8</w:t>
                  </w:r>
                </w:p>
              </w:tc>
              <w:tc>
                <w:tcPr>
                  <w:tcW w:w="1095" w:type="dxa"/>
                  <w:tcBorders>
                    <w:tl2br w:val="nil"/>
                    <w:tr2bl w:val="nil"/>
                  </w:tcBorders>
                  <w:vAlign w:val="center"/>
                </w:tcPr>
                <w:p w14:paraId="15673E83">
                  <w:pPr>
                    <w:pStyle w:val="59"/>
                    <w:rPr>
                      <w:rFonts w:cs="Times New Roman"/>
                    </w:rPr>
                  </w:pPr>
                  <w:r>
                    <w:rPr>
                      <w:rFonts w:cs="Times New Roman"/>
                    </w:rPr>
                    <w:t>13.0</w:t>
                  </w:r>
                </w:p>
              </w:tc>
              <w:tc>
                <w:tcPr>
                  <w:tcW w:w="1100" w:type="dxa"/>
                  <w:tcBorders>
                    <w:tl2br w:val="nil"/>
                    <w:tr2bl w:val="nil"/>
                  </w:tcBorders>
                  <w:vAlign w:val="center"/>
                </w:tcPr>
                <w:p w14:paraId="34D5EBDA">
                  <w:pPr>
                    <w:pStyle w:val="59"/>
                    <w:rPr>
                      <w:rFonts w:cs="Times New Roman"/>
                    </w:rPr>
                  </w:pPr>
                  <w:r>
                    <w:rPr>
                      <w:rFonts w:cs="Times New Roman"/>
                    </w:rPr>
                    <w:t>10.5</w:t>
                  </w:r>
                </w:p>
              </w:tc>
            </w:tr>
            <w:tr w14:paraId="546A4E7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42" w:type="dxa"/>
                  <w:tcBorders>
                    <w:tl2br w:val="nil"/>
                    <w:tr2bl w:val="nil"/>
                  </w:tcBorders>
                  <w:vAlign w:val="center"/>
                </w:tcPr>
                <w:p w14:paraId="78C4C1BA">
                  <w:pPr>
                    <w:pStyle w:val="59"/>
                    <w:rPr>
                      <w:rFonts w:cs="Times New Roman"/>
                    </w:rPr>
                  </w:pPr>
                  <w:r>
                    <w:rPr>
                      <w:rFonts w:hint="eastAsia" w:cs="Times New Roman"/>
                    </w:rPr>
                    <w:t>12～次年4月</w:t>
                  </w:r>
                </w:p>
              </w:tc>
              <w:tc>
                <w:tcPr>
                  <w:tcW w:w="1094" w:type="dxa"/>
                  <w:tcBorders>
                    <w:tl2br w:val="nil"/>
                    <w:tr2bl w:val="nil"/>
                  </w:tcBorders>
                  <w:vAlign w:val="center"/>
                </w:tcPr>
                <w:p w14:paraId="2F48F85A">
                  <w:pPr>
                    <w:pStyle w:val="59"/>
                    <w:rPr>
                      <w:rFonts w:cs="Times New Roman"/>
                    </w:rPr>
                  </w:pPr>
                  <w:r>
                    <w:rPr>
                      <w:rFonts w:cs="Times New Roman"/>
                    </w:rPr>
                    <w:t>6.10</w:t>
                  </w:r>
                </w:p>
              </w:tc>
              <w:tc>
                <w:tcPr>
                  <w:tcW w:w="1094" w:type="dxa"/>
                  <w:tcBorders>
                    <w:tl2br w:val="nil"/>
                    <w:tr2bl w:val="nil"/>
                  </w:tcBorders>
                  <w:vAlign w:val="center"/>
                </w:tcPr>
                <w:p w14:paraId="1D6C713C">
                  <w:pPr>
                    <w:pStyle w:val="59"/>
                    <w:rPr>
                      <w:rFonts w:cs="Times New Roman"/>
                    </w:rPr>
                  </w:pPr>
                  <w:r>
                    <w:rPr>
                      <w:rFonts w:cs="Times New Roman"/>
                    </w:rPr>
                    <w:t>0.17</w:t>
                  </w:r>
                </w:p>
              </w:tc>
              <w:tc>
                <w:tcPr>
                  <w:tcW w:w="1095" w:type="dxa"/>
                  <w:tcBorders>
                    <w:tl2br w:val="nil"/>
                    <w:tr2bl w:val="nil"/>
                  </w:tcBorders>
                  <w:vAlign w:val="center"/>
                </w:tcPr>
                <w:p w14:paraId="6440CAC9">
                  <w:pPr>
                    <w:pStyle w:val="59"/>
                    <w:rPr>
                      <w:rFonts w:cs="Times New Roman"/>
                    </w:rPr>
                  </w:pPr>
                  <w:r>
                    <w:rPr>
                      <w:rFonts w:cs="Times New Roman"/>
                    </w:rPr>
                    <w:t>2.5</w:t>
                  </w:r>
                </w:p>
              </w:tc>
              <w:tc>
                <w:tcPr>
                  <w:tcW w:w="1094" w:type="dxa"/>
                  <w:tcBorders>
                    <w:tl2br w:val="nil"/>
                    <w:tr2bl w:val="nil"/>
                  </w:tcBorders>
                  <w:vAlign w:val="center"/>
                </w:tcPr>
                <w:p w14:paraId="24B05F82">
                  <w:pPr>
                    <w:pStyle w:val="59"/>
                    <w:rPr>
                      <w:rFonts w:cs="Times New Roman"/>
                    </w:rPr>
                  </w:pPr>
                  <w:r>
                    <w:rPr>
                      <w:rFonts w:cs="Times New Roman"/>
                    </w:rPr>
                    <w:t>7.23</w:t>
                  </w:r>
                </w:p>
              </w:tc>
              <w:tc>
                <w:tcPr>
                  <w:tcW w:w="1095" w:type="dxa"/>
                  <w:tcBorders>
                    <w:tl2br w:val="nil"/>
                    <w:tr2bl w:val="nil"/>
                  </w:tcBorders>
                  <w:vAlign w:val="center"/>
                </w:tcPr>
                <w:p w14:paraId="1D4CB394">
                  <w:pPr>
                    <w:pStyle w:val="59"/>
                    <w:rPr>
                      <w:rFonts w:cs="Times New Roman"/>
                    </w:rPr>
                  </w:pPr>
                  <w:r>
                    <w:rPr>
                      <w:rFonts w:cs="Times New Roman"/>
                    </w:rPr>
                    <w:t>6.04</w:t>
                  </w:r>
                </w:p>
              </w:tc>
              <w:tc>
                <w:tcPr>
                  <w:tcW w:w="1100" w:type="dxa"/>
                  <w:tcBorders>
                    <w:tl2br w:val="nil"/>
                    <w:tr2bl w:val="nil"/>
                  </w:tcBorders>
                  <w:vAlign w:val="center"/>
                </w:tcPr>
                <w:p w14:paraId="2291F4D5">
                  <w:pPr>
                    <w:pStyle w:val="59"/>
                    <w:rPr>
                      <w:rFonts w:cs="Times New Roman"/>
                    </w:rPr>
                  </w:pPr>
                  <w:r>
                    <w:rPr>
                      <w:rFonts w:cs="Times New Roman"/>
                    </w:rPr>
                    <w:t>5.08</w:t>
                  </w:r>
                </w:p>
              </w:tc>
            </w:tr>
            <w:tr w14:paraId="374D722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542" w:type="dxa"/>
                  <w:tcBorders>
                    <w:tl2br w:val="nil"/>
                    <w:tr2bl w:val="nil"/>
                  </w:tcBorders>
                  <w:vAlign w:val="center"/>
                </w:tcPr>
                <w:p w14:paraId="0D512930">
                  <w:pPr>
                    <w:pStyle w:val="59"/>
                    <w:rPr>
                      <w:rFonts w:cs="Times New Roman"/>
                    </w:rPr>
                  </w:pPr>
                  <w:r>
                    <w:rPr>
                      <w:rFonts w:hint="eastAsia" w:cs="Times New Roman"/>
                    </w:rPr>
                    <w:t>2~3月</w:t>
                  </w:r>
                </w:p>
              </w:tc>
              <w:tc>
                <w:tcPr>
                  <w:tcW w:w="1094" w:type="dxa"/>
                  <w:tcBorders>
                    <w:tl2br w:val="nil"/>
                    <w:tr2bl w:val="nil"/>
                  </w:tcBorders>
                  <w:vAlign w:val="center"/>
                </w:tcPr>
                <w:p w14:paraId="7DA5D6DF">
                  <w:pPr>
                    <w:pStyle w:val="59"/>
                    <w:rPr>
                      <w:rFonts w:cs="Times New Roman"/>
                    </w:rPr>
                  </w:pPr>
                  <w:r>
                    <w:rPr>
                      <w:rFonts w:cs="Times New Roman"/>
                    </w:rPr>
                    <w:t>5.47</w:t>
                  </w:r>
                </w:p>
              </w:tc>
              <w:tc>
                <w:tcPr>
                  <w:tcW w:w="1094" w:type="dxa"/>
                  <w:tcBorders>
                    <w:tl2br w:val="nil"/>
                    <w:tr2bl w:val="nil"/>
                  </w:tcBorders>
                  <w:vAlign w:val="center"/>
                </w:tcPr>
                <w:p w14:paraId="5E31314E">
                  <w:pPr>
                    <w:pStyle w:val="59"/>
                    <w:rPr>
                      <w:rFonts w:cs="Times New Roman"/>
                    </w:rPr>
                  </w:pPr>
                  <w:r>
                    <w:rPr>
                      <w:rFonts w:cs="Times New Roman"/>
                    </w:rPr>
                    <w:t>0.16</w:t>
                  </w:r>
                </w:p>
              </w:tc>
              <w:tc>
                <w:tcPr>
                  <w:tcW w:w="1095" w:type="dxa"/>
                  <w:tcBorders>
                    <w:tl2br w:val="nil"/>
                    <w:tr2bl w:val="nil"/>
                  </w:tcBorders>
                  <w:vAlign w:val="center"/>
                </w:tcPr>
                <w:p w14:paraId="203D66C3">
                  <w:pPr>
                    <w:pStyle w:val="59"/>
                    <w:rPr>
                      <w:rFonts w:cs="Times New Roman"/>
                    </w:rPr>
                  </w:pPr>
                  <w:r>
                    <w:rPr>
                      <w:rFonts w:cs="Times New Roman"/>
                    </w:rPr>
                    <w:t>2.5</w:t>
                  </w:r>
                </w:p>
              </w:tc>
              <w:tc>
                <w:tcPr>
                  <w:tcW w:w="1094" w:type="dxa"/>
                  <w:tcBorders>
                    <w:tl2br w:val="nil"/>
                    <w:tr2bl w:val="nil"/>
                  </w:tcBorders>
                  <w:vAlign w:val="center"/>
                </w:tcPr>
                <w:p w14:paraId="6E9C101E">
                  <w:pPr>
                    <w:pStyle w:val="59"/>
                    <w:rPr>
                      <w:rFonts w:cs="Times New Roman"/>
                    </w:rPr>
                  </w:pPr>
                  <w:r>
                    <w:rPr>
                      <w:rFonts w:cs="Times New Roman"/>
                    </w:rPr>
                    <w:t>6.41</w:t>
                  </w:r>
                </w:p>
              </w:tc>
              <w:tc>
                <w:tcPr>
                  <w:tcW w:w="1095" w:type="dxa"/>
                  <w:tcBorders>
                    <w:tl2br w:val="nil"/>
                    <w:tr2bl w:val="nil"/>
                  </w:tcBorders>
                  <w:vAlign w:val="center"/>
                </w:tcPr>
                <w:p w14:paraId="74234176">
                  <w:pPr>
                    <w:pStyle w:val="59"/>
                    <w:rPr>
                      <w:rFonts w:cs="Times New Roman"/>
                    </w:rPr>
                  </w:pPr>
                  <w:r>
                    <w:rPr>
                      <w:rFonts w:cs="Times New Roman"/>
                    </w:rPr>
                    <w:t>5.42</w:t>
                  </w:r>
                </w:p>
              </w:tc>
              <w:tc>
                <w:tcPr>
                  <w:tcW w:w="1100" w:type="dxa"/>
                  <w:tcBorders>
                    <w:tl2br w:val="nil"/>
                    <w:tr2bl w:val="nil"/>
                  </w:tcBorders>
                  <w:vAlign w:val="center"/>
                </w:tcPr>
                <w:p w14:paraId="079341BC">
                  <w:pPr>
                    <w:pStyle w:val="59"/>
                    <w:rPr>
                      <w:rFonts w:cs="Times New Roman"/>
                    </w:rPr>
                  </w:pPr>
                  <w:r>
                    <w:rPr>
                      <w:rFonts w:cs="Times New Roman"/>
                    </w:rPr>
                    <w:t>4.62</w:t>
                  </w:r>
                </w:p>
              </w:tc>
            </w:tr>
          </w:tbl>
          <w:p w14:paraId="31205BF8">
            <w:pPr>
              <w:pStyle w:val="106"/>
              <w:ind w:firstLine="482"/>
              <w:rPr>
                <w:b/>
                <w:bCs/>
              </w:rPr>
            </w:pPr>
            <w:r>
              <w:rPr>
                <w:rFonts w:hint="eastAsia"/>
                <w:b/>
                <w:bCs/>
              </w:rPr>
              <w:t>（3）洪水</w:t>
            </w:r>
          </w:p>
          <w:p w14:paraId="4174F5DC">
            <w:pPr>
              <w:pStyle w:val="106"/>
            </w:pPr>
            <w:r>
              <w:rPr>
                <w:rFonts w:hint="eastAsia"/>
              </w:rPr>
              <w:t>①洪水特性</w:t>
            </w:r>
          </w:p>
          <w:p w14:paraId="3F08DEAD">
            <w:pPr>
              <w:pStyle w:val="106"/>
            </w:pPr>
            <w:r>
              <w:rPr>
                <w:rFonts w:hint="eastAsia"/>
              </w:rPr>
              <w:t>海螺沟流域洪水主要由暴雨形成，并受冰川消融过程影响，具有典型的山区性河流洪水特征。根据对贡嘎山东坡海螺沟冰川河及黄崩溜沟的径流特征研究，由于大气降水是冰川河径流的重要补给来源，其径流量的季节变化明显带有大气降水过程的烙印，显得丰、枯分明；同时，在冰川河中，冰雪融水和地下水在枯水季节的稳定补给改变了大气降水对冰川河径流的年内分配过程。海螺沟冰川泥石流发育在现代冰川和积雪边缘地带，是由冰雪融水或冰湖溃决洪水冲蚀形成的含有大量泥沙石块的特殊洪流，其常发生在增温与融水集中的夏、秋季节，按引起水源可划分为冰雪融水型泥石流（由急剧增温、冰川强烈消融形成）、冰雪融水与降雨混合型泥石流（由降雨促进冰雪融化所形成）以及冰、雪崩消融型泥石流（由地震等引起的雪崩或冰崩消融所酿成）。历史上，海螺沟曾发生多次重大洪水泥石流灾害：2005年8月11日发生了超过100年一遇的特大泥石流灾害，灾害点多、面广，几乎同时暴发，主要原因是特大暴雨激发所致，当日降雨量超过88mm；2023年8月19日至20日，受“9·5”泸定地震影响，海螺沟区域地质环境脆弱，强降水极易发生山洪泥石流灾害，海螺沟站点24小时累计降雨量高达59.5毫米，导致磨西镇共和村、柏秧坪村内的山沟先后发生垮塌，后在暴雨冲刷下形成泥石流。受特殊地质地貌条件影响，海螺沟洪水往往与泥石流灾害相伴发生，具有突发性强、破坏力大、致灾迅速的特点，对沟口居民点、旅游设施及交通干线构成严重威胁。</w:t>
            </w:r>
          </w:p>
          <w:p w14:paraId="52535FF3">
            <w:pPr>
              <w:pStyle w:val="106"/>
            </w:pPr>
            <w:r>
              <w:rPr>
                <w:rFonts w:hint="eastAsia"/>
              </w:rPr>
              <w:t>②设计洪水</w:t>
            </w:r>
          </w:p>
          <w:p w14:paraId="6394C398">
            <w:pPr>
              <w:pStyle w:val="106"/>
              <w:ind w:firstLine="464"/>
            </w:pPr>
            <w:r>
              <w:rPr>
                <w:rFonts w:hint="eastAsia"/>
                <w:spacing w:val="-4"/>
              </w:rPr>
              <w:t>工程河段</w:t>
            </w:r>
            <w:r>
              <w:rPr>
                <w:rFonts w:hint="eastAsia"/>
                <w:spacing w:val="-3"/>
              </w:rPr>
              <w:t>与水文站的集水面积相差很大，同时流域相隔较远，流域内</w:t>
            </w:r>
            <w:r>
              <w:rPr>
                <w:rFonts w:hint="eastAsia"/>
                <w:spacing w:val="-1"/>
              </w:rPr>
              <w:t>植被、降雨、下垫面等情况相差大，导致水</w:t>
            </w:r>
            <w:r>
              <w:rPr>
                <w:rFonts w:hint="eastAsia"/>
                <w:spacing w:val="-2"/>
              </w:rPr>
              <w:t>文比拟法计算成果明显偏离实际值，故</w:t>
            </w:r>
            <w:r>
              <w:rPr>
                <w:rFonts w:hint="eastAsia"/>
              </w:rPr>
              <w:t>工程河段设计洪水采用推理公式法计算，采用《四川省暴雨统计参数图集》（2010）的暴雨等值线查算成果。根据工程河段临近项目，如二台沟治理工程、海螺沟景区道路灾后恢复重建工程K0+800弃土场行洪、海螺沟1号中桥行洪等项目计算洪水成果进行洪峰模数分析，成果见下表。</w:t>
            </w:r>
          </w:p>
          <w:p w14:paraId="5D2081A6">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4</w:t>
            </w:r>
            <w:r>
              <w:rPr>
                <w:rFonts w:cs="Times New Roman"/>
              </w:rPr>
              <w:fldChar w:fldCharType="end"/>
            </w:r>
            <w:r>
              <w:rPr>
                <w:rFonts w:hint="eastAsia" w:cs="Times New Roman"/>
              </w:rPr>
              <w:t xml:space="preserve">  设计洪水成果表</w:t>
            </w:r>
          </w:p>
          <w:tbl>
            <w:tblPr>
              <w:tblStyle w:val="49"/>
              <w:tblW w:w="5000" w:type="pct"/>
              <w:tblInd w:w="4"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657"/>
              <w:gridCol w:w="1629"/>
              <w:gridCol w:w="1297"/>
              <w:gridCol w:w="997"/>
              <w:gridCol w:w="890"/>
              <w:gridCol w:w="706"/>
              <w:gridCol w:w="706"/>
              <w:gridCol w:w="706"/>
              <w:gridCol w:w="706"/>
              <w:gridCol w:w="711"/>
            </w:tblGrid>
            <w:tr w14:paraId="03B605A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640" w:type="dxa"/>
                  <w:vMerge w:val="restart"/>
                  <w:tcBorders>
                    <w:tl2br w:val="nil"/>
                    <w:tr2bl w:val="nil"/>
                  </w:tcBorders>
                  <w:vAlign w:val="center"/>
                </w:tcPr>
                <w:p w14:paraId="431A9891">
                  <w:pPr>
                    <w:pStyle w:val="72"/>
                    <w:jc w:val="center"/>
                    <w:rPr>
                      <w:rFonts w:ascii="Times New Roman" w:hAnsi="Times New Roman" w:cs="Times New Roman"/>
                      <w:sz w:val="21"/>
                      <w:szCs w:val="21"/>
                      <w:lang w:eastAsia="zh-CN"/>
                    </w:rPr>
                  </w:pPr>
                  <w:r>
                    <w:rPr>
                      <w:rFonts w:hint="eastAsia" w:ascii="Times New Roman" w:hAnsi="Times New Roman" w:cs="Times New Roman"/>
                      <w:b/>
                      <w:bCs/>
                      <w:spacing w:val="-1"/>
                      <w:sz w:val="21"/>
                      <w:szCs w:val="21"/>
                      <w:lang w:eastAsia="zh-CN"/>
                    </w:rPr>
                    <w:t>序</w:t>
                  </w:r>
                  <w:r>
                    <w:rPr>
                      <w:rFonts w:hint="eastAsia" w:ascii="Times New Roman" w:hAnsi="Times New Roman" w:cs="Times New Roman"/>
                      <w:b/>
                      <w:bCs/>
                      <w:spacing w:val="-7"/>
                      <w:sz w:val="21"/>
                      <w:szCs w:val="21"/>
                      <w:lang w:eastAsia="zh-CN"/>
                    </w:rPr>
                    <w:t>号</w:t>
                  </w:r>
                </w:p>
              </w:tc>
              <w:tc>
                <w:tcPr>
                  <w:tcW w:w="1588" w:type="dxa"/>
                  <w:vMerge w:val="restart"/>
                  <w:tcBorders>
                    <w:tl2br w:val="nil"/>
                    <w:tr2bl w:val="nil"/>
                  </w:tcBorders>
                  <w:vAlign w:val="center"/>
                </w:tcPr>
                <w:p w14:paraId="6E5BD5A7">
                  <w:pPr>
                    <w:pStyle w:val="72"/>
                    <w:jc w:val="center"/>
                    <w:rPr>
                      <w:rFonts w:ascii="Times New Roman" w:hAnsi="Times New Roman" w:cs="Times New Roman"/>
                      <w:sz w:val="21"/>
                      <w:szCs w:val="21"/>
                      <w:lang w:eastAsia="zh-CN"/>
                    </w:rPr>
                  </w:pPr>
                  <w:r>
                    <w:rPr>
                      <w:rFonts w:hint="eastAsia" w:ascii="Times New Roman" w:hAnsi="Times New Roman" w:cs="Times New Roman"/>
                      <w:b/>
                      <w:bCs/>
                      <w:spacing w:val="5"/>
                      <w:sz w:val="21"/>
                      <w:szCs w:val="21"/>
                      <w:lang w:eastAsia="zh-CN"/>
                    </w:rPr>
                    <w:t>项目名称</w:t>
                  </w:r>
                </w:p>
              </w:tc>
              <w:tc>
                <w:tcPr>
                  <w:tcW w:w="1265" w:type="dxa"/>
                  <w:vMerge w:val="restart"/>
                  <w:tcBorders>
                    <w:tl2br w:val="nil"/>
                    <w:tr2bl w:val="nil"/>
                  </w:tcBorders>
                  <w:vAlign w:val="center"/>
                </w:tcPr>
                <w:p w14:paraId="542065D9">
                  <w:pPr>
                    <w:pStyle w:val="72"/>
                    <w:jc w:val="center"/>
                    <w:rPr>
                      <w:rFonts w:ascii="Times New Roman" w:hAnsi="Times New Roman" w:cs="Times New Roman"/>
                      <w:sz w:val="21"/>
                      <w:szCs w:val="21"/>
                      <w:lang w:eastAsia="zh-CN"/>
                    </w:rPr>
                  </w:pPr>
                  <w:r>
                    <w:rPr>
                      <w:rFonts w:hint="eastAsia" w:ascii="Times New Roman" w:hAnsi="Times New Roman" w:cs="Times New Roman"/>
                      <w:b/>
                      <w:bCs/>
                      <w:spacing w:val="6"/>
                      <w:sz w:val="21"/>
                      <w:szCs w:val="21"/>
                      <w:lang w:eastAsia="zh-CN"/>
                    </w:rPr>
                    <w:t>所在河道</w:t>
                  </w:r>
                </w:p>
              </w:tc>
              <w:tc>
                <w:tcPr>
                  <w:tcW w:w="972" w:type="dxa"/>
                  <w:vMerge w:val="restart"/>
                  <w:tcBorders>
                    <w:tl2br w:val="nil"/>
                    <w:tr2bl w:val="nil"/>
                  </w:tcBorders>
                  <w:vAlign w:val="center"/>
                </w:tcPr>
                <w:p w14:paraId="79F00B2C">
                  <w:pPr>
                    <w:pStyle w:val="72"/>
                    <w:jc w:val="center"/>
                    <w:rPr>
                      <w:rFonts w:ascii="Times New Roman" w:hAnsi="Times New Roman" w:cs="Times New Roman"/>
                      <w:sz w:val="21"/>
                      <w:szCs w:val="21"/>
                      <w:lang w:eastAsia="zh-CN"/>
                    </w:rPr>
                  </w:pPr>
                  <w:r>
                    <w:rPr>
                      <w:rFonts w:hint="eastAsia" w:ascii="Times New Roman" w:hAnsi="Times New Roman" w:cs="Times New Roman"/>
                      <w:b/>
                      <w:bCs/>
                      <w:spacing w:val="3"/>
                      <w:sz w:val="21"/>
                      <w:szCs w:val="21"/>
                      <w:lang w:eastAsia="zh-CN"/>
                    </w:rPr>
                    <w:t>集水面积</w:t>
                  </w:r>
                  <w:r>
                    <w:rPr>
                      <w:rFonts w:hint="eastAsia" w:ascii="Times New Roman" w:hAnsi="Times New Roman" w:cs="Times New Roman"/>
                      <w:b/>
                      <w:bCs/>
                      <w:spacing w:val="-1"/>
                      <w:sz w:val="21"/>
                      <w:szCs w:val="21"/>
                      <w:lang w:eastAsia="zh-CN"/>
                    </w:rPr>
                    <w:t>（</w:t>
                  </w:r>
                  <w:r>
                    <w:rPr>
                      <w:rFonts w:ascii="Times New Roman" w:hAnsi="Times New Roman" w:eastAsia="Times New Roman" w:cs="Times New Roman"/>
                      <w:b/>
                      <w:bCs/>
                      <w:spacing w:val="-1"/>
                      <w:sz w:val="21"/>
                      <w:szCs w:val="21"/>
                      <w:lang w:eastAsia="zh-CN"/>
                    </w:rPr>
                    <w:t>km²</w:t>
                  </w:r>
                  <w:r>
                    <w:rPr>
                      <w:rFonts w:hint="eastAsia" w:ascii="Times New Roman" w:hAnsi="Times New Roman" w:cs="Times New Roman"/>
                      <w:b/>
                      <w:bCs/>
                      <w:spacing w:val="-1"/>
                      <w:sz w:val="21"/>
                      <w:szCs w:val="21"/>
                      <w:lang w:eastAsia="zh-CN"/>
                    </w:rPr>
                    <w:t>）</w:t>
                  </w:r>
                </w:p>
              </w:tc>
              <w:tc>
                <w:tcPr>
                  <w:tcW w:w="4317" w:type="dxa"/>
                  <w:gridSpan w:val="6"/>
                  <w:tcBorders>
                    <w:tl2br w:val="nil"/>
                    <w:tr2bl w:val="nil"/>
                  </w:tcBorders>
                  <w:vAlign w:val="center"/>
                </w:tcPr>
                <w:p w14:paraId="08E992EB">
                  <w:pPr>
                    <w:pStyle w:val="72"/>
                    <w:jc w:val="center"/>
                    <w:rPr>
                      <w:rFonts w:ascii="Times New Roman" w:hAnsi="Times New Roman" w:cs="Times New Roman"/>
                      <w:sz w:val="21"/>
                      <w:szCs w:val="21"/>
                      <w:lang w:eastAsia="zh-CN"/>
                    </w:rPr>
                  </w:pPr>
                  <w:r>
                    <w:rPr>
                      <w:rFonts w:hint="eastAsia" w:ascii="Times New Roman" w:hAnsi="Times New Roman" w:cs="Times New Roman"/>
                      <w:b/>
                      <w:bCs/>
                      <w:spacing w:val="5"/>
                      <w:sz w:val="21"/>
                      <w:szCs w:val="21"/>
                      <w:lang w:eastAsia="zh-CN"/>
                    </w:rPr>
                    <w:t>洪峰模数（</w:t>
                  </w:r>
                  <w:r>
                    <w:rPr>
                      <w:rFonts w:ascii="Times New Roman" w:hAnsi="Times New Roman" w:eastAsia="Times New Roman" w:cs="Times New Roman"/>
                      <w:b/>
                      <w:bCs/>
                      <w:spacing w:val="5"/>
                      <w:sz w:val="21"/>
                      <w:szCs w:val="21"/>
                      <w:lang w:eastAsia="zh-CN"/>
                    </w:rPr>
                    <w:t>m³/s·</w:t>
                  </w:r>
                  <w:r>
                    <w:rPr>
                      <w:rFonts w:ascii="Times New Roman" w:hAnsi="Times New Roman" w:eastAsia="Times New Roman" w:cs="Times New Roman"/>
                      <w:b/>
                      <w:bCs/>
                      <w:sz w:val="21"/>
                      <w:szCs w:val="21"/>
                      <w:lang w:eastAsia="zh-CN"/>
                    </w:rPr>
                    <w:t>km²</w:t>
                  </w:r>
                  <w:r>
                    <w:rPr>
                      <w:rFonts w:hint="eastAsia" w:ascii="Times New Roman" w:hAnsi="Times New Roman" w:cs="Times New Roman"/>
                      <w:b/>
                      <w:bCs/>
                      <w:spacing w:val="5"/>
                      <w:sz w:val="21"/>
                      <w:szCs w:val="21"/>
                      <w:lang w:eastAsia="zh-CN"/>
                    </w:rPr>
                    <w:t>）</w:t>
                  </w:r>
                </w:p>
              </w:tc>
            </w:tr>
            <w:tr w14:paraId="7FE83BA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40" w:type="dxa"/>
                  <w:vMerge w:val="continue"/>
                  <w:tcBorders>
                    <w:tl2br w:val="nil"/>
                    <w:tr2bl w:val="nil"/>
                  </w:tcBorders>
                  <w:vAlign w:val="center"/>
                </w:tcPr>
                <w:p w14:paraId="7902DD88">
                  <w:pPr>
                    <w:jc w:val="center"/>
                    <w:rPr>
                      <w:sz w:val="21"/>
                      <w:szCs w:val="21"/>
                    </w:rPr>
                  </w:pPr>
                </w:p>
              </w:tc>
              <w:tc>
                <w:tcPr>
                  <w:tcW w:w="1588" w:type="dxa"/>
                  <w:vMerge w:val="continue"/>
                  <w:tcBorders>
                    <w:tl2br w:val="nil"/>
                    <w:tr2bl w:val="nil"/>
                  </w:tcBorders>
                  <w:vAlign w:val="center"/>
                </w:tcPr>
                <w:p w14:paraId="7DF9A7C2">
                  <w:pPr>
                    <w:jc w:val="center"/>
                    <w:rPr>
                      <w:sz w:val="21"/>
                      <w:szCs w:val="21"/>
                    </w:rPr>
                  </w:pPr>
                </w:p>
              </w:tc>
              <w:tc>
                <w:tcPr>
                  <w:tcW w:w="1265" w:type="dxa"/>
                  <w:vMerge w:val="continue"/>
                  <w:tcBorders>
                    <w:tl2br w:val="nil"/>
                    <w:tr2bl w:val="nil"/>
                  </w:tcBorders>
                  <w:vAlign w:val="center"/>
                </w:tcPr>
                <w:p w14:paraId="6DA5B955">
                  <w:pPr>
                    <w:jc w:val="center"/>
                    <w:rPr>
                      <w:sz w:val="21"/>
                      <w:szCs w:val="21"/>
                    </w:rPr>
                  </w:pPr>
                </w:p>
              </w:tc>
              <w:tc>
                <w:tcPr>
                  <w:tcW w:w="972" w:type="dxa"/>
                  <w:vMerge w:val="continue"/>
                  <w:tcBorders>
                    <w:tl2br w:val="nil"/>
                    <w:tr2bl w:val="nil"/>
                  </w:tcBorders>
                  <w:vAlign w:val="center"/>
                </w:tcPr>
                <w:p w14:paraId="09C3D576">
                  <w:pPr>
                    <w:jc w:val="center"/>
                    <w:rPr>
                      <w:sz w:val="21"/>
                      <w:szCs w:val="21"/>
                    </w:rPr>
                  </w:pPr>
                </w:p>
              </w:tc>
              <w:tc>
                <w:tcPr>
                  <w:tcW w:w="868" w:type="dxa"/>
                  <w:tcBorders>
                    <w:tl2br w:val="nil"/>
                    <w:tr2bl w:val="nil"/>
                  </w:tcBorders>
                  <w:vAlign w:val="center"/>
                </w:tcPr>
                <w:p w14:paraId="38E0D2C7">
                  <w:pPr>
                    <w:jc w:val="center"/>
                    <w:rPr>
                      <w:rFonts w:eastAsia="Times New Roman"/>
                      <w:sz w:val="21"/>
                      <w:szCs w:val="21"/>
                    </w:rPr>
                  </w:pPr>
                  <w:r>
                    <w:rPr>
                      <w:rFonts w:eastAsia="Times New Roman"/>
                      <w:b/>
                      <w:bCs/>
                      <w:sz w:val="21"/>
                      <w:szCs w:val="21"/>
                    </w:rPr>
                    <w:t>1%</w:t>
                  </w:r>
                </w:p>
              </w:tc>
              <w:tc>
                <w:tcPr>
                  <w:tcW w:w="689" w:type="dxa"/>
                  <w:tcBorders>
                    <w:tl2br w:val="nil"/>
                    <w:tr2bl w:val="nil"/>
                  </w:tcBorders>
                  <w:vAlign w:val="center"/>
                </w:tcPr>
                <w:p w14:paraId="2402FE00">
                  <w:pPr>
                    <w:jc w:val="center"/>
                    <w:rPr>
                      <w:rFonts w:eastAsia="Times New Roman"/>
                      <w:sz w:val="21"/>
                      <w:szCs w:val="21"/>
                    </w:rPr>
                  </w:pPr>
                  <w:r>
                    <w:rPr>
                      <w:rFonts w:eastAsia="Times New Roman"/>
                      <w:b/>
                      <w:bCs/>
                      <w:spacing w:val="4"/>
                      <w:sz w:val="21"/>
                      <w:szCs w:val="21"/>
                    </w:rPr>
                    <w:t>2%</w:t>
                  </w:r>
                </w:p>
              </w:tc>
              <w:tc>
                <w:tcPr>
                  <w:tcW w:w="689" w:type="dxa"/>
                  <w:tcBorders>
                    <w:tl2br w:val="nil"/>
                    <w:tr2bl w:val="nil"/>
                  </w:tcBorders>
                  <w:vAlign w:val="center"/>
                </w:tcPr>
                <w:p w14:paraId="21D71A72">
                  <w:pPr>
                    <w:jc w:val="center"/>
                    <w:rPr>
                      <w:rFonts w:eastAsia="Times New Roman"/>
                      <w:sz w:val="21"/>
                      <w:szCs w:val="21"/>
                    </w:rPr>
                  </w:pPr>
                  <w:r>
                    <w:rPr>
                      <w:rFonts w:eastAsia="Times New Roman"/>
                      <w:b/>
                      <w:bCs/>
                      <w:spacing w:val="3"/>
                      <w:sz w:val="21"/>
                      <w:szCs w:val="21"/>
                    </w:rPr>
                    <w:t>5%</w:t>
                  </w:r>
                </w:p>
              </w:tc>
              <w:tc>
                <w:tcPr>
                  <w:tcW w:w="689" w:type="dxa"/>
                  <w:tcBorders>
                    <w:tl2br w:val="nil"/>
                    <w:tr2bl w:val="nil"/>
                  </w:tcBorders>
                  <w:vAlign w:val="center"/>
                </w:tcPr>
                <w:p w14:paraId="541E5616">
                  <w:pPr>
                    <w:jc w:val="center"/>
                    <w:rPr>
                      <w:rFonts w:eastAsia="Times New Roman"/>
                      <w:sz w:val="21"/>
                      <w:szCs w:val="21"/>
                    </w:rPr>
                  </w:pPr>
                  <w:r>
                    <w:rPr>
                      <w:rFonts w:eastAsia="Times New Roman"/>
                      <w:b/>
                      <w:bCs/>
                      <w:spacing w:val="2"/>
                      <w:sz w:val="21"/>
                      <w:szCs w:val="21"/>
                    </w:rPr>
                    <w:t>10%</w:t>
                  </w:r>
                </w:p>
              </w:tc>
              <w:tc>
                <w:tcPr>
                  <w:tcW w:w="689" w:type="dxa"/>
                  <w:tcBorders>
                    <w:tl2br w:val="nil"/>
                    <w:tr2bl w:val="nil"/>
                  </w:tcBorders>
                  <w:vAlign w:val="center"/>
                </w:tcPr>
                <w:p w14:paraId="2AD97F8E">
                  <w:pPr>
                    <w:jc w:val="center"/>
                    <w:rPr>
                      <w:rFonts w:eastAsia="Times New Roman"/>
                      <w:sz w:val="21"/>
                      <w:szCs w:val="21"/>
                    </w:rPr>
                  </w:pPr>
                  <w:r>
                    <w:rPr>
                      <w:rFonts w:eastAsia="Times New Roman"/>
                      <w:b/>
                      <w:bCs/>
                      <w:spacing w:val="5"/>
                      <w:sz w:val="21"/>
                      <w:szCs w:val="21"/>
                    </w:rPr>
                    <w:t>20%</w:t>
                  </w:r>
                </w:p>
              </w:tc>
              <w:tc>
                <w:tcPr>
                  <w:tcW w:w="693" w:type="dxa"/>
                  <w:tcBorders>
                    <w:tl2br w:val="nil"/>
                    <w:tr2bl w:val="nil"/>
                  </w:tcBorders>
                  <w:vAlign w:val="center"/>
                </w:tcPr>
                <w:p w14:paraId="74FF4433">
                  <w:pPr>
                    <w:jc w:val="center"/>
                    <w:rPr>
                      <w:rFonts w:eastAsia="Times New Roman"/>
                      <w:sz w:val="21"/>
                      <w:szCs w:val="21"/>
                    </w:rPr>
                  </w:pPr>
                  <w:r>
                    <w:rPr>
                      <w:rFonts w:eastAsia="Times New Roman"/>
                      <w:b/>
                      <w:bCs/>
                      <w:spacing w:val="4"/>
                      <w:sz w:val="21"/>
                      <w:szCs w:val="21"/>
                    </w:rPr>
                    <w:t>50%</w:t>
                  </w:r>
                </w:p>
              </w:tc>
            </w:tr>
            <w:tr w14:paraId="6CFAACC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640" w:type="dxa"/>
                  <w:tcBorders>
                    <w:tl2br w:val="nil"/>
                    <w:tr2bl w:val="nil"/>
                  </w:tcBorders>
                  <w:vAlign w:val="center"/>
                </w:tcPr>
                <w:p w14:paraId="0B4581DD">
                  <w:pPr>
                    <w:jc w:val="center"/>
                    <w:rPr>
                      <w:rFonts w:eastAsia="Times New Roman"/>
                      <w:sz w:val="21"/>
                      <w:szCs w:val="21"/>
                    </w:rPr>
                  </w:pPr>
                  <w:r>
                    <w:rPr>
                      <w:rFonts w:eastAsia="Times New Roman"/>
                      <w:sz w:val="21"/>
                      <w:szCs w:val="21"/>
                    </w:rPr>
                    <w:t>1</w:t>
                  </w:r>
                </w:p>
              </w:tc>
              <w:tc>
                <w:tcPr>
                  <w:tcW w:w="1588" w:type="dxa"/>
                  <w:tcBorders>
                    <w:tl2br w:val="nil"/>
                    <w:tr2bl w:val="nil"/>
                  </w:tcBorders>
                  <w:vAlign w:val="center"/>
                </w:tcPr>
                <w:p w14:paraId="0493A912">
                  <w:pPr>
                    <w:pStyle w:val="72"/>
                    <w:jc w:val="center"/>
                    <w:rPr>
                      <w:rFonts w:ascii="Times New Roman" w:hAnsi="Times New Roman" w:cs="Times New Roman"/>
                      <w:sz w:val="21"/>
                      <w:szCs w:val="21"/>
                      <w:lang w:eastAsia="zh-CN"/>
                    </w:rPr>
                  </w:pPr>
                  <w:r>
                    <w:rPr>
                      <w:rFonts w:ascii="Times New Roman" w:hAnsi="Times New Roman" w:eastAsia="Times New Roman" w:cs="Times New Roman"/>
                      <w:spacing w:val="4"/>
                      <w:sz w:val="21"/>
                      <w:szCs w:val="21"/>
                      <w:lang w:eastAsia="zh-CN"/>
                    </w:rPr>
                    <w:t>K0+800</w:t>
                  </w:r>
                  <w:r>
                    <w:rPr>
                      <w:rFonts w:hint="eastAsia" w:ascii="Times New Roman" w:hAnsi="Times New Roman" w:cs="Times New Roman"/>
                      <w:spacing w:val="4"/>
                      <w:sz w:val="21"/>
                      <w:szCs w:val="21"/>
                      <w:lang w:eastAsia="zh-CN"/>
                    </w:rPr>
                    <w:t>弃土场</w:t>
                  </w:r>
                </w:p>
              </w:tc>
              <w:tc>
                <w:tcPr>
                  <w:tcW w:w="1265" w:type="dxa"/>
                  <w:tcBorders>
                    <w:tl2br w:val="nil"/>
                    <w:tr2bl w:val="nil"/>
                  </w:tcBorders>
                  <w:vAlign w:val="center"/>
                </w:tcPr>
                <w:p w14:paraId="2FC9CA57">
                  <w:pPr>
                    <w:pStyle w:val="72"/>
                    <w:jc w:val="center"/>
                    <w:rPr>
                      <w:rFonts w:ascii="Times New Roman" w:hAnsi="Times New Roman" w:cs="Times New Roman"/>
                      <w:sz w:val="21"/>
                      <w:szCs w:val="21"/>
                      <w:lang w:eastAsia="zh-CN"/>
                    </w:rPr>
                  </w:pPr>
                  <w:r>
                    <w:rPr>
                      <w:rFonts w:hint="eastAsia" w:ascii="Times New Roman" w:hAnsi="Times New Roman" w:cs="Times New Roman"/>
                      <w:spacing w:val="6"/>
                      <w:sz w:val="21"/>
                      <w:szCs w:val="21"/>
                      <w:lang w:eastAsia="zh-CN"/>
                    </w:rPr>
                    <w:t>燕子沟</w:t>
                  </w:r>
                </w:p>
              </w:tc>
              <w:tc>
                <w:tcPr>
                  <w:tcW w:w="972" w:type="dxa"/>
                  <w:tcBorders>
                    <w:tl2br w:val="nil"/>
                    <w:tr2bl w:val="nil"/>
                  </w:tcBorders>
                  <w:vAlign w:val="center"/>
                </w:tcPr>
                <w:p w14:paraId="6B644B49">
                  <w:pPr>
                    <w:jc w:val="center"/>
                    <w:rPr>
                      <w:rFonts w:eastAsia="Times New Roman"/>
                      <w:sz w:val="21"/>
                      <w:szCs w:val="21"/>
                    </w:rPr>
                  </w:pPr>
                  <w:r>
                    <w:rPr>
                      <w:rFonts w:eastAsia="Times New Roman"/>
                      <w:spacing w:val="2"/>
                      <w:sz w:val="21"/>
                      <w:szCs w:val="21"/>
                    </w:rPr>
                    <w:t>356</w:t>
                  </w:r>
                </w:p>
              </w:tc>
              <w:tc>
                <w:tcPr>
                  <w:tcW w:w="868" w:type="dxa"/>
                  <w:tcBorders>
                    <w:tl2br w:val="nil"/>
                    <w:tr2bl w:val="nil"/>
                  </w:tcBorders>
                  <w:vAlign w:val="center"/>
                </w:tcPr>
                <w:p w14:paraId="01A92E01">
                  <w:pPr>
                    <w:jc w:val="center"/>
                    <w:rPr>
                      <w:rFonts w:eastAsia="Times New Roman"/>
                      <w:sz w:val="21"/>
                      <w:szCs w:val="21"/>
                    </w:rPr>
                  </w:pPr>
                  <w:r>
                    <w:rPr>
                      <w:rFonts w:eastAsia="Times New Roman"/>
                      <w:spacing w:val="3"/>
                      <w:sz w:val="21"/>
                      <w:szCs w:val="21"/>
                    </w:rPr>
                    <w:t>0.837</w:t>
                  </w:r>
                </w:p>
              </w:tc>
              <w:tc>
                <w:tcPr>
                  <w:tcW w:w="689" w:type="dxa"/>
                  <w:tcBorders>
                    <w:tl2br w:val="nil"/>
                    <w:tr2bl w:val="nil"/>
                  </w:tcBorders>
                  <w:vAlign w:val="center"/>
                </w:tcPr>
                <w:p w14:paraId="525680DA">
                  <w:pPr>
                    <w:jc w:val="center"/>
                    <w:rPr>
                      <w:rFonts w:eastAsia="Times New Roman"/>
                      <w:sz w:val="21"/>
                      <w:szCs w:val="21"/>
                    </w:rPr>
                  </w:pPr>
                  <w:r>
                    <w:rPr>
                      <w:rFonts w:eastAsia="Times New Roman"/>
                      <w:spacing w:val="2"/>
                      <w:sz w:val="21"/>
                      <w:szCs w:val="21"/>
                    </w:rPr>
                    <w:t>0.719</w:t>
                  </w:r>
                </w:p>
              </w:tc>
              <w:tc>
                <w:tcPr>
                  <w:tcW w:w="689" w:type="dxa"/>
                  <w:tcBorders>
                    <w:tl2br w:val="nil"/>
                    <w:tr2bl w:val="nil"/>
                  </w:tcBorders>
                  <w:vAlign w:val="center"/>
                </w:tcPr>
                <w:p w14:paraId="5B9A16A4">
                  <w:pPr>
                    <w:jc w:val="center"/>
                    <w:rPr>
                      <w:rFonts w:eastAsia="Times New Roman"/>
                      <w:sz w:val="21"/>
                      <w:szCs w:val="21"/>
                    </w:rPr>
                  </w:pPr>
                  <w:r>
                    <w:rPr>
                      <w:rFonts w:eastAsia="Times New Roman"/>
                      <w:spacing w:val="2"/>
                      <w:sz w:val="21"/>
                      <w:szCs w:val="21"/>
                    </w:rPr>
                    <w:t>0.567</w:t>
                  </w:r>
                </w:p>
              </w:tc>
              <w:tc>
                <w:tcPr>
                  <w:tcW w:w="689" w:type="dxa"/>
                  <w:tcBorders>
                    <w:tl2br w:val="nil"/>
                    <w:tr2bl w:val="nil"/>
                  </w:tcBorders>
                  <w:vAlign w:val="center"/>
                </w:tcPr>
                <w:p w14:paraId="41638904">
                  <w:pPr>
                    <w:jc w:val="center"/>
                    <w:rPr>
                      <w:rFonts w:eastAsia="Times New Roman"/>
                      <w:sz w:val="21"/>
                      <w:szCs w:val="21"/>
                    </w:rPr>
                  </w:pPr>
                  <w:r>
                    <w:rPr>
                      <w:rFonts w:eastAsia="Times New Roman"/>
                      <w:spacing w:val="3"/>
                      <w:sz w:val="21"/>
                      <w:szCs w:val="21"/>
                    </w:rPr>
                    <w:t>0.455</w:t>
                  </w:r>
                </w:p>
              </w:tc>
              <w:tc>
                <w:tcPr>
                  <w:tcW w:w="689" w:type="dxa"/>
                  <w:tcBorders>
                    <w:tl2br w:val="nil"/>
                    <w:tr2bl w:val="nil"/>
                  </w:tcBorders>
                  <w:vAlign w:val="center"/>
                </w:tcPr>
                <w:p w14:paraId="228C2676">
                  <w:pPr>
                    <w:jc w:val="center"/>
                    <w:rPr>
                      <w:rFonts w:eastAsia="Times New Roman"/>
                      <w:sz w:val="21"/>
                      <w:szCs w:val="21"/>
                    </w:rPr>
                  </w:pPr>
                  <w:r>
                    <w:rPr>
                      <w:rFonts w:eastAsia="Times New Roman"/>
                      <w:spacing w:val="3"/>
                      <w:sz w:val="21"/>
                      <w:szCs w:val="21"/>
                    </w:rPr>
                    <w:t>0.348</w:t>
                  </w:r>
                </w:p>
              </w:tc>
              <w:tc>
                <w:tcPr>
                  <w:tcW w:w="693" w:type="dxa"/>
                  <w:tcBorders>
                    <w:tl2br w:val="nil"/>
                    <w:tr2bl w:val="nil"/>
                  </w:tcBorders>
                  <w:vAlign w:val="center"/>
                </w:tcPr>
                <w:p w14:paraId="75AC45B2">
                  <w:pPr>
                    <w:jc w:val="center"/>
                    <w:rPr>
                      <w:rFonts w:eastAsia="Times New Roman"/>
                      <w:sz w:val="21"/>
                      <w:szCs w:val="21"/>
                    </w:rPr>
                  </w:pPr>
                  <w:r>
                    <w:rPr>
                      <w:rFonts w:eastAsia="Times New Roman"/>
                      <w:spacing w:val="3"/>
                      <w:sz w:val="21"/>
                      <w:szCs w:val="21"/>
                    </w:rPr>
                    <w:t>0.206</w:t>
                  </w:r>
                </w:p>
              </w:tc>
            </w:tr>
            <w:tr w14:paraId="34285A8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640" w:type="dxa"/>
                  <w:tcBorders>
                    <w:tl2br w:val="nil"/>
                    <w:tr2bl w:val="nil"/>
                  </w:tcBorders>
                  <w:vAlign w:val="center"/>
                </w:tcPr>
                <w:p w14:paraId="67C35CE1">
                  <w:pPr>
                    <w:jc w:val="center"/>
                    <w:rPr>
                      <w:rFonts w:eastAsia="Times New Roman"/>
                      <w:sz w:val="21"/>
                      <w:szCs w:val="21"/>
                    </w:rPr>
                  </w:pPr>
                  <w:r>
                    <w:rPr>
                      <w:rFonts w:eastAsia="Times New Roman"/>
                      <w:sz w:val="21"/>
                      <w:szCs w:val="21"/>
                    </w:rPr>
                    <w:t>2</w:t>
                  </w:r>
                </w:p>
              </w:tc>
              <w:tc>
                <w:tcPr>
                  <w:tcW w:w="1588" w:type="dxa"/>
                  <w:tcBorders>
                    <w:tl2br w:val="nil"/>
                    <w:tr2bl w:val="nil"/>
                  </w:tcBorders>
                  <w:vAlign w:val="center"/>
                </w:tcPr>
                <w:p w14:paraId="4CCF170D">
                  <w:pPr>
                    <w:pStyle w:val="72"/>
                    <w:jc w:val="center"/>
                    <w:rPr>
                      <w:rFonts w:ascii="Times New Roman" w:hAnsi="Times New Roman" w:cs="Times New Roman"/>
                      <w:sz w:val="21"/>
                      <w:szCs w:val="21"/>
                      <w:lang w:eastAsia="zh-CN"/>
                    </w:rPr>
                  </w:pPr>
                  <w:r>
                    <w:rPr>
                      <w:rFonts w:hint="eastAsia" w:ascii="Times New Roman" w:hAnsi="Times New Roman" w:cs="Times New Roman"/>
                      <w:spacing w:val="6"/>
                      <w:sz w:val="21"/>
                      <w:szCs w:val="21"/>
                      <w:lang w:eastAsia="zh-CN"/>
                    </w:rPr>
                    <w:t>本工程</w:t>
                  </w:r>
                </w:p>
              </w:tc>
              <w:tc>
                <w:tcPr>
                  <w:tcW w:w="1265" w:type="dxa"/>
                  <w:tcBorders>
                    <w:tl2br w:val="nil"/>
                    <w:tr2bl w:val="nil"/>
                  </w:tcBorders>
                  <w:vAlign w:val="center"/>
                </w:tcPr>
                <w:p w14:paraId="3FB43C78">
                  <w:pPr>
                    <w:pStyle w:val="72"/>
                    <w:jc w:val="center"/>
                    <w:rPr>
                      <w:rFonts w:ascii="Times New Roman" w:hAnsi="Times New Roman" w:cs="Times New Roman"/>
                      <w:sz w:val="21"/>
                      <w:szCs w:val="21"/>
                      <w:lang w:eastAsia="zh-CN"/>
                    </w:rPr>
                  </w:pPr>
                  <w:r>
                    <w:rPr>
                      <w:rFonts w:hint="eastAsia" w:ascii="Times New Roman" w:hAnsi="Times New Roman" w:cs="Times New Roman"/>
                      <w:spacing w:val="7"/>
                      <w:sz w:val="21"/>
                      <w:szCs w:val="21"/>
                      <w:lang w:eastAsia="zh-CN"/>
                    </w:rPr>
                    <w:t>海螺沟</w:t>
                  </w:r>
                </w:p>
              </w:tc>
              <w:tc>
                <w:tcPr>
                  <w:tcW w:w="972" w:type="dxa"/>
                  <w:tcBorders>
                    <w:tl2br w:val="nil"/>
                    <w:tr2bl w:val="nil"/>
                  </w:tcBorders>
                  <w:vAlign w:val="center"/>
                </w:tcPr>
                <w:p w14:paraId="00808CE8">
                  <w:pPr>
                    <w:jc w:val="center"/>
                    <w:rPr>
                      <w:rFonts w:eastAsia="Times New Roman"/>
                      <w:sz w:val="21"/>
                      <w:szCs w:val="21"/>
                    </w:rPr>
                  </w:pPr>
                  <w:r>
                    <w:rPr>
                      <w:rFonts w:eastAsia="Times New Roman"/>
                      <w:spacing w:val="-3"/>
                      <w:sz w:val="21"/>
                      <w:szCs w:val="21"/>
                    </w:rPr>
                    <w:t>189</w:t>
                  </w:r>
                </w:p>
              </w:tc>
              <w:tc>
                <w:tcPr>
                  <w:tcW w:w="868" w:type="dxa"/>
                  <w:tcBorders>
                    <w:tl2br w:val="nil"/>
                    <w:tr2bl w:val="nil"/>
                  </w:tcBorders>
                  <w:vAlign w:val="center"/>
                </w:tcPr>
                <w:p w14:paraId="5EAA546E">
                  <w:pPr>
                    <w:jc w:val="center"/>
                    <w:rPr>
                      <w:rFonts w:eastAsia="Times New Roman"/>
                      <w:sz w:val="21"/>
                      <w:szCs w:val="21"/>
                    </w:rPr>
                  </w:pPr>
                  <w:r>
                    <w:rPr>
                      <w:rFonts w:eastAsia="Times New Roman"/>
                      <w:spacing w:val="-1"/>
                      <w:sz w:val="21"/>
                      <w:szCs w:val="21"/>
                    </w:rPr>
                    <w:t>1.503</w:t>
                  </w:r>
                </w:p>
              </w:tc>
              <w:tc>
                <w:tcPr>
                  <w:tcW w:w="689" w:type="dxa"/>
                  <w:tcBorders>
                    <w:tl2br w:val="nil"/>
                    <w:tr2bl w:val="nil"/>
                  </w:tcBorders>
                  <w:vAlign w:val="center"/>
                </w:tcPr>
                <w:p w14:paraId="4775E9FC">
                  <w:pPr>
                    <w:jc w:val="center"/>
                    <w:rPr>
                      <w:rFonts w:eastAsia="Times New Roman"/>
                      <w:sz w:val="21"/>
                      <w:szCs w:val="21"/>
                    </w:rPr>
                  </w:pPr>
                  <w:r>
                    <w:rPr>
                      <w:rFonts w:eastAsia="Times New Roman"/>
                      <w:spacing w:val="-1"/>
                      <w:sz w:val="21"/>
                      <w:szCs w:val="21"/>
                    </w:rPr>
                    <w:t>1.270</w:t>
                  </w:r>
                </w:p>
              </w:tc>
              <w:tc>
                <w:tcPr>
                  <w:tcW w:w="689" w:type="dxa"/>
                  <w:tcBorders>
                    <w:tl2br w:val="nil"/>
                    <w:tr2bl w:val="nil"/>
                  </w:tcBorders>
                  <w:vAlign w:val="center"/>
                </w:tcPr>
                <w:p w14:paraId="119E4EAD">
                  <w:pPr>
                    <w:jc w:val="center"/>
                    <w:rPr>
                      <w:rFonts w:eastAsia="Times New Roman"/>
                      <w:sz w:val="21"/>
                      <w:szCs w:val="21"/>
                    </w:rPr>
                  </w:pPr>
                  <w:r>
                    <w:rPr>
                      <w:rFonts w:eastAsia="Times New Roman"/>
                      <w:spacing w:val="2"/>
                      <w:sz w:val="21"/>
                      <w:szCs w:val="21"/>
                    </w:rPr>
                    <w:t>0.979</w:t>
                  </w:r>
                </w:p>
              </w:tc>
              <w:tc>
                <w:tcPr>
                  <w:tcW w:w="689" w:type="dxa"/>
                  <w:tcBorders>
                    <w:tl2br w:val="nil"/>
                    <w:tr2bl w:val="nil"/>
                  </w:tcBorders>
                  <w:vAlign w:val="center"/>
                </w:tcPr>
                <w:p w14:paraId="013D0C6E">
                  <w:pPr>
                    <w:jc w:val="center"/>
                    <w:rPr>
                      <w:rFonts w:eastAsia="Times New Roman"/>
                      <w:sz w:val="21"/>
                      <w:szCs w:val="21"/>
                    </w:rPr>
                  </w:pPr>
                  <w:r>
                    <w:rPr>
                      <w:rFonts w:eastAsia="Times New Roman"/>
                      <w:spacing w:val="3"/>
                      <w:sz w:val="21"/>
                      <w:szCs w:val="21"/>
                    </w:rPr>
                    <w:t>0.767</w:t>
                  </w:r>
                </w:p>
              </w:tc>
              <w:tc>
                <w:tcPr>
                  <w:tcW w:w="689" w:type="dxa"/>
                  <w:tcBorders>
                    <w:tl2br w:val="nil"/>
                    <w:tr2bl w:val="nil"/>
                  </w:tcBorders>
                  <w:vAlign w:val="center"/>
                </w:tcPr>
                <w:p w14:paraId="1E1299AD">
                  <w:pPr>
                    <w:jc w:val="center"/>
                    <w:rPr>
                      <w:rFonts w:eastAsia="Times New Roman"/>
                      <w:sz w:val="21"/>
                      <w:szCs w:val="21"/>
                    </w:rPr>
                  </w:pPr>
                  <w:r>
                    <w:rPr>
                      <w:rFonts w:eastAsia="Times New Roman"/>
                      <w:spacing w:val="3"/>
                      <w:sz w:val="21"/>
                      <w:szCs w:val="21"/>
                    </w:rPr>
                    <w:t>0.566</w:t>
                  </w:r>
                </w:p>
              </w:tc>
              <w:tc>
                <w:tcPr>
                  <w:tcW w:w="693" w:type="dxa"/>
                  <w:tcBorders>
                    <w:tl2br w:val="nil"/>
                    <w:tr2bl w:val="nil"/>
                  </w:tcBorders>
                  <w:vAlign w:val="center"/>
                </w:tcPr>
                <w:p w14:paraId="4A9E40CA">
                  <w:pPr>
                    <w:jc w:val="center"/>
                    <w:rPr>
                      <w:rFonts w:eastAsia="Times New Roman"/>
                      <w:sz w:val="21"/>
                      <w:szCs w:val="21"/>
                    </w:rPr>
                  </w:pPr>
                  <w:r>
                    <w:rPr>
                      <w:rFonts w:eastAsia="Times New Roman"/>
                      <w:spacing w:val="3"/>
                      <w:sz w:val="21"/>
                      <w:szCs w:val="21"/>
                    </w:rPr>
                    <w:t>0.308</w:t>
                  </w:r>
                </w:p>
              </w:tc>
            </w:tr>
            <w:tr w14:paraId="14A4E37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640" w:type="dxa"/>
                  <w:tcBorders>
                    <w:tl2br w:val="nil"/>
                    <w:tr2bl w:val="nil"/>
                  </w:tcBorders>
                  <w:vAlign w:val="center"/>
                </w:tcPr>
                <w:p w14:paraId="0B263781">
                  <w:pPr>
                    <w:jc w:val="center"/>
                    <w:rPr>
                      <w:rFonts w:eastAsia="Times New Roman"/>
                      <w:sz w:val="21"/>
                      <w:szCs w:val="21"/>
                    </w:rPr>
                  </w:pPr>
                  <w:r>
                    <w:rPr>
                      <w:rFonts w:eastAsia="Times New Roman"/>
                      <w:sz w:val="21"/>
                      <w:szCs w:val="21"/>
                    </w:rPr>
                    <w:t>3</w:t>
                  </w:r>
                </w:p>
              </w:tc>
              <w:tc>
                <w:tcPr>
                  <w:tcW w:w="1588" w:type="dxa"/>
                  <w:tcBorders>
                    <w:tl2br w:val="nil"/>
                    <w:tr2bl w:val="nil"/>
                  </w:tcBorders>
                  <w:vAlign w:val="center"/>
                </w:tcPr>
                <w:p w14:paraId="542BFB65">
                  <w:pPr>
                    <w:pStyle w:val="72"/>
                    <w:jc w:val="center"/>
                    <w:rPr>
                      <w:rFonts w:ascii="Times New Roman" w:hAnsi="Times New Roman" w:cs="Times New Roman"/>
                      <w:sz w:val="21"/>
                      <w:szCs w:val="21"/>
                      <w:lang w:eastAsia="zh-CN"/>
                    </w:rPr>
                  </w:pPr>
                  <w:r>
                    <w:rPr>
                      <w:rFonts w:hint="eastAsia" w:ascii="Times New Roman" w:hAnsi="Times New Roman" w:cs="Times New Roman"/>
                      <w:spacing w:val="1"/>
                      <w:sz w:val="21"/>
                      <w:szCs w:val="21"/>
                      <w:lang w:eastAsia="zh-CN"/>
                    </w:rPr>
                    <w:t>海螺沟</w:t>
                  </w:r>
                  <w:r>
                    <w:rPr>
                      <w:rFonts w:ascii="Times New Roman" w:hAnsi="Times New Roman" w:eastAsia="Times New Roman" w:cs="Times New Roman"/>
                      <w:spacing w:val="1"/>
                      <w:sz w:val="21"/>
                      <w:szCs w:val="21"/>
                      <w:lang w:eastAsia="zh-CN"/>
                    </w:rPr>
                    <w:t>1</w:t>
                  </w:r>
                  <w:r>
                    <w:rPr>
                      <w:rFonts w:hint="eastAsia" w:ascii="Times New Roman" w:hAnsi="Times New Roman" w:cs="Times New Roman"/>
                      <w:spacing w:val="1"/>
                      <w:sz w:val="21"/>
                      <w:szCs w:val="21"/>
                      <w:lang w:eastAsia="zh-CN"/>
                    </w:rPr>
                    <w:t>号桥</w:t>
                  </w:r>
                </w:p>
              </w:tc>
              <w:tc>
                <w:tcPr>
                  <w:tcW w:w="1265" w:type="dxa"/>
                  <w:tcBorders>
                    <w:tl2br w:val="nil"/>
                    <w:tr2bl w:val="nil"/>
                  </w:tcBorders>
                  <w:vAlign w:val="center"/>
                </w:tcPr>
                <w:p w14:paraId="36583FFD">
                  <w:pPr>
                    <w:pStyle w:val="72"/>
                    <w:jc w:val="center"/>
                    <w:rPr>
                      <w:rFonts w:ascii="Times New Roman" w:hAnsi="Times New Roman" w:cs="Times New Roman"/>
                      <w:sz w:val="21"/>
                      <w:szCs w:val="21"/>
                      <w:lang w:eastAsia="zh-CN"/>
                    </w:rPr>
                  </w:pPr>
                  <w:r>
                    <w:rPr>
                      <w:rFonts w:hint="eastAsia" w:ascii="Times New Roman" w:hAnsi="Times New Roman" w:cs="Times New Roman"/>
                      <w:spacing w:val="7"/>
                      <w:sz w:val="21"/>
                      <w:szCs w:val="21"/>
                      <w:lang w:eastAsia="zh-CN"/>
                    </w:rPr>
                    <w:t>海螺沟</w:t>
                  </w:r>
                </w:p>
              </w:tc>
              <w:tc>
                <w:tcPr>
                  <w:tcW w:w="972" w:type="dxa"/>
                  <w:tcBorders>
                    <w:tl2br w:val="nil"/>
                    <w:tr2bl w:val="nil"/>
                  </w:tcBorders>
                  <w:vAlign w:val="center"/>
                </w:tcPr>
                <w:p w14:paraId="729B8EC5">
                  <w:pPr>
                    <w:jc w:val="center"/>
                    <w:rPr>
                      <w:rFonts w:eastAsia="Times New Roman"/>
                      <w:sz w:val="21"/>
                      <w:szCs w:val="21"/>
                    </w:rPr>
                  </w:pPr>
                  <w:r>
                    <w:rPr>
                      <w:rFonts w:eastAsia="Times New Roman"/>
                      <w:spacing w:val="-3"/>
                      <w:sz w:val="21"/>
                      <w:szCs w:val="21"/>
                    </w:rPr>
                    <w:t>137</w:t>
                  </w:r>
                </w:p>
              </w:tc>
              <w:tc>
                <w:tcPr>
                  <w:tcW w:w="868" w:type="dxa"/>
                  <w:tcBorders>
                    <w:tl2br w:val="nil"/>
                    <w:tr2bl w:val="nil"/>
                  </w:tcBorders>
                  <w:vAlign w:val="center"/>
                </w:tcPr>
                <w:p w14:paraId="54C10ECE">
                  <w:pPr>
                    <w:jc w:val="center"/>
                    <w:rPr>
                      <w:rFonts w:eastAsia="Times New Roman"/>
                      <w:sz w:val="21"/>
                      <w:szCs w:val="21"/>
                    </w:rPr>
                  </w:pPr>
                  <w:r>
                    <w:rPr>
                      <w:rFonts w:eastAsia="Times New Roman"/>
                      <w:spacing w:val="3"/>
                      <w:sz w:val="21"/>
                      <w:szCs w:val="21"/>
                    </w:rPr>
                    <w:t>2.599</w:t>
                  </w:r>
                </w:p>
              </w:tc>
              <w:tc>
                <w:tcPr>
                  <w:tcW w:w="689" w:type="dxa"/>
                  <w:tcBorders>
                    <w:tl2br w:val="nil"/>
                    <w:tr2bl w:val="nil"/>
                  </w:tcBorders>
                  <w:vAlign w:val="center"/>
                </w:tcPr>
                <w:p w14:paraId="0D61DCC4">
                  <w:pPr>
                    <w:jc w:val="center"/>
                    <w:rPr>
                      <w:rFonts w:eastAsia="Times New Roman"/>
                      <w:sz w:val="21"/>
                      <w:szCs w:val="21"/>
                    </w:rPr>
                  </w:pPr>
                  <w:r>
                    <w:rPr>
                      <w:rFonts w:eastAsia="Times New Roman"/>
                      <w:spacing w:val="3"/>
                      <w:sz w:val="21"/>
                      <w:szCs w:val="21"/>
                    </w:rPr>
                    <w:t>2.234</w:t>
                  </w:r>
                </w:p>
              </w:tc>
              <w:tc>
                <w:tcPr>
                  <w:tcW w:w="689" w:type="dxa"/>
                  <w:tcBorders>
                    <w:tl2br w:val="nil"/>
                    <w:tr2bl w:val="nil"/>
                  </w:tcBorders>
                  <w:vAlign w:val="center"/>
                </w:tcPr>
                <w:p w14:paraId="7E5EFC34">
                  <w:pPr>
                    <w:jc w:val="center"/>
                    <w:rPr>
                      <w:rFonts w:eastAsia="Times New Roman"/>
                      <w:sz w:val="21"/>
                      <w:szCs w:val="21"/>
                    </w:rPr>
                  </w:pPr>
                  <w:r>
                    <w:rPr>
                      <w:rFonts w:eastAsia="Times New Roman"/>
                      <w:spacing w:val="-1"/>
                      <w:sz w:val="21"/>
                      <w:szCs w:val="21"/>
                    </w:rPr>
                    <w:t>1.759</w:t>
                  </w:r>
                </w:p>
              </w:tc>
              <w:tc>
                <w:tcPr>
                  <w:tcW w:w="689" w:type="dxa"/>
                  <w:tcBorders>
                    <w:tl2br w:val="nil"/>
                    <w:tr2bl w:val="nil"/>
                  </w:tcBorders>
                  <w:vAlign w:val="center"/>
                </w:tcPr>
                <w:p w14:paraId="1CFE4F27">
                  <w:pPr>
                    <w:jc w:val="center"/>
                    <w:rPr>
                      <w:rFonts w:eastAsia="Times New Roman"/>
                      <w:sz w:val="21"/>
                      <w:szCs w:val="21"/>
                    </w:rPr>
                  </w:pPr>
                  <w:r>
                    <w:rPr>
                      <w:rFonts w:eastAsia="Times New Roman"/>
                      <w:spacing w:val="-1"/>
                      <w:sz w:val="21"/>
                      <w:szCs w:val="21"/>
                    </w:rPr>
                    <w:t>1.401</w:t>
                  </w:r>
                </w:p>
              </w:tc>
              <w:tc>
                <w:tcPr>
                  <w:tcW w:w="689" w:type="dxa"/>
                  <w:tcBorders>
                    <w:tl2br w:val="nil"/>
                    <w:tr2bl w:val="nil"/>
                  </w:tcBorders>
                  <w:vAlign w:val="center"/>
                </w:tcPr>
                <w:p w14:paraId="632F532C">
                  <w:pPr>
                    <w:jc w:val="center"/>
                    <w:rPr>
                      <w:rFonts w:eastAsia="Times New Roman"/>
                      <w:sz w:val="21"/>
                      <w:szCs w:val="21"/>
                    </w:rPr>
                  </w:pPr>
                  <w:r>
                    <w:rPr>
                      <w:rFonts w:eastAsia="Times New Roman"/>
                      <w:spacing w:val="-1"/>
                      <w:sz w:val="21"/>
                      <w:szCs w:val="21"/>
                    </w:rPr>
                    <w:t>1.058</w:t>
                  </w:r>
                </w:p>
              </w:tc>
              <w:tc>
                <w:tcPr>
                  <w:tcW w:w="693" w:type="dxa"/>
                  <w:tcBorders>
                    <w:tl2br w:val="nil"/>
                    <w:tr2bl w:val="nil"/>
                  </w:tcBorders>
                  <w:vAlign w:val="center"/>
                </w:tcPr>
                <w:p w14:paraId="2996AE2E">
                  <w:pPr>
                    <w:jc w:val="center"/>
                    <w:rPr>
                      <w:rFonts w:eastAsia="Times New Roman"/>
                      <w:sz w:val="21"/>
                      <w:szCs w:val="21"/>
                    </w:rPr>
                  </w:pPr>
                  <w:r>
                    <w:rPr>
                      <w:rFonts w:eastAsia="Times New Roman"/>
                      <w:spacing w:val="3"/>
                      <w:sz w:val="21"/>
                      <w:szCs w:val="21"/>
                    </w:rPr>
                    <w:t>0.604</w:t>
                  </w:r>
                </w:p>
              </w:tc>
            </w:tr>
            <w:tr w14:paraId="36226B4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640" w:type="dxa"/>
                  <w:tcBorders>
                    <w:tl2br w:val="nil"/>
                    <w:tr2bl w:val="nil"/>
                  </w:tcBorders>
                  <w:vAlign w:val="center"/>
                </w:tcPr>
                <w:p w14:paraId="14B73462">
                  <w:pPr>
                    <w:jc w:val="center"/>
                    <w:rPr>
                      <w:rFonts w:eastAsia="Times New Roman"/>
                      <w:sz w:val="21"/>
                      <w:szCs w:val="21"/>
                    </w:rPr>
                  </w:pPr>
                  <w:r>
                    <w:rPr>
                      <w:rFonts w:eastAsia="Times New Roman"/>
                      <w:spacing w:val="1"/>
                      <w:sz w:val="21"/>
                      <w:szCs w:val="21"/>
                    </w:rPr>
                    <w:t>4</w:t>
                  </w:r>
                </w:p>
              </w:tc>
              <w:tc>
                <w:tcPr>
                  <w:tcW w:w="1588" w:type="dxa"/>
                  <w:tcBorders>
                    <w:tl2br w:val="nil"/>
                    <w:tr2bl w:val="nil"/>
                  </w:tcBorders>
                  <w:vAlign w:val="center"/>
                </w:tcPr>
                <w:p w14:paraId="53615982">
                  <w:pPr>
                    <w:pStyle w:val="72"/>
                    <w:jc w:val="center"/>
                    <w:rPr>
                      <w:rFonts w:ascii="Times New Roman" w:hAnsi="Times New Roman" w:cs="Times New Roman"/>
                      <w:sz w:val="21"/>
                      <w:szCs w:val="21"/>
                      <w:lang w:eastAsia="zh-CN"/>
                    </w:rPr>
                  </w:pPr>
                  <w:r>
                    <w:rPr>
                      <w:rFonts w:hint="eastAsia" w:ascii="Times New Roman" w:hAnsi="Times New Roman" w:cs="Times New Roman"/>
                      <w:spacing w:val="6"/>
                      <w:sz w:val="21"/>
                      <w:szCs w:val="21"/>
                      <w:lang w:eastAsia="zh-CN"/>
                    </w:rPr>
                    <w:t>二台子沟</w:t>
                  </w:r>
                </w:p>
              </w:tc>
              <w:tc>
                <w:tcPr>
                  <w:tcW w:w="1265" w:type="dxa"/>
                  <w:tcBorders>
                    <w:tl2br w:val="nil"/>
                    <w:tr2bl w:val="nil"/>
                  </w:tcBorders>
                  <w:vAlign w:val="center"/>
                </w:tcPr>
                <w:p w14:paraId="58B3BC1F">
                  <w:pPr>
                    <w:pStyle w:val="72"/>
                    <w:jc w:val="center"/>
                    <w:rPr>
                      <w:rFonts w:ascii="Times New Roman" w:hAnsi="Times New Roman" w:cs="Times New Roman"/>
                      <w:sz w:val="21"/>
                      <w:szCs w:val="21"/>
                      <w:lang w:eastAsia="zh-CN"/>
                    </w:rPr>
                  </w:pPr>
                  <w:r>
                    <w:rPr>
                      <w:rFonts w:hint="eastAsia" w:ascii="Times New Roman" w:hAnsi="Times New Roman" w:cs="Times New Roman"/>
                      <w:spacing w:val="8"/>
                      <w:sz w:val="21"/>
                      <w:szCs w:val="21"/>
                      <w:lang w:eastAsia="zh-CN"/>
                    </w:rPr>
                    <w:t>海螺沟支沟</w:t>
                  </w:r>
                </w:p>
              </w:tc>
              <w:tc>
                <w:tcPr>
                  <w:tcW w:w="972" w:type="dxa"/>
                  <w:tcBorders>
                    <w:tl2br w:val="nil"/>
                    <w:tr2bl w:val="nil"/>
                  </w:tcBorders>
                  <w:vAlign w:val="center"/>
                </w:tcPr>
                <w:p w14:paraId="0244E0AF">
                  <w:pPr>
                    <w:jc w:val="center"/>
                    <w:rPr>
                      <w:rFonts w:eastAsia="Times New Roman"/>
                      <w:sz w:val="21"/>
                      <w:szCs w:val="21"/>
                    </w:rPr>
                  </w:pPr>
                  <w:r>
                    <w:rPr>
                      <w:rFonts w:eastAsia="Times New Roman"/>
                      <w:spacing w:val="-8"/>
                      <w:sz w:val="21"/>
                      <w:szCs w:val="21"/>
                    </w:rPr>
                    <w:t>10</w:t>
                  </w:r>
                </w:p>
              </w:tc>
              <w:tc>
                <w:tcPr>
                  <w:tcW w:w="868" w:type="dxa"/>
                  <w:tcBorders>
                    <w:tl2br w:val="nil"/>
                    <w:tr2bl w:val="nil"/>
                  </w:tcBorders>
                  <w:vAlign w:val="center"/>
                </w:tcPr>
                <w:p w14:paraId="276C50E0">
                  <w:pPr>
                    <w:jc w:val="center"/>
                    <w:rPr>
                      <w:rFonts w:eastAsia="Times New Roman"/>
                      <w:sz w:val="21"/>
                      <w:szCs w:val="21"/>
                    </w:rPr>
                  </w:pPr>
                  <w:r>
                    <w:rPr>
                      <w:rFonts w:eastAsia="Times New Roman"/>
                      <w:spacing w:val="3"/>
                      <w:sz w:val="21"/>
                      <w:szCs w:val="21"/>
                    </w:rPr>
                    <w:t>3.240</w:t>
                  </w:r>
                </w:p>
              </w:tc>
              <w:tc>
                <w:tcPr>
                  <w:tcW w:w="689" w:type="dxa"/>
                  <w:tcBorders>
                    <w:tl2br w:val="nil"/>
                    <w:tr2bl w:val="nil"/>
                  </w:tcBorders>
                  <w:vAlign w:val="center"/>
                </w:tcPr>
                <w:p w14:paraId="016756CE">
                  <w:pPr>
                    <w:jc w:val="center"/>
                    <w:rPr>
                      <w:rFonts w:eastAsia="Times New Roman"/>
                      <w:sz w:val="21"/>
                      <w:szCs w:val="21"/>
                    </w:rPr>
                  </w:pPr>
                  <w:r>
                    <w:rPr>
                      <w:rFonts w:eastAsia="Times New Roman"/>
                      <w:spacing w:val="3"/>
                      <w:sz w:val="21"/>
                      <w:szCs w:val="21"/>
                    </w:rPr>
                    <w:t>2.780</w:t>
                  </w:r>
                </w:p>
              </w:tc>
              <w:tc>
                <w:tcPr>
                  <w:tcW w:w="689" w:type="dxa"/>
                  <w:tcBorders>
                    <w:tl2br w:val="nil"/>
                    <w:tr2bl w:val="nil"/>
                  </w:tcBorders>
                  <w:vAlign w:val="center"/>
                </w:tcPr>
                <w:p w14:paraId="7479D481">
                  <w:pPr>
                    <w:jc w:val="center"/>
                    <w:rPr>
                      <w:rFonts w:eastAsia="Times New Roman"/>
                      <w:sz w:val="21"/>
                      <w:szCs w:val="21"/>
                    </w:rPr>
                  </w:pPr>
                  <w:r>
                    <w:rPr>
                      <w:rFonts w:eastAsia="Times New Roman"/>
                      <w:spacing w:val="3"/>
                      <w:sz w:val="21"/>
                      <w:szCs w:val="21"/>
                    </w:rPr>
                    <w:t>2.190</w:t>
                  </w:r>
                </w:p>
              </w:tc>
              <w:tc>
                <w:tcPr>
                  <w:tcW w:w="689" w:type="dxa"/>
                  <w:tcBorders>
                    <w:tl2br w:val="nil"/>
                    <w:tr2bl w:val="nil"/>
                  </w:tcBorders>
                  <w:vAlign w:val="center"/>
                </w:tcPr>
                <w:p w14:paraId="00DA577F">
                  <w:pPr>
                    <w:jc w:val="center"/>
                    <w:rPr>
                      <w:rFonts w:eastAsia="Times New Roman"/>
                      <w:sz w:val="21"/>
                      <w:szCs w:val="21"/>
                    </w:rPr>
                  </w:pPr>
                  <w:r>
                    <w:rPr>
                      <w:rFonts w:eastAsia="Times New Roman"/>
                      <w:spacing w:val="-1"/>
                      <w:sz w:val="21"/>
                      <w:szCs w:val="21"/>
                    </w:rPr>
                    <w:t>1.750</w:t>
                  </w:r>
                </w:p>
              </w:tc>
              <w:tc>
                <w:tcPr>
                  <w:tcW w:w="689" w:type="dxa"/>
                  <w:tcBorders>
                    <w:tl2br w:val="nil"/>
                    <w:tr2bl w:val="nil"/>
                  </w:tcBorders>
                  <w:vAlign w:val="center"/>
                </w:tcPr>
                <w:p w14:paraId="535B611A">
                  <w:pPr>
                    <w:jc w:val="center"/>
                    <w:rPr>
                      <w:rFonts w:eastAsia="Times New Roman"/>
                      <w:sz w:val="21"/>
                      <w:szCs w:val="21"/>
                    </w:rPr>
                  </w:pPr>
                  <w:r>
                    <w:rPr>
                      <w:rFonts w:eastAsia="Times New Roman"/>
                      <w:spacing w:val="-1"/>
                      <w:sz w:val="21"/>
                      <w:szCs w:val="21"/>
                    </w:rPr>
                    <w:t>1.320</w:t>
                  </w:r>
                </w:p>
              </w:tc>
              <w:tc>
                <w:tcPr>
                  <w:tcW w:w="693" w:type="dxa"/>
                  <w:tcBorders>
                    <w:tl2br w:val="nil"/>
                    <w:tr2bl w:val="nil"/>
                  </w:tcBorders>
                  <w:vAlign w:val="center"/>
                </w:tcPr>
                <w:p w14:paraId="73A9049A">
                  <w:pPr>
                    <w:jc w:val="center"/>
                    <w:rPr>
                      <w:rFonts w:eastAsia="Times New Roman"/>
                      <w:sz w:val="21"/>
                      <w:szCs w:val="21"/>
                    </w:rPr>
                  </w:pPr>
                  <w:r>
                    <w:rPr>
                      <w:rFonts w:eastAsia="Times New Roman"/>
                      <w:spacing w:val="3"/>
                      <w:sz w:val="21"/>
                      <w:szCs w:val="21"/>
                    </w:rPr>
                    <w:t>0.771</w:t>
                  </w:r>
                </w:p>
              </w:tc>
            </w:tr>
          </w:tbl>
          <w:p w14:paraId="617B3D6A">
            <w:pPr>
              <w:pStyle w:val="106"/>
              <w:spacing w:before="156" w:beforeLines="50"/>
              <w:ind w:firstLine="482"/>
              <w:rPr>
                <w:b/>
                <w:bCs/>
              </w:rPr>
            </w:pPr>
            <w:r>
              <w:rPr>
                <w:rFonts w:hint="eastAsia"/>
                <w:b/>
                <w:bCs/>
              </w:rPr>
              <w:t>（4）泥沙</w:t>
            </w:r>
          </w:p>
          <w:p w14:paraId="4FF0008C">
            <w:pPr>
              <w:pStyle w:val="106"/>
            </w:pPr>
            <w:r>
              <w:rPr>
                <w:rFonts w:hint="eastAsia"/>
              </w:rPr>
              <w:t>海螺沟流域位于大渡河右岸，其上游有贡嘎山风景名胜区和贡嘎山自然保护区，以及海螺沟冰川森林公园，沟口有S211省道经过。流域地形起伏大，河谷狭窄，阶地漫滩不发育。河床两岸切割剧烈，高差悬殊，故河床比降大，多跌水，水流湍急，为典型的高山峡谷型河流。</w:t>
            </w:r>
          </w:p>
          <w:p w14:paraId="4551CA0F">
            <w:pPr>
              <w:pStyle w:val="106"/>
            </w:pPr>
            <w:r>
              <w:rPr>
                <w:rFonts w:hint="eastAsia"/>
              </w:rPr>
              <w:t>海螺沟流域内植被较好，虽然其流域内较大支沟不多但流域比降大、沟道流速较大，地质灾害较多。河流泥沙主要来源于汛期降雨引起的表土侵蚀和水流对河床的下切，以及滑坡、崩塌等重力侵蚀。</w:t>
            </w:r>
          </w:p>
          <w:p w14:paraId="6DC17B10">
            <w:pPr>
              <w:pStyle w:val="106"/>
            </w:pPr>
            <w:r>
              <w:rPr>
                <w:rFonts w:hint="eastAsia"/>
              </w:rPr>
              <w:t>设计流域均无泥沙资料，根据《四川省水文手册》多年平均悬移质输沙模数等值线图，查得海螺沟设计流域多年平均悬移质输沙模数为1050t/km²以此推求本工程河段处多年平均悬移质输沙量。</w:t>
            </w:r>
          </w:p>
          <w:p w14:paraId="329AF7F2">
            <w:pPr>
              <w:pStyle w:val="106"/>
            </w:pPr>
            <w:r>
              <w:rPr>
                <w:rFonts w:hint="eastAsia"/>
              </w:rPr>
              <w:t>根据流域的自然地理情况，本工程河段属山丘区河流，推移质占悬移质泥沙的百分率为10%~30%，鉴于海螺沟属泥石流沟，推移质较大，推移质输沙量按悬移质的30%进行估算。工程区推移质输沙量及年输沙总量见下表。</w:t>
            </w:r>
          </w:p>
          <w:p w14:paraId="7E26BE60">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5</w:t>
            </w:r>
            <w:r>
              <w:rPr>
                <w:rFonts w:cs="Times New Roman"/>
              </w:rPr>
              <w:fldChar w:fldCharType="end"/>
            </w:r>
            <w:r>
              <w:rPr>
                <w:rFonts w:hint="eastAsia" w:cs="Times New Roman"/>
              </w:rPr>
              <w:t xml:space="preserve">  工程河段泥沙成果表</w:t>
            </w:r>
          </w:p>
          <w:tbl>
            <w:tblPr>
              <w:tblStyle w:val="49"/>
              <w:tblW w:w="5000" w:type="pct"/>
              <w:tblInd w:w="4"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1312"/>
              <w:gridCol w:w="1308"/>
              <w:gridCol w:w="1415"/>
              <w:gridCol w:w="1827"/>
              <w:gridCol w:w="1828"/>
              <w:gridCol w:w="1315"/>
            </w:tblGrid>
            <w:tr w14:paraId="78CCE51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313" w:type="dxa"/>
                  <w:tcBorders>
                    <w:tl2br w:val="nil"/>
                    <w:tr2bl w:val="nil"/>
                  </w:tcBorders>
                  <w:vAlign w:val="center"/>
                </w:tcPr>
                <w:p w14:paraId="2F62634F">
                  <w:pPr>
                    <w:pStyle w:val="59"/>
                    <w:rPr>
                      <w:rFonts w:cs="Times New Roman"/>
                      <w:b/>
                      <w:bCs/>
                    </w:rPr>
                  </w:pPr>
                  <w:r>
                    <w:rPr>
                      <w:rFonts w:hint="eastAsia" w:cs="Times New Roman"/>
                      <w:b/>
                      <w:bCs/>
                    </w:rPr>
                    <w:t>名称</w:t>
                  </w:r>
                </w:p>
              </w:tc>
              <w:tc>
                <w:tcPr>
                  <w:tcW w:w="1308" w:type="dxa"/>
                  <w:tcBorders>
                    <w:tl2br w:val="nil"/>
                    <w:tr2bl w:val="nil"/>
                  </w:tcBorders>
                  <w:vAlign w:val="center"/>
                </w:tcPr>
                <w:p w14:paraId="6C88A00B">
                  <w:pPr>
                    <w:pStyle w:val="59"/>
                    <w:rPr>
                      <w:rFonts w:cs="Times New Roman"/>
                      <w:b/>
                      <w:bCs/>
                    </w:rPr>
                  </w:pPr>
                  <w:r>
                    <w:rPr>
                      <w:rFonts w:hint="eastAsia" w:cs="Times New Roman"/>
                      <w:b/>
                      <w:bCs/>
                    </w:rPr>
                    <w:t>集水面积（km²）</w:t>
                  </w:r>
                </w:p>
              </w:tc>
              <w:tc>
                <w:tcPr>
                  <w:tcW w:w="1415" w:type="dxa"/>
                  <w:tcBorders>
                    <w:tl2br w:val="nil"/>
                    <w:tr2bl w:val="nil"/>
                  </w:tcBorders>
                  <w:vAlign w:val="center"/>
                </w:tcPr>
                <w:p w14:paraId="5070B7BD">
                  <w:pPr>
                    <w:pStyle w:val="59"/>
                    <w:rPr>
                      <w:rFonts w:cs="Times New Roman"/>
                      <w:b/>
                      <w:bCs/>
                    </w:rPr>
                  </w:pPr>
                  <w:r>
                    <w:rPr>
                      <w:rFonts w:hint="eastAsia" w:cs="Times New Roman"/>
                      <w:b/>
                      <w:bCs/>
                    </w:rPr>
                    <w:t>输沙模数（t/km²）</w:t>
                  </w:r>
                </w:p>
              </w:tc>
              <w:tc>
                <w:tcPr>
                  <w:tcW w:w="1827" w:type="dxa"/>
                  <w:tcBorders>
                    <w:tl2br w:val="nil"/>
                    <w:tr2bl w:val="nil"/>
                  </w:tcBorders>
                  <w:vAlign w:val="center"/>
                </w:tcPr>
                <w:p w14:paraId="0F459D50">
                  <w:pPr>
                    <w:pStyle w:val="59"/>
                    <w:rPr>
                      <w:rFonts w:cs="Times New Roman"/>
                      <w:b/>
                      <w:bCs/>
                    </w:rPr>
                  </w:pPr>
                  <w:r>
                    <w:rPr>
                      <w:rFonts w:hint="eastAsia" w:cs="Times New Roman"/>
                      <w:b/>
                      <w:bCs/>
                    </w:rPr>
                    <w:t>悬移质输沙量</w:t>
                  </w:r>
                </w:p>
                <w:p w14:paraId="7CB0BCC2">
                  <w:pPr>
                    <w:pStyle w:val="59"/>
                    <w:rPr>
                      <w:rFonts w:cs="Times New Roman"/>
                      <w:b/>
                      <w:bCs/>
                    </w:rPr>
                  </w:pPr>
                  <w:r>
                    <w:rPr>
                      <w:rFonts w:hint="eastAsia" w:cs="Times New Roman"/>
                      <w:b/>
                      <w:bCs/>
                    </w:rPr>
                    <w:t>（万t）</w:t>
                  </w:r>
                </w:p>
              </w:tc>
              <w:tc>
                <w:tcPr>
                  <w:tcW w:w="1828" w:type="dxa"/>
                  <w:tcBorders>
                    <w:tl2br w:val="nil"/>
                    <w:tr2bl w:val="nil"/>
                  </w:tcBorders>
                  <w:vAlign w:val="center"/>
                </w:tcPr>
                <w:p w14:paraId="23464F3F">
                  <w:pPr>
                    <w:pStyle w:val="59"/>
                    <w:rPr>
                      <w:rFonts w:cs="Times New Roman"/>
                      <w:b/>
                      <w:bCs/>
                    </w:rPr>
                  </w:pPr>
                  <w:r>
                    <w:rPr>
                      <w:rFonts w:hint="eastAsia" w:cs="Times New Roman"/>
                      <w:b/>
                      <w:bCs/>
                    </w:rPr>
                    <w:t>推移质输沙量</w:t>
                  </w:r>
                </w:p>
                <w:p w14:paraId="5B5AE599">
                  <w:pPr>
                    <w:pStyle w:val="59"/>
                    <w:rPr>
                      <w:rFonts w:cs="Times New Roman"/>
                      <w:b/>
                      <w:bCs/>
                    </w:rPr>
                  </w:pPr>
                  <w:r>
                    <w:rPr>
                      <w:rFonts w:hint="eastAsia" w:cs="Times New Roman"/>
                      <w:b/>
                      <w:bCs/>
                    </w:rPr>
                    <w:t>（万t）</w:t>
                  </w:r>
                </w:p>
              </w:tc>
              <w:tc>
                <w:tcPr>
                  <w:tcW w:w="1315" w:type="dxa"/>
                  <w:tcBorders>
                    <w:tl2br w:val="nil"/>
                    <w:tr2bl w:val="nil"/>
                  </w:tcBorders>
                  <w:vAlign w:val="center"/>
                </w:tcPr>
                <w:p w14:paraId="492703E3">
                  <w:pPr>
                    <w:pStyle w:val="59"/>
                    <w:rPr>
                      <w:rFonts w:cs="Times New Roman"/>
                      <w:b/>
                      <w:bCs/>
                    </w:rPr>
                  </w:pPr>
                  <w:r>
                    <w:rPr>
                      <w:rFonts w:hint="eastAsia" w:cs="Times New Roman"/>
                      <w:b/>
                      <w:bCs/>
                    </w:rPr>
                    <w:t>输沙总量（万 t）</w:t>
                  </w:r>
                </w:p>
              </w:tc>
            </w:tr>
            <w:tr w14:paraId="699E9DA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313" w:type="dxa"/>
                  <w:tcBorders>
                    <w:tl2br w:val="nil"/>
                    <w:tr2bl w:val="nil"/>
                  </w:tcBorders>
                  <w:vAlign w:val="center"/>
                </w:tcPr>
                <w:p w14:paraId="677E9EF1">
                  <w:pPr>
                    <w:pStyle w:val="59"/>
                    <w:rPr>
                      <w:rFonts w:cs="Times New Roman"/>
                    </w:rPr>
                  </w:pPr>
                  <w:r>
                    <w:rPr>
                      <w:rFonts w:hint="eastAsia" w:cs="Times New Roman"/>
                    </w:rPr>
                    <w:t>工程河段</w:t>
                  </w:r>
                </w:p>
              </w:tc>
              <w:tc>
                <w:tcPr>
                  <w:tcW w:w="1308" w:type="dxa"/>
                  <w:tcBorders>
                    <w:tl2br w:val="nil"/>
                    <w:tr2bl w:val="nil"/>
                  </w:tcBorders>
                  <w:vAlign w:val="center"/>
                </w:tcPr>
                <w:p w14:paraId="7FA464E1">
                  <w:pPr>
                    <w:pStyle w:val="59"/>
                    <w:rPr>
                      <w:rFonts w:cs="Times New Roman"/>
                    </w:rPr>
                  </w:pPr>
                  <w:r>
                    <w:rPr>
                      <w:rFonts w:cs="Times New Roman"/>
                    </w:rPr>
                    <w:t>189</w:t>
                  </w:r>
                </w:p>
              </w:tc>
              <w:tc>
                <w:tcPr>
                  <w:tcW w:w="1415" w:type="dxa"/>
                  <w:tcBorders>
                    <w:tl2br w:val="nil"/>
                    <w:tr2bl w:val="nil"/>
                  </w:tcBorders>
                  <w:vAlign w:val="center"/>
                </w:tcPr>
                <w:p w14:paraId="60BF0A11">
                  <w:pPr>
                    <w:pStyle w:val="59"/>
                    <w:rPr>
                      <w:rFonts w:cs="Times New Roman"/>
                    </w:rPr>
                  </w:pPr>
                  <w:r>
                    <w:rPr>
                      <w:rFonts w:cs="Times New Roman"/>
                    </w:rPr>
                    <w:t>1050</w:t>
                  </w:r>
                </w:p>
              </w:tc>
              <w:tc>
                <w:tcPr>
                  <w:tcW w:w="1827" w:type="dxa"/>
                  <w:tcBorders>
                    <w:tl2br w:val="nil"/>
                    <w:tr2bl w:val="nil"/>
                  </w:tcBorders>
                  <w:vAlign w:val="center"/>
                </w:tcPr>
                <w:p w14:paraId="1BF2119C">
                  <w:pPr>
                    <w:pStyle w:val="59"/>
                    <w:rPr>
                      <w:rFonts w:cs="Times New Roman"/>
                    </w:rPr>
                  </w:pPr>
                  <w:r>
                    <w:rPr>
                      <w:rFonts w:cs="Times New Roman"/>
                    </w:rPr>
                    <w:t>19.85</w:t>
                  </w:r>
                </w:p>
              </w:tc>
              <w:tc>
                <w:tcPr>
                  <w:tcW w:w="1828" w:type="dxa"/>
                  <w:tcBorders>
                    <w:tl2br w:val="nil"/>
                    <w:tr2bl w:val="nil"/>
                  </w:tcBorders>
                  <w:vAlign w:val="center"/>
                </w:tcPr>
                <w:p w14:paraId="309A4293">
                  <w:pPr>
                    <w:pStyle w:val="59"/>
                    <w:rPr>
                      <w:rFonts w:cs="Times New Roman"/>
                    </w:rPr>
                  </w:pPr>
                  <w:r>
                    <w:rPr>
                      <w:rFonts w:cs="Times New Roman"/>
                    </w:rPr>
                    <w:t>5.96</w:t>
                  </w:r>
                </w:p>
              </w:tc>
              <w:tc>
                <w:tcPr>
                  <w:tcW w:w="1315" w:type="dxa"/>
                  <w:tcBorders>
                    <w:tl2br w:val="nil"/>
                    <w:tr2bl w:val="nil"/>
                  </w:tcBorders>
                  <w:vAlign w:val="center"/>
                </w:tcPr>
                <w:p w14:paraId="28F8BE05">
                  <w:pPr>
                    <w:pStyle w:val="59"/>
                    <w:rPr>
                      <w:rFonts w:cs="Times New Roman"/>
                    </w:rPr>
                  </w:pPr>
                  <w:r>
                    <w:rPr>
                      <w:rFonts w:cs="Times New Roman"/>
                    </w:rPr>
                    <w:t>25.81</w:t>
                  </w:r>
                </w:p>
              </w:tc>
            </w:tr>
          </w:tbl>
          <w:p w14:paraId="05122533">
            <w:pPr>
              <w:pStyle w:val="12"/>
              <w:spacing w:after="0" w:line="360" w:lineRule="auto"/>
              <w:ind w:left="0" w:leftChars="0"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（5）上下游水工建筑物</w:t>
            </w:r>
          </w:p>
          <w:p w14:paraId="2429C4BC">
            <w:pPr>
              <w:pStyle w:val="12"/>
              <w:spacing w:after="0" w:line="360" w:lineRule="auto"/>
              <w:ind w:left="0" w:leftChars="0" w:firstLine="480" w:firstLineChars="200"/>
            </w:pPr>
            <w:r>
              <w:rPr>
                <w:rFonts w:hint="eastAsia"/>
              </w:rPr>
              <w:t>①</w:t>
            </w:r>
            <w:r>
              <w:t>上游</w:t>
            </w:r>
          </w:p>
          <w:p w14:paraId="716D2467">
            <w:pPr>
              <w:pStyle w:val="12"/>
              <w:spacing w:after="0" w:line="360" w:lineRule="auto"/>
              <w:ind w:left="0" w:leftChars="0" w:firstLine="480" w:firstLineChars="200"/>
            </w:pPr>
            <w:r>
              <w:t>经现场调查并结合初步设计成果，本项目治理起点（桩号K0+000，柏秧坪村二台子沟与海螺沟交汇口上游100m处桥）以上5km范围内，河道内未发现拦河坝、引水闸、水库、水电站取水枢纽等水工建筑物，河段基本保持天然状态。工程起点处有跨河乡村道路桥1座，属交通设施，不属于水工建筑物，本项目不涉及对该桥的改建或拆除。</w:t>
            </w:r>
          </w:p>
          <w:p w14:paraId="031A87E5">
            <w:pPr>
              <w:pStyle w:val="12"/>
              <w:spacing w:after="0" w:line="360" w:lineRule="auto"/>
              <w:ind w:left="0" w:leftChars="0" w:firstLine="480" w:firstLineChars="200"/>
            </w:pPr>
            <w:r>
              <w:rPr>
                <w:rFonts w:hint="eastAsia"/>
              </w:rPr>
              <w:t>②</w:t>
            </w:r>
            <w:r>
              <w:t>下游（治理终点）​</w:t>
            </w:r>
          </w:p>
          <w:p w14:paraId="2BDC1510">
            <w:pPr>
              <w:pStyle w:val="12"/>
              <w:spacing w:after="0" w:line="360" w:lineRule="auto"/>
              <w:ind w:left="0" w:leftChars="0" w:firstLine="480" w:firstLineChars="200"/>
            </w:pPr>
            <w:r>
              <w:t>工程治理终点（桩号K0+684.2）即为共和电站取水口拦河坝，该坝为共和水电站已建取水枢纽，坝型为底格栏栅坝，坝顶高程1606.88m，挡水宽度约32m，属第三方既有合法水事设施。拦河坝以下为共和电站引水发电系统，不在本项目评价范围内</w:t>
            </w:r>
            <w:r>
              <w:rPr>
                <w:rFonts w:hint="eastAsia"/>
              </w:rPr>
              <w:t>。</w:t>
            </w:r>
          </w:p>
          <w:p w14:paraId="3520DB7C">
            <w:pPr>
              <w:pStyle w:val="12"/>
              <w:spacing w:after="0" w:line="360" w:lineRule="auto"/>
              <w:ind w:left="0" w:leftChars="0" w:firstLine="480" w:firstLineChars="200"/>
            </w:pPr>
            <w:r>
              <w:rPr>
                <w:rFonts w:hint="eastAsia"/>
              </w:rPr>
              <w:t>③</w:t>
            </w:r>
            <w:r>
              <w:t>水工建筑物对工程河段水文情势的影响</w:t>
            </w:r>
          </w:p>
          <w:p w14:paraId="4890F844">
            <w:pPr>
              <w:pStyle w:val="12"/>
              <w:spacing w:after="0" w:line="360" w:lineRule="auto"/>
              <w:ind w:left="0" w:leftChars="0" w:firstLine="480" w:firstLineChars="200"/>
            </w:pPr>
            <w:r>
              <w:t>工程河段天然状态下纵坡陡、水流湍急；受下游共和电站取水口拦河坝的拦水作用，坝前一定范围内水流由急流转为缓流，形成壅水段，工程末端处于该壅水段末端。初步设计进行水面线推算时，即以共和电站取水口拦河坝作为工程下游控制断面（桩号K0+684.2），采用宽顶堰堰流公式计算其水位流量关系，据此确定工程河段设计水面线。因此，本工程护脚、护岸、丁坝、固床梁等建筑物的设计水位、冲刷深度均按受坝前壅水影响后的水面线确定，工程设计已充分考虑该水工建筑物的存在。</w:t>
            </w:r>
          </w:p>
          <w:p w14:paraId="7C9128D5">
            <w:pPr>
              <w:pStyle w:val="12"/>
              <w:spacing w:after="0" w:line="360" w:lineRule="auto"/>
              <w:ind w:left="0" w:leftChars="0" w:firstLine="480" w:firstLineChars="200"/>
            </w:pPr>
            <w:r>
              <w:rPr>
                <w:rFonts w:hint="eastAsia"/>
              </w:rPr>
              <w:t>④</w:t>
            </w:r>
            <w:r>
              <w:t>工程对该拦河坝的影响</w:t>
            </w:r>
          </w:p>
          <w:p w14:paraId="67D8754D">
            <w:pPr>
              <w:pStyle w:val="12"/>
              <w:spacing w:after="0" w:line="360" w:lineRule="auto"/>
              <w:ind w:left="0" w:leftChars="0" w:firstLine="480" w:firstLineChars="200"/>
            </w:pPr>
            <w:r>
              <w:t>本项目为河道整治工程，工程内容为护脚堤防、钢筋混凝土护脚、丁坝及固床梁，均属河道内及岸坡的防护、稳定建筑物。工程不涉及对共和电站取水口拦河坝坝体、取水廊道及格栅等任何部位的改建、扩建或拆除，不改变该坝坝顶高程、挡水宽度和泄流能力，不改变其取水方式和取水规模；工程建成后不新增取水口，也不新增入河排污口。由于固床梁、护脚均布置于坝上游河段并嵌入河床，工程实施后将抑制河床下切、稳定坝前河床高程，同时减少上游岸坡坍塌及泥石流入河，对该坝基础稳定和取水口正常运行不产生不利影响，且有利于延长其使用寿命。</w:t>
            </w:r>
          </w:p>
          <w:p w14:paraId="761909F9">
            <w:pPr>
              <w:pStyle w:val="12"/>
              <w:spacing w:after="0" w:line="360" w:lineRule="auto"/>
              <w:ind w:left="0" w:leftChars="0" w:firstLine="480" w:firstLineChars="200"/>
            </w:pPr>
            <w:r>
              <w:rPr>
                <w:rFonts w:hint="eastAsia"/>
              </w:rPr>
              <w:t>⑤</w:t>
            </w:r>
            <w:r>
              <w:t>施工期影响及保护措施</w:t>
            </w:r>
          </w:p>
          <w:p w14:paraId="39A09117">
            <w:pPr>
              <w:pStyle w:val="12"/>
              <w:spacing w:after="0" w:line="360" w:lineRule="auto"/>
              <w:ind w:left="0" w:leftChars="0" w:firstLine="480" w:firstLineChars="200"/>
            </w:pPr>
            <w:r>
              <w:t>工程末端紧邻共和电站取水口，施工期砂砾石开挖、围堰填筑与拆除产生的悬浮物可能随水流进入坝前取水廊道，造成底格栏栅堵塞或增加引水含沙量，进而加剧水轮机过流部件磨损</w:t>
            </w:r>
            <w:r>
              <w:rPr>
                <w:rFonts w:hint="eastAsia"/>
              </w:rPr>
              <w:t>。本项目施工期采取了如下措施：</w:t>
            </w:r>
            <w:r>
              <w:t>主体工程安排在枯水期施工，围堰挡水后围堰内干地作业，将施工区与坝前水体隔离；基坑排水经沉淀池静置沉淀后回归原河道，严禁未经沉淀直接抽排；工程末端坝前河段不设置临时堆料场，砂卵石料随挖随运，严禁弃渣入河；施工结束后及时清除围堰及残留料，恢复坝前过流断面。</w:t>
            </w:r>
          </w:p>
          <w:p w14:paraId="5FEAEE1A">
            <w:pPr>
              <w:pStyle w:val="12"/>
              <w:spacing w:after="0" w:line="360" w:lineRule="auto"/>
              <w:ind w:left="0" w:leftChars="0" w:firstLine="480" w:firstLineChars="200"/>
            </w:pPr>
            <w:r>
              <w:t>经采取上述措施，施工期对该取水口的影响可控制在可接受范围。</w:t>
            </w:r>
          </w:p>
          <w:p w14:paraId="52BD57FA">
            <w:pPr>
              <w:pStyle w:val="12"/>
              <w:spacing w:after="0" w:line="360" w:lineRule="auto"/>
              <w:ind w:left="0" w:leftChars="0" w:firstLine="480" w:firstLineChars="200"/>
            </w:pPr>
            <w:r>
              <w:rPr>
                <w:rFonts w:hint="eastAsia"/>
              </w:rPr>
              <w:t>⑥</w:t>
            </w:r>
            <w:r>
              <w:t>饮用水取水口情况</w:t>
            </w:r>
          </w:p>
          <w:p w14:paraId="44E4E750">
            <w:pPr>
              <w:pStyle w:val="12"/>
              <w:spacing w:after="0" w:line="360" w:lineRule="auto"/>
              <w:ind w:left="0" w:leftChars="0" w:firstLine="480" w:firstLineChars="200"/>
            </w:pPr>
            <w:r>
              <w:t>经调查，本项目评价范围内无集中式饮用水水源保护区，无饮用水取水口等设施。共和电站取水口为发电引水，不承担生活供水功能。本项目施工及运行不涉及饮用水水源保护区，不涉及饮用水取水口水质安全。</w:t>
            </w:r>
          </w:p>
          <w:p w14:paraId="1C8ACB92">
            <w:pPr>
              <w:pStyle w:val="12"/>
              <w:spacing w:after="0" w:line="360" w:lineRule="auto"/>
              <w:ind w:left="0" w:leftChars="0" w:firstLine="480" w:firstLineChars="200"/>
            </w:pPr>
            <w:r>
              <w:t>综上，本项目上下游水工建筑物分布清晰，工程终点所邻共和电站取水口拦河坝为既有第三方设施，工程建设不改变其运行条件，施工期影响可通过工程和管理措施有效控制，不存在制约项目建设的重大水工建筑物因素。</w:t>
            </w:r>
          </w:p>
          <w:p w14:paraId="13B05BE9">
            <w:pPr>
              <w:pStyle w:val="12"/>
              <w:spacing w:after="0" w:line="360" w:lineRule="auto"/>
              <w:ind w:left="0" w:leftChars="0" w:firstLine="482" w:firstLineChars="200"/>
              <w:rPr>
                <w:b/>
                <w:bCs/>
              </w:rPr>
            </w:pPr>
            <w:r>
              <w:rPr>
                <w:rFonts w:hint="eastAsia"/>
                <w:b/>
                <w:bCs/>
              </w:rPr>
              <w:t>二、大气环境质量现状</w:t>
            </w:r>
          </w:p>
          <w:p w14:paraId="6FC2B223">
            <w:pPr>
              <w:pStyle w:val="12"/>
              <w:spacing w:after="0" w:line="360" w:lineRule="auto"/>
              <w:ind w:left="0" w:leftChars="0" w:firstLine="480" w:firstLineChars="200"/>
            </w:pPr>
            <w:r>
              <w:rPr>
                <w:rFonts w:hint="eastAsia"/>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w:t>
            </w:r>
          </w:p>
          <w:p w14:paraId="1B38E745">
            <w:pPr>
              <w:pStyle w:val="12"/>
              <w:spacing w:after="0" w:line="360" w:lineRule="auto"/>
              <w:ind w:left="0" w:leftChars="0" w:firstLine="480" w:firstLineChars="200"/>
            </w:pPr>
            <w:r>
              <w:rPr>
                <w:rFonts w:hint="eastAsia"/>
              </w:rPr>
              <w:t>本项目位于甘孜州泸定县，根据泸定县人民政府政务公开文件《泸定县2025年环境空气质量、大渡河流域地表水水质状况公开》，泸定县环境现状如下表所示：</w:t>
            </w:r>
          </w:p>
          <w:p w14:paraId="710D13F6">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6</w:t>
            </w:r>
            <w:r>
              <w:rPr>
                <w:rFonts w:cs="Times New Roman"/>
              </w:rPr>
              <w:fldChar w:fldCharType="end"/>
            </w:r>
            <w:r>
              <w:rPr>
                <w:rFonts w:hint="eastAsia" w:cs="Times New Roman"/>
              </w:rPr>
              <w:t xml:space="preserve">  区域环境空气质量现状评价</w:t>
            </w:r>
          </w:p>
          <w:tbl>
            <w:tblPr>
              <w:tblStyle w:val="29"/>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165"/>
              <w:gridCol w:w="1206"/>
              <w:gridCol w:w="1177"/>
              <w:gridCol w:w="1221"/>
              <w:gridCol w:w="1243"/>
            </w:tblGrid>
            <w:tr w14:paraId="39BB1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551" w:type="pct"/>
                  <w:tcBorders>
                    <w:tl2br w:val="nil"/>
                    <w:tr2bl w:val="nil"/>
                  </w:tcBorders>
                  <w:vAlign w:val="center"/>
                </w:tcPr>
                <w:p w14:paraId="1DC3B2AA">
                  <w:pPr>
                    <w:pStyle w:val="59"/>
                    <w:rPr>
                      <w:rFonts w:cs="Times New Roman"/>
                      <w:b/>
                      <w:bCs/>
                    </w:rPr>
                  </w:pPr>
                  <w:r>
                    <w:rPr>
                      <w:rFonts w:hint="eastAsia" w:cs="Times New Roman"/>
                      <w:b/>
                      <w:bCs/>
                    </w:rPr>
                    <w:t>污染物</w:t>
                  </w:r>
                </w:p>
              </w:tc>
              <w:tc>
                <w:tcPr>
                  <w:tcW w:w="1756" w:type="pct"/>
                  <w:tcBorders>
                    <w:tl2br w:val="nil"/>
                    <w:tr2bl w:val="nil"/>
                  </w:tcBorders>
                  <w:vAlign w:val="center"/>
                </w:tcPr>
                <w:p w14:paraId="77A9E59E">
                  <w:pPr>
                    <w:pStyle w:val="59"/>
                    <w:rPr>
                      <w:rFonts w:cs="Times New Roman"/>
                      <w:b/>
                      <w:bCs/>
                    </w:rPr>
                  </w:pPr>
                  <w:r>
                    <w:rPr>
                      <w:rFonts w:hint="eastAsia" w:cs="Times New Roman"/>
                      <w:b/>
                      <w:bCs/>
                    </w:rPr>
                    <w:t>年评价指标</w:t>
                  </w:r>
                </w:p>
              </w:tc>
              <w:tc>
                <w:tcPr>
                  <w:tcW w:w="669" w:type="pct"/>
                  <w:tcBorders>
                    <w:tl2br w:val="nil"/>
                    <w:tr2bl w:val="nil"/>
                  </w:tcBorders>
                  <w:vAlign w:val="center"/>
                </w:tcPr>
                <w:p w14:paraId="4BDAD1A3">
                  <w:pPr>
                    <w:pStyle w:val="59"/>
                    <w:rPr>
                      <w:rFonts w:cs="Times New Roman"/>
                      <w:b/>
                      <w:bCs/>
                    </w:rPr>
                  </w:pPr>
                  <w:r>
                    <w:rPr>
                      <w:rFonts w:hint="eastAsia" w:cs="Times New Roman"/>
                      <w:b/>
                      <w:bCs/>
                    </w:rPr>
                    <w:t>现状浓度</w:t>
                  </w:r>
                </w:p>
              </w:tc>
              <w:tc>
                <w:tcPr>
                  <w:tcW w:w="653" w:type="pct"/>
                  <w:tcBorders>
                    <w:tl2br w:val="nil"/>
                    <w:tr2bl w:val="nil"/>
                  </w:tcBorders>
                  <w:vAlign w:val="center"/>
                </w:tcPr>
                <w:p w14:paraId="24A94224">
                  <w:pPr>
                    <w:pStyle w:val="59"/>
                    <w:rPr>
                      <w:rFonts w:cs="Times New Roman"/>
                      <w:b/>
                      <w:bCs/>
                    </w:rPr>
                  </w:pPr>
                  <w:r>
                    <w:rPr>
                      <w:rFonts w:hint="eastAsia" w:cs="Times New Roman"/>
                      <w:b/>
                      <w:bCs/>
                    </w:rPr>
                    <w:t>标准值</w:t>
                  </w:r>
                </w:p>
              </w:tc>
              <w:tc>
                <w:tcPr>
                  <w:tcW w:w="678" w:type="pct"/>
                  <w:tcBorders>
                    <w:tl2br w:val="nil"/>
                    <w:tr2bl w:val="nil"/>
                  </w:tcBorders>
                  <w:vAlign w:val="center"/>
                </w:tcPr>
                <w:p w14:paraId="0C5B3673">
                  <w:pPr>
                    <w:pStyle w:val="59"/>
                    <w:rPr>
                      <w:rFonts w:cs="Times New Roman"/>
                      <w:b/>
                      <w:bCs/>
                    </w:rPr>
                  </w:pPr>
                  <w:r>
                    <w:rPr>
                      <w:rFonts w:hint="eastAsia" w:cs="Times New Roman"/>
                      <w:b/>
                      <w:bCs/>
                    </w:rPr>
                    <w:t>占标率</w:t>
                  </w:r>
                </w:p>
              </w:tc>
              <w:tc>
                <w:tcPr>
                  <w:tcW w:w="690" w:type="pct"/>
                  <w:tcBorders>
                    <w:tl2br w:val="nil"/>
                    <w:tr2bl w:val="nil"/>
                  </w:tcBorders>
                  <w:vAlign w:val="center"/>
                </w:tcPr>
                <w:p w14:paraId="22448550">
                  <w:pPr>
                    <w:pStyle w:val="59"/>
                    <w:rPr>
                      <w:rFonts w:cs="Times New Roman"/>
                      <w:b/>
                      <w:bCs/>
                    </w:rPr>
                  </w:pPr>
                  <w:r>
                    <w:rPr>
                      <w:rFonts w:hint="eastAsia" w:cs="Times New Roman"/>
                      <w:b/>
                      <w:bCs/>
                    </w:rPr>
                    <w:t>达标情况</w:t>
                  </w:r>
                </w:p>
              </w:tc>
            </w:tr>
            <w:tr w14:paraId="367B2B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551" w:type="pct"/>
                  <w:tcBorders>
                    <w:tl2br w:val="nil"/>
                    <w:tr2bl w:val="nil"/>
                  </w:tcBorders>
                  <w:vAlign w:val="center"/>
                </w:tcPr>
                <w:p w14:paraId="5947997F">
                  <w:pPr>
                    <w:pStyle w:val="59"/>
                    <w:rPr>
                      <w:rFonts w:cs="Times New Roman"/>
                    </w:rPr>
                  </w:pPr>
                  <w:r>
                    <w:rPr>
                      <w:rFonts w:cs="Times New Roman"/>
                    </w:rPr>
                    <w:t>SO</w:t>
                  </w:r>
                  <w:r>
                    <w:rPr>
                      <w:rFonts w:cs="Times New Roman"/>
                      <w:vertAlign w:val="subscript"/>
                    </w:rPr>
                    <w:t>2</w:t>
                  </w:r>
                </w:p>
              </w:tc>
              <w:tc>
                <w:tcPr>
                  <w:tcW w:w="1756" w:type="pct"/>
                  <w:tcBorders>
                    <w:tl2br w:val="nil"/>
                    <w:tr2bl w:val="nil"/>
                  </w:tcBorders>
                  <w:vAlign w:val="center"/>
                </w:tcPr>
                <w:p w14:paraId="2AD89061">
                  <w:pPr>
                    <w:pStyle w:val="59"/>
                    <w:rPr>
                      <w:rFonts w:cs="Times New Roman"/>
                    </w:rPr>
                  </w:pPr>
                  <w:r>
                    <w:rPr>
                      <w:rFonts w:hint="eastAsia" w:cs="Times New Roman"/>
                    </w:rPr>
                    <w:t>年均值</w:t>
                  </w:r>
                </w:p>
              </w:tc>
              <w:tc>
                <w:tcPr>
                  <w:tcW w:w="669" w:type="pct"/>
                  <w:tcBorders>
                    <w:tl2br w:val="nil"/>
                    <w:tr2bl w:val="nil"/>
                  </w:tcBorders>
                  <w:vAlign w:val="center"/>
                </w:tcPr>
                <w:p w14:paraId="51279AA6">
                  <w:pPr>
                    <w:pStyle w:val="59"/>
                    <w:rPr>
                      <w:rFonts w:cs="Times New Roman"/>
                    </w:rPr>
                  </w:pPr>
                  <w:r>
                    <w:rPr>
                      <w:rFonts w:cs="Times New Roman"/>
                    </w:rPr>
                    <w:t>4.7µg/m³</w:t>
                  </w:r>
                </w:p>
              </w:tc>
              <w:tc>
                <w:tcPr>
                  <w:tcW w:w="653" w:type="pct"/>
                  <w:tcBorders>
                    <w:tl2br w:val="nil"/>
                    <w:tr2bl w:val="nil"/>
                  </w:tcBorders>
                  <w:vAlign w:val="center"/>
                </w:tcPr>
                <w:p w14:paraId="7764C218">
                  <w:pPr>
                    <w:pStyle w:val="59"/>
                    <w:rPr>
                      <w:rFonts w:cs="Times New Roman"/>
                    </w:rPr>
                  </w:pPr>
                  <w:r>
                    <w:rPr>
                      <w:rFonts w:cs="Times New Roman"/>
                    </w:rPr>
                    <w:t>60µg/m³</w:t>
                  </w:r>
                </w:p>
              </w:tc>
              <w:tc>
                <w:tcPr>
                  <w:tcW w:w="1221" w:type="dxa"/>
                  <w:tcBorders>
                    <w:tl2br w:val="nil"/>
                    <w:tr2bl w:val="nil"/>
                  </w:tcBorders>
                  <w:vAlign w:val="center"/>
                </w:tcPr>
                <w:p w14:paraId="6F771338">
                  <w:pPr>
                    <w:pStyle w:val="59"/>
                    <w:rPr>
                      <w:rFonts w:cs="Times New Roman"/>
                    </w:rPr>
                  </w:pPr>
                  <w:r>
                    <w:rPr>
                      <w:rFonts w:cs="Times New Roman"/>
                    </w:rPr>
                    <w:t>7.83%</w:t>
                  </w:r>
                </w:p>
              </w:tc>
              <w:tc>
                <w:tcPr>
                  <w:tcW w:w="690" w:type="pct"/>
                  <w:tcBorders>
                    <w:tl2br w:val="nil"/>
                    <w:tr2bl w:val="nil"/>
                  </w:tcBorders>
                  <w:vAlign w:val="center"/>
                </w:tcPr>
                <w:p w14:paraId="462938F7">
                  <w:pPr>
                    <w:pStyle w:val="59"/>
                    <w:rPr>
                      <w:rFonts w:cs="Times New Roman"/>
                    </w:rPr>
                  </w:pPr>
                  <w:r>
                    <w:rPr>
                      <w:rFonts w:hint="eastAsia" w:cs="Times New Roman"/>
                    </w:rPr>
                    <w:t>达标</w:t>
                  </w:r>
                </w:p>
              </w:tc>
            </w:tr>
            <w:tr w14:paraId="3CC7C0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551" w:type="pct"/>
                  <w:tcBorders>
                    <w:tl2br w:val="nil"/>
                    <w:tr2bl w:val="nil"/>
                  </w:tcBorders>
                  <w:vAlign w:val="center"/>
                </w:tcPr>
                <w:p w14:paraId="2E4784C9">
                  <w:pPr>
                    <w:pStyle w:val="59"/>
                    <w:rPr>
                      <w:rFonts w:cs="Times New Roman"/>
                    </w:rPr>
                  </w:pPr>
                  <w:r>
                    <w:rPr>
                      <w:rFonts w:cs="Times New Roman"/>
                    </w:rPr>
                    <w:t>NO</w:t>
                  </w:r>
                  <w:r>
                    <w:rPr>
                      <w:rFonts w:cs="Times New Roman"/>
                      <w:vertAlign w:val="subscript"/>
                    </w:rPr>
                    <w:t>2</w:t>
                  </w:r>
                </w:p>
              </w:tc>
              <w:tc>
                <w:tcPr>
                  <w:tcW w:w="1756" w:type="pct"/>
                  <w:tcBorders>
                    <w:tl2br w:val="nil"/>
                    <w:tr2bl w:val="nil"/>
                  </w:tcBorders>
                  <w:vAlign w:val="center"/>
                </w:tcPr>
                <w:p w14:paraId="08BDCCF1">
                  <w:pPr>
                    <w:pStyle w:val="59"/>
                    <w:rPr>
                      <w:rFonts w:cs="Times New Roman"/>
                    </w:rPr>
                  </w:pPr>
                  <w:r>
                    <w:rPr>
                      <w:rFonts w:hint="eastAsia" w:cs="Times New Roman"/>
                    </w:rPr>
                    <w:t>年均值</w:t>
                  </w:r>
                </w:p>
              </w:tc>
              <w:tc>
                <w:tcPr>
                  <w:tcW w:w="669" w:type="pct"/>
                  <w:tcBorders>
                    <w:tl2br w:val="nil"/>
                    <w:tr2bl w:val="nil"/>
                  </w:tcBorders>
                  <w:vAlign w:val="center"/>
                </w:tcPr>
                <w:p w14:paraId="746BFCAF">
                  <w:pPr>
                    <w:pStyle w:val="59"/>
                    <w:rPr>
                      <w:rFonts w:cs="Times New Roman"/>
                    </w:rPr>
                  </w:pPr>
                  <w:r>
                    <w:rPr>
                      <w:rFonts w:cs="Times New Roman"/>
                    </w:rPr>
                    <w:t>7.3µg/m³</w:t>
                  </w:r>
                </w:p>
              </w:tc>
              <w:tc>
                <w:tcPr>
                  <w:tcW w:w="653" w:type="pct"/>
                  <w:tcBorders>
                    <w:tl2br w:val="nil"/>
                    <w:tr2bl w:val="nil"/>
                  </w:tcBorders>
                  <w:vAlign w:val="center"/>
                </w:tcPr>
                <w:p w14:paraId="6DC9BC2F">
                  <w:pPr>
                    <w:pStyle w:val="59"/>
                    <w:rPr>
                      <w:rFonts w:cs="Times New Roman"/>
                    </w:rPr>
                  </w:pPr>
                  <w:r>
                    <w:rPr>
                      <w:rFonts w:cs="Times New Roman"/>
                    </w:rPr>
                    <w:t>40µg/m³</w:t>
                  </w:r>
                </w:p>
              </w:tc>
              <w:tc>
                <w:tcPr>
                  <w:tcW w:w="1221" w:type="dxa"/>
                  <w:tcBorders>
                    <w:tl2br w:val="nil"/>
                    <w:tr2bl w:val="nil"/>
                  </w:tcBorders>
                  <w:vAlign w:val="center"/>
                </w:tcPr>
                <w:p w14:paraId="6F454597">
                  <w:pPr>
                    <w:pStyle w:val="59"/>
                    <w:rPr>
                      <w:rFonts w:cs="Times New Roman"/>
                    </w:rPr>
                  </w:pPr>
                  <w:r>
                    <w:rPr>
                      <w:rFonts w:cs="Times New Roman"/>
                    </w:rPr>
                    <w:t>18.25%</w:t>
                  </w:r>
                </w:p>
              </w:tc>
              <w:tc>
                <w:tcPr>
                  <w:tcW w:w="690" w:type="pct"/>
                  <w:tcBorders>
                    <w:tl2br w:val="nil"/>
                    <w:tr2bl w:val="nil"/>
                  </w:tcBorders>
                  <w:vAlign w:val="center"/>
                </w:tcPr>
                <w:p w14:paraId="4F8BAF0F">
                  <w:pPr>
                    <w:pStyle w:val="59"/>
                    <w:rPr>
                      <w:rFonts w:cs="Times New Roman"/>
                    </w:rPr>
                  </w:pPr>
                  <w:r>
                    <w:rPr>
                      <w:rFonts w:hint="eastAsia" w:cs="Times New Roman"/>
                    </w:rPr>
                    <w:t>达标</w:t>
                  </w:r>
                </w:p>
              </w:tc>
            </w:tr>
            <w:tr w14:paraId="762B96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blHeader/>
              </w:trPr>
              <w:tc>
                <w:tcPr>
                  <w:tcW w:w="551" w:type="pct"/>
                  <w:tcBorders>
                    <w:tl2br w:val="nil"/>
                    <w:tr2bl w:val="nil"/>
                  </w:tcBorders>
                  <w:vAlign w:val="center"/>
                </w:tcPr>
                <w:p w14:paraId="562BC1E5">
                  <w:pPr>
                    <w:pStyle w:val="59"/>
                    <w:rPr>
                      <w:rFonts w:cs="Times New Roman"/>
                    </w:rPr>
                  </w:pPr>
                  <w:r>
                    <w:rPr>
                      <w:rFonts w:cs="Times New Roman"/>
                    </w:rPr>
                    <w:t>PM</w:t>
                  </w:r>
                  <w:r>
                    <w:rPr>
                      <w:rFonts w:cs="Times New Roman"/>
                      <w:vertAlign w:val="subscript"/>
                    </w:rPr>
                    <w:t>10</w:t>
                  </w:r>
                </w:p>
              </w:tc>
              <w:tc>
                <w:tcPr>
                  <w:tcW w:w="1756" w:type="pct"/>
                  <w:tcBorders>
                    <w:tl2br w:val="nil"/>
                    <w:tr2bl w:val="nil"/>
                  </w:tcBorders>
                  <w:vAlign w:val="center"/>
                </w:tcPr>
                <w:p w14:paraId="67BA4FAC">
                  <w:pPr>
                    <w:pStyle w:val="59"/>
                    <w:rPr>
                      <w:rFonts w:cs="Times New Roman"/>
                    </w:rPr>
                  </w:pPr>
                  <w:r>
                    <w:rPr>
                      <w:rFonts w:hint="eastAsia" w:cs="Times New Roman"/>
                    </w:rPr>
                    <w:t>年均值</w:t>
                  </w:r>
                </w:p>
              </w:tc>
              <w:tc>
                <w:tcPr>
                  <w:tcW w:w="669" w:type="pct"/>
                  <w:tcBorders>
                    <w:tl2br w:val="nil"/>
                    <w:tr2bl w:val="nil"/>
                  </w:tcBorders>
                  <w:vAlign w:val="center"/>
                </w:tcPr>
                <w:p w14:paraId="718F5F62">
                  <w:pPr>
                    <w:pStyle w:val="59"/>
                    <w:rPr>
                      <w:rFonts w:cs="Times New Roman"/>
                    </w:rPr>
                  </w:pPr>
                  <w:r>
                    <w:rPr>
                      <w:rFonts w:cs="Times New Roman"/>
                    </w:rPr>
                    <w:t>16.7µg/m³</w:t>
                  </w:r>
                </w:p>
              </w:tc>
              <w:tc>
                <w:tcPr>
                  <w:tcW w:w="653" w:type="pct"/>
                  <w:tcBorders>
                    <w:tl2br w:val="nil"/>
                    <w:tr2bl w:val="nil"/>
                  </w:tcBorders>
                  <w:vAlign w:val="center"/>
                </w:tcPr>
                <w:p w14:paraId="244B3401">
                  <w:pPr>
                    <w:pStyle w:val="59"/>
                    <w:rPr>
                      <w:rFonts w:cs="Times New Roman"/>
                    </w:rPr>
                  </w:pPr>
                  <w:r>
                    <w:rPr>
                      <w:rFonts w:cs="Times New Roman"/>
                    </w:rPr>
                    <w:t>60µg/m³</w:t>
                  </w:r>
                </w:p>
              </w:tc>
              <w:tc>
                <w:tcPr>
                  <w:tcW w:w="1221" w:type="dxa"/>
                  <w:tcBorders>
                    <w:tl2br w:val="nil"/>
                    <w:tr2bl w:val="nil"/>
                  </w:tcBorders>
                  <w:vAlign w:val="center"/>
                </w:tcPr>
                <w:p w14:paraId="7416D883">
                  <w:pPr>
                    <w:pStyle w:val="59"/>
                    <w:rPr>
                      <w:rFonts w:cs="Times New Roman"/>
                    </w:rPr>
                  </w:pPr>
                  <w:r>
                    <w:rPr>
                      <w:rFonts w:cs="Times New Roman"/>
                    </w:rPr>
                    <w:t>27.83%</w:t>
                  </w:r>
                </w:p>
              </w:tc>
              <w:tc>
                <w:tcPr>
                  <w:tcW w:w="690" w:type="pct"/>
                  <w:tcBorders>
                    <w:tl2br w:val="nil"/>
                    <w:tr2bl w:val="nil"/>
                  </w:tcBorders>
                  <w:vAlign w:val="center"/>
                </w:tcPr>
                <w:p w14:paraId="2B7D04BD">
                  <w:pPr>
                    <w:pStyle w:val="59"/>
                    <w:rPr>
                      <w:rFonts w:cs="Times New Roman"/>
                    </w:rPr>
                  </w:pPr>
                  <w:r>
                    <w:rPr>
                      <w:rFonts w:hint="eastAsia" w:cs="Times New Roman"/>
                    </w:rPr>
                    <w:t>达标</w:t>
                  </w:r>
                </w:p>
              </w:tc>
            </w:tr>
            <w:tr w14:paraId="46EA2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tblHeader/>
              </w:trPr>
              <w:tc>
                <w:tcPr>
                  <w:tcW w:w="551" w:type="pct"/>
                  <w:tcBorders>
                    <w:tl2br w:val="nil"/>
                    <w:tr2bl w:val="nil"/>
                  </w:tcBorders>
                  <w:vAlign w:val="center"/>
                </w:tcPr>
                <w:p w14:paraId="014930BB">
                  <w:pPr>
                    <w:pStyle w:val="59"/>
                    <w:rPr>
                      <w:rFonts w:cs="Times New Roman"/>
                    </w:rPr>
                  </w:pPr>
                  <w:r>
                    <w:rPr>
                      <w:rFonts w:cs="Times New Roman"/>
                    </w:rPr>
                    <w:t>Pm²</w:t>
                  </w:r>
                  <w:r>
                    <w:rPr>
                      <w:rFonts w:cs="Times New Roman"/>
                      <w:vertAlign w:val="subscript"/>
                    </w:rPr>
                    <w:t>.5</w:t>
                  </w:r>
                </w:p>
              </w:tc>
              <w:tc>
                <w:tcPr>
                  <w:tcW w:w="1756" w:type="pct"/>
                  <w:tcBorders>
                    <w:tl2br w:val="nil"/>
                    <w:tr2bl w:val="nil"/>
                  </w:tcBorders>
                  <w:vAlign w:val="center"/>
                </w:tcPr>
                <w:p w14:paraId="6FDF1F84">
                  <w:pPr>
                    <w:pStyle w:val="59"/>
                    <w:rPr>
                      <w:rFonts w:cs="Times New Roman"/>
                    </w:rPr>
                  </w:pPr>
                  <w:r>
                    <w:rPr>
                      <w:rFonts w:hint="eastAsia" w:cs="Times New Roman"/>
                    </w:rPr>
                    <w:t>年均值</w:t>
                  </w:r>
                </w:p>
              </w:tc>
              <w:tc>
                <w:tcPr>
                  <w:tcW w:w="669" w:type="pct"/>
                  <w:tcBorders>
                    <w:tl2br w:val="nil"/>
                    <w:tr2bl w:val="nil"/>
                  </w:tcBorders>
                  <w:vAlign w:val="center"/>
                </w:tcPr>
                <w:p w14:paraId="5DC903E3">
                  <w:pPr>
                    <w:pStyle w:val="59"/>
                    <w:rPr>
                      <w:rFonts w:cs="Times New Roman"/>
                    </w:rPr>
                  </w:pPr>
                  <w:r>
                    <w:rPr>
                      <w:rFonts w:cs="Times New Roman"/>
                    </w:rPr>
                    <w:t>9.7µg/m³</w:t>
                  </w:r>
                </w:p>
              </w:tc>
              <w:tc>
                <w:tcPr>
                  <w:tcW w:w="653" w:type="pct"/>
                  <w:tcBorders>
                    <w:tl2br w:val="nil"/>
                    <w:tr2bl w:val="nil"/>
                  </w:tcBorders>
                  <w:vAlign w:val="center"/>
                </w:tcPr>
                <w:p w14:paraId="03A7074A">
                  <w:pPr>
                    <w:pStyle w:val="59"/>
                    <w:rPr>
                      <w:rFonts w:cs="Times New Roman"/>
                    </w:rPr>
                  </w:pPr>
                  <w:r>
                    <w:rPr>
                      <w:rFonts w:cs="Times New Roman"/>
                    </w:rPr>
                    <w:t>30µg/m³</w:t>
                  </w:r>
                </w:p>
              </w:tc>
              <w:tc>
                <w:tcPr>
                  <w:tcW w:w="1221" w:type="dxa"/>
                  <w:tcBorders>
                    <w:tl2br w:val="nil"/>
                    <w:tr2bl w:val="nil"/>
                  </w:tcBorders>
                  <w:vAlign w:val="center"/>
                </w:tcPr>
                <w:p w14:paraId="39CF63F8">
                  <w:pPr>
                    <w:pStyle w:val="59"/>
                    <w:rPr>
                      <w:rFonts w:cs="Times New Roman"/>
                    </w:rPr>
                  </w:pPr>
                  <w:r>
                    <w:rPr>
                      <w:rFonts w:cs="Times New Roman"/>
                    </w:rPr>
                    <w:t>32.33%</w:t>
                  </w:r>
                </w:p>
              </w:tc>
              <w:tc>
                <w:tcPr>
                  <w:tcW w:w="690" w:type="pct"/>
                  <w:tcBorders>
                    <w:tl2br w:val="nil"/>
                    <w:tr2bl w:val="nil"/>
                  </w:tcBorders>
                  <w:vAlign w:val="center"/>
                </w:tcPr>
                <w:p w14:paraId="643B02E0">
                  <w:pPr>
                    <w:pStyle w:val="59"/>
                    <w:rPr>
                      <w:rFonts w:cs="Times New Roman"/>
                    </w:rPr>
                  </w:pPr>
                  <w:r>
                    <w:rPr>
                      <w:rFonts w:hint="eastAsia" w:cs="Times New Roman"/>
                    </w:rPr>
                    <w:t>达标</w:t>
                  </w:r>
                </w:p>
              </w:tc>
            </w:tr>
            <w:tr w14:paraId="7F6A63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551" w:type="pct"/>
                  <w:tcBorders>
                    <w:tl2br w:val="nil"/>
                    <w:tr2bl w:val="nil"/>
                  </w:tcBorders>
                  <w:vAlign w:val="center"/>
                </w:tcPr>
                <w:p w14:paraId="1FDEDDF0">
                  <w:pPr>
                    <w:pStyle w:val="59"/>
                    <w:rPr>
                      <w:rFonts w:cs="Times New Roman"/>
                    </w:rPr>
                  </w:pPr>
                  <w:r>
                    <w:rPr>
                      <w:rFonts w:cs="Times New Roman"/>
                    </w:rPr>
                    <w:t>CO</w:t>
                  </w:r>
                </w:p>
              </w:tc>
              <w:tc>
                <w:tcPr>
                  <w:tcW w:w="1756" w:type="pct"/>
                  <w:tcBorders>
                    <w:tl2br w:val="nil"/>
                    <w:tr2bl w:val="nil"/>
                  </w:tcBorders>
                  <w:vAlign w:val="center"/>
                </w:tcPr>
                <w:p w14:paraId="43F50FC3">
                  <w:pPr>
                    <w:pStyle w:val="59"/>
                    <w:rPr>
                      <w:rFonts w:cs="Times New Roman"/>
                    </w:rPr>
                  </w:pPr>
                  <w:r>
                    <w:rPr>
                      <w:rFonts w:hint="eastAsia" w:cs="Times New Roman"/>
                    </w:rPr>
                    <w:t>日均值第95百分位数</w:t>
                  </w:r>
                </w:p>
              </w:tc>
              <w:tc>
                <w:tcPr>
                  <w:tcW w:w="669" w:type="pct"/>
                  <w:tcBorders>
                    <w:tl2br w:val="nil"/>
                    <w:tr2bl w:val="nil"/>
                  </w:tcBorders>
                  <w:vAlign w:val="center"/>
                </w:tcPr>
                <w:p w14:paraId="2B6A81EF">
                  <w:pPr>
                    <w:pStyle w:val="59"/>
                    <w:rPr>
                      <w:rFonts w:cs="Times New Roman"/>
                    </w:rPr>
                  </w:pPr>
                  <w:r>
                    <w:rPr>
                      <w:rFonts w:cs="Times New Roman"/>
                    </w:rPr>
                    <w:t>0.7mg/m³</w:t>
                  </w:r>
                </w:p>
              </w:tc>
              <w:tc>
                <w:tcPr>
                  <w:tcW w:w="653" w:type="pct"/>
                  <w:tcBorders>
                    <w:tl2br w:val="nil"/>
                    <w:tr2bl w:val="nil"/>
                  </w:tcBorders>
                  <w:vAlign w:val="center"/>
                </w:tcPr>
                <w:p w14:paraId="30077C5A">
                  <w:pPr>
                    <w:pStyle w:val="59"/>
                    <w:rPr>
                      <w:rFonts w:cs="Times New Roman"/>
                    </w:rPr>
                  </w:pPr>
                  <w:r>
                    <w:rPr>
                      <w:rFonts w:cs="Times New Roman"/>
                    </w:rPr>
                    <w:t>4mg/m³</w:t>
                  </w:r>
                </w:p>
              </w:tc>
              <w:tc>
                <w:tcPr>
                  <w:tcW w:w="1221" w:type="dxa"/>
                  <w:tcBorders>
                    <w:tl2br w:val="nil"/>
                    <w:tr2bl w:val="nil"/>
                  </w:tcBorders>
                  <w:vAlign w:val="center"/>
                </w:tcPr>
                <w:p w14:paraId="2A3A49F6">
                  <w:pPr>
                    <w:pStyle w:val="59"/>
                    <w:rPr>
                      <w:rFonts w:cs="Times New Roman"/>
                    </w:rPr>
                  </w:pPr>
                  <w:r>
                    <w:rPr>
                      <w:rFonts w:cs="Times New Roman"/>
                    </w:rPr>
                    <w:t>17.50%</w:t>
                  </w:r>
                </w:p>
              </w:tc>
              <w:tc>
                <w:tcPr>
                  <w:tcW w:w="690" w:type="pct"/>
                  <w:tcBorders>
                    <w:tl2br w:val="nil"/>
                    <w:tr2bl w:val="nil"/>
                  </w:tcBorders>
                  <w:vAlign w:val="center"/>
                </w:tcPr>
                <w:p w14:paraId="19341DDD">
                  <w:pPr>
                    <w:pStyle w:val="59"/>
                    <w:rPr>
                      <w:rFonts w:cs="Times New Roman"/>
                    </w:rPr>
                  </w:pPr>
                  <w:r>
                    <w:rPr>
                      <w:rFonts w:hint="eastAsia" w:cs="Times New Roman"/>
                    </w:rPr>
                    <w:t>达标</w:t>
                  </w:r>
                </w:p>
              </w:tc>
            </w:tr>
            <w:tr w14:paraId="2926CD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551" w:type="pct"/>
                  <w:tcBorders>
                    <w:tl2br w:val="nil"/>
                    <w:tr2bl w:val="nil"/>
                  </w:tcBorders>
                  <w:vAlign w:val="center"/>
                </w:tcPr>
                <w:p w14:paraId="2F706DC5">
                  <w:pPr>
                    <w:pStyle w:val="59"/>
                    <w:rPr>
                      <w:rFonts w:cs="Times New Roman"/>
                    </w:rPr>
                  </w:pPr>
                  <w:r>
                    <w:rPr>
                      <w:rFonts w:cs="Times New Roman"/>
                    </w:rPr>
                    <w:t>O</w:t>
                  </w:r>
                  <w:r>
                    <w:rPr>
                      <w:rFonts w:cs="Times New Roman"/>
                      <w:vertAlign w:val="subscript"/>
                    </w:rPr>
                    <w:t>3</w:t>
                  </w:r>
                </w:p>
              </w:tc>
              <w:tc>
                <w:tcPr>
                  <w:tcW w:w="1756" w:type="pct"/>
                  <w:tcBorders>
                    <w:tl2br w:val="nil"/>
                    <w:tr2bl w:val="nil"/>
                  </w:tcBorders>
                  <w:vAlign w:val="center"/>
                </w:tcPr>
                <w:p w14:paraId="072FEE85">
                  <w:pPr>
                    <w:pStyle w:val="59"/>
                    <w:rPr>
                      <w:rFonts w:cs="Times New Roman"/>
                    </w:rPr>
                  </w:pPr>
                  <w:r>
                    <w:rPr>
                      <w:rFonts w:hint="eastAsia" w:cs="Times New Roman"/>
                    </w:rPr>
                    <w:t>日最大8小时均值第90百分位数</w:t>
                  </w:r>
                </w:p>
              </w:tc>
              <w:tc>
                <w:tcPr>
                  <w:tcW w:w="669" w:type="pct"/>
                  <w:tcBorders>
                    <w:tl2br w:val="nil"/>
                    <w:tr2bl w:val="nil"/>
                  </w:tcBorders>
                  <w:vAlign w:val="center"/>
                </w:tcPr>
                <w:p w14:paraId="54DE1086">
                  <w:pPr>
                    <w:pStyle w:val="59"/>
                    <w:rPr>
                      <w:rFonts w:cs="Times New Roman"/>
                    </w:rPr>
                  </w:pPr>
                  <w:r>
                    <w:rPr>
                      <w:rFonts w:cs="Times New Roman"/>
                    </w:rPr>
                    <w:t>63.7µg/m³</w:t>
                  </w:r>
                </w:p>
              </w:tc>
              <w:tc>
                <w:tcPr>
                  <w:tcW w:w="653" w:type="pct"/>
                  <w:tcBorders>
                    <w:tl2br w:val="nil"/>
                    <w:tr2bl w:val="nil"/>
                  </w:tcBorders>
                  <w:vAlign w:val="center"/>
                </w:tcPr>
                <w:p w14:paraId="662CC4F6">
                  <w:pPr>
                    <w:pStyle w:val="59"/>
                    <w:rPr>
                      <w:rFonts w:cs="Times New Roman"/>
                    </w:rPr>
                  </w:pPr>
                  <w:r>
                    <w:rPr>
                      <w:rFonts w:cs="Times New Roman"/>
                    </w:rPr>
                    <w:t>160µg/m³</w:t>
                  </w:r>
                </w:p>
              </w:tc>
              <w:tc>
                <w:tcPr>
                  <w:tcW w:w="1221" w:type="dxa"/>
                  <w:tcBorders>
                    <w:tl2br w:val="nil"/>
                    <w:tr2bl w:val="nil"/>
                  </w:tcBorders>
                  <w:vAlign w:val="center"/>
                </w:tcPr>
                <w:p w14:paraId="5E8CFADD">
                  <w:pPr>
                    <w:pStyle w:val="59"/>
                    <w:rPr>
                      <w:rFonts w:cs="Times New Roman"/>
                    </w:rPr>
                  </w:pPr>
                  <w:r>
                    <w:rPr>
                      <w:rFonts w:cs="Times New Roman"/>
                    </w:rPr>
                    <w:t>39.81%</w:t>
                  </w:r>
                </w:p>
              </w:tc>
              <w:tc>
                <w:tcPr>
                  <w:tcW w:w="690" w:type="pct"/>
                  <w:tcBorders>
                    <w:tl2br w:val="nil"/>
                    <w:tr2bl w:val="nil"/>
                  </w:tcBorders>
                  <w:vAlign w:val="center"/>
                </w:tcPr>
                <w:p w14:paraId="6180E6E5">
                  <w:pPr>
                    <w:pStyle w:val="59"/>
                    <w:rPr>
                      <w:rFonts w:cs="Times New Roman"/>
                    </w:rPr>
                  </w:pPr>
                  <w:r>
                    <w:rPr>
                      <w:rFonts w:hint="eastAsia" w:cs="Times New Roman"/>
                    </w:rPr>
                    <w:t>达标</w:t>
                  </w:r>
                </w:p>
              </w:tc>
            </w:tr>
          </w:tbl>
          <w:p w14:paraId="50ABB603">
            <w:pPr>
              <w:spacing w:before="156" w:beforeLines="50" w:line="360" w:lineRule="auto"/>
              <w:ind w:firstLine="480" w:firstLineChars="200"/>
              <w:jc w:val="left"/>
              <w:rPr>
                <w:b/>
                <w:bCs/>
              </w:rPr>
            </w:pPr>
            <w:r>
              <w:rPr>
                <w:rFonts w:hint="eastAsia"/>
              </w:rPr>
              <w:t>本项目大气环境质量现状数据来源于泸定县人民政府政务公开的《泸定县2025年环境空气质量状况》，属于生态环境主管部门公开发布的环境空气质量数据，符合《建设项目环境影响报告表编制技术指南（生态影响类）（试行）》关于引用数据的要求。数据为2025年1—12月整年数据，时段为评价基准年前最近一个完整日历年，满足《环境影响评价技术导则 大气环境》（HJ 2.2—2018）对引用近3年数据的要求；监测站设于泸定县县城，代表县城建成区；本项目所在区域为农村山区，无工业大气污染源，污染物浓度总体不高于县城，引用结果偏保守，具有代表性。本项目所在区域为环境空气二类功能区，执行GB 3095—2026二级标准，评价时点处于2026年3月1日至2030年12月31日的过渡阶段，按过渡阶段限值评价取值正确。综上，本次引用的现状数据来源合法、时段适宜、统计规范、具有代表性，评价结果有效；泸定县2025年六项基本污染物年评价指标占标率分别为7.83%、18.25%、27.83%、32.33%、17.50%、39.81%，均满足过渡阶段二级标准限值要求，</w:t>
            </w:r>
            <w:r>
              <w:rPr>
                <w:rFonts w:hint="eastAsia"/>
                <w:b/>
                <w:bCs/>
              </w:rPr>
              <w:t>项目所在区域为环境空气质量达标区。</w:t>
            </w:r>
          </w:p>
          <w:p w14:paraId="66727C16">
            <w:pPr>
              <w:pStyle w:val="106"/>
              <w:ind w:firstLine="482"/>
              <w:rPr>
                <w:b/>
                <w:bCs/>
              </w:rPr>
            </w:pPr>
            <w:r>
              <w:rPr>
                <w:rFonts w:hint="eastAsia"/>
                <w:b/>
                <w:bCs/>
              </w:rPr>
              <w:t>三、地表水环境质量现状</w:t>
            </w:r>
          </w:p>
          <w:p w14:paraId="510F4084">
            <w:pPr>
              <w:pStyle w:val="106"/>
            </w:pPr>
            <w:r>
              <w:rPr>
                <w:rFonts w:hint="eastAsia"/>
              </w:rPr>
              <w:t>本项目所在的海螺沟属于大渡河左岸二级支流，根据泸定县人民政府政务公开文件《泸定县2025年环境空气质量、大渡河流域地表水水质状况公开》，鸳鸯坝入境断面和大岗山出境断面2个监测断面监测值均达到《地表水环境质量标准》（GB3838-2002）Ⅱ类及以上标准限值要求，达标率100%，因此本项目所在区域地表水环境质量良好。</w:t>
            </w:r>
          </w:p>
          <w:p w14:paraId="512AF0B4">
            <w:pPr>
              <w:pStyle w:val="106"/>
            </w:pPr>
            <w:r>
              <w:rPr>
                <w:rFonts w:hint="eastAsia"/>
              </w:rPr>
              <w:t>为了掌握区域内地表水环境质量现状，本次评价委托四川锡水金山环保科技有限公司于2026年6月19日~21日对项目所在区域地表水现状进行了监测。本次评价在工程河段起点上游、工程河段终点下游分别设置监测断面，根据四川锡水金山环保科技有限公司出具的地表水现状监测数据（锡环检字（2026）第0628601号），对本项目区域地表水环境质量进行达标判定。</w:t>
            </w:r>
          </w:p>
          <w:p w14:paraId="776100AE">
            <w:pPr>
              <w:pStyle w:val="106"/>
              <w:ind w:firstLine="482"/>
              <w:rPr>
                <w:b/>
                <w:bCs/>
              </w:rPr>
            </w:pPr>
            <w:r>
              <w:rPr>
                <w:rFonts w:hint="eastAsia"/>
                <w:b/>
                <w:bCs/>
              </w:rPr>
              <w:t>1、监测点位、项目及频次</w:t>
            </w:r>
          </w:p>
          <w:p w14:paraId="5F640480">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7</w:t>
            </w:r>
            <w:r>
              <w:rPr>
                <w:rFonts w:cs="Times New Roman"/>
              </w:rPr>
              <w:fldChar w:fldCharType="end"/>
            </w:r>
            <w:r>
              <w:rPr>
                <w:rFonts w:hint="eastAsia" w:cs="Times New Roman"/>
              </w:rPr>
              <w:t xml:space="preserve">  地表水监测点位表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1002"/>
              <w:gridCol w:w="798"/>
              <w:gridCol w:w="2078"/>
              <w:gridCol w:w="3310"/>
              <w:gridCol w:w="1817"/>
            </w:tblGrid>
            <w:tr w14:paraId="1B9618C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jc w:val="center"/>
              </w:trPr>
              <w:tc>
                <w:tcPr>
                  <w:tcW w:w="556" w:type="pct"/>
                  <w:tcBorders>
                    <w:tl2br w:val="nil"/>
                    <w:tr2bl w:val="nil"/>
                  </w:tcBorders>
                  <w:vAlign w:val="center"/>
                </w:tcPr>
                <w:p w14:paraId="1B0D94EB">
                  <w:pPr>
                    <w:pStyle w:val="24"/>
                    <w:spacing w:beforeAutospacing="0" w:afterAutospacing="0"/>
                    <w:jc w:val="center"/>
                    <w:rPr>
                      <w:b/>
                      <w:bCs/>
                      <w:sz w:val="21"/>
                      <w:szCs w:val="21"/>
                    </w:rPr>
                  </w:pPr>
                  <w:r>
                    <w:rPr>
                      <w:rFonts w:hint="eastAsia"/>
                      <w:b/>
                      <w:bCs/>
                      <w:sz w:val="21"/>
                      <w:szCs w:val="21"/>
                    </w:rPr>
                    <w:t>地表水体</w:t>
                  </w:r>
                </w:p>
              </w:tc>
              <w:tc>
                <w:tcPr>
                  <w:tcW w:w="443" w:type="pct"/>
                  <w:tcBorders>
                    <w:tl2br w:val="nil"/>
                    <w:tr2bl w:val="nil"/>
                  </w:tcBorders>
                  <w:vAlign w:val="center"/>
                </w:tcPr>
                <w:p w14:paraId="7316BCDB">
                  <w:pPr>
                    <w:pStyle w:val="24"/>
                    <w:spacing w:beforeAutospacing="0" w:afterAutospacing="0"/>
                    <w:jc w:val="center"/>
                    <w:rPr>
                      <w:b/>
                      <w:bCs/>
                      <w:sz w:val="21"/>
                      <w:szCs w:val="21"/>
                    </w:rPr>
                  </w:pPr>
                  <w:r>
                    <w:rPr>
                      <w:rFonts w:hint="eastAsia"/>
                      <w:b/>
                      <w:bCs/>
                      <w:sz w:val="21"/>
                      <w:szCs w:val="21"/>
                    </w:rPr>
                    <w:t>监测点位</w:t>
                  </w:r>
                </w:p>
              </w:tc>
              <w:tc>
                <w:tcPr>
                  <w:tcW w:w="1153" w:type="pct"/>
                  <w:tcBorders>
                    <w:tl2br w:val="nil"/>
                    <w:tr2bl w:val="nil"/>
                  </w:tcBorders>
                  <w:vAlign w:val="center"/>
                </w:tcPr>
                <w:p w14:paraId="4A581452">
                  <w:pPr>
                    <w:pStyle w:val="24"/>
                    <w:spacing w:beforeAutospacing="0" w:afterAutospacing="0"/>
                    <w:jc w:val="center"/>
                    <w:rPr>
                      <w:b/>
                      <w:bCs/>
                      <w:sz w:val="21"/>
                      <w:szCs w:val="21"/>
                    </w:rPr>
                  </w:pPr>
                  <w:r>
                    <w:rPr>
                      <w:rFonts w:hint="eastAsia"/>
                      <w:b/>
                      <w:bCs/>
                      <w:sz w:val="21"/>
                      <w:szCs w:val="21"/>
                    </w:rPr>
                    <w:t>监测位置</w:t>
                  </w:r>
                </w:p>
              </w:tc>
              <w:tc>
                <w:tcPr>
                  <w:tcW w:w="1837" w:type="pct"/>
                  <w:tcBorders>
                    <w:tl2br w:val="nil"/>
                    <w:tr2bl w:val="nil"/>
                  </w:tcBorders>
                  <w:vAlign w:val="center"/>
                </w:tcPr>
                <w:p w14:paraId="301063E2">
                  <w:pPr>
                    <w:pStyle w:val="24"/>
                    <w:spacing w:beforeAutospacing="0" w:afterAutospacing="0"/>
                    <w:jc w:val="center"/>
                    <w:rPr>
                      <w:b/>
                      <w:bCs/>
                      <w:sz w:val="21"/>
                      <w:szCs w:val="21"/>
                    </w:rPr>
                  </w:pPr>
                  <w:r>
                    <w:rPr>
                      <w:rFonts w:hint="eastAsia"/>
                      <w:b/>
                      <w:bCs/>
                      <w:sz w:val="21"/>
                      <w:szCs w:val="21"/>
                    </w:rPr>
                    <w:t>监测项目</w:t>
                  </w:r>
                </w:p>
              </w:tc>
              <w:tc>
                <w:tcPr>
                  <w:tcW w:w="1008" w:type="pct"/>
                  <w:tcBorders>
                    <w:tl2br w:val="nil"/>
                    <w:tr2bl w:val="nil"/>
                  </w:tcBorders>
                  <w:vAlign w:val="center"/>
                </w:tcPr>
                <w:p w14:paraId="7FD4A39F">
                  <w:pPr>
                    <w:pStyle w:val="24"/>
                    <w:spacing w:beforeAutospacing="0" w:afterAutospacing="0"/>
                    <w:jc w:val="center"/>
                    <w:rPr>
                      <w:b/>
                      <w:bCs/>
                      <w:sz w:val="21"/>
                      <w:szCs w:val="21"/>
                    </w:rPr>
                  </w:pPr>
                  <w:r>
                    <w:rPr>
                      <w:rFonts w:hint="eastAsia"/>
                      <w:b/>
                      <w:bCs/>
                      <w:sz w:val="21"/>
                      <w:szCs w:val="21"/>
                    </w:rPr>
                    <w:t>监测频次</w:t>
                  </w:r>
                </w:p>
              </w:tc>
            </w:tr>
            <w:tr w14:paraId="0C0629B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2" w:hRule="atLeast"/>
                <w:jc w:val="center"/>
              </w:trPr>
              <w:tc>
                <w:tcPr>
                  <w:tcW w:w="556" w:type="pct"/>
                  <w:vMerge w:val="restart"/>
                  <w:tcBorders>
                    <w:tl2br w:val="nil"/>
                    <w:tr2bl w:val="nil"/>
                  </w:tcBorders>
                  <w:vAlign w:val="center"/>
                </w:tcPr>
                <w:p w14:paraId="68405FAE">
                  <w:pPr>
                    <w:pStyle w:val="24"/>
                    <w:spacing w:beforeAutospacing="0" w:afterAutospacing="0"/>
                    <w:jc w:val="center"/>
                    <w:rPr>
                      <w:sz w:val="21"/>
                      <w:szCs w:val="21"/>
                    </w:rPr>
                  </w:pPr>
                  <w:r>
                    <w:rPr>
                      <w:rFonts w:hint="eastAsia"/>
                      <w:sz w:val="21"/>
                      <w:szCs w:val="21"/>
                    </w:rPr>
                    <w:t>海螺沟</w:t>
                  </w:r>
                </w:p>
              </w:tc>
              <w:tc>
                <w:tcPr>
                  <w:tcW w:w="443" w:type="pct"/>
                  <w:tcBorders>
                    <w:tl2br w:val="nil"/>
                    <w:tr2bl w:val="nil"/>
                  </w:tcBorders>
                  <w:vAlign w:val="center"/>
                </w:tcPr>
                <w:p w14:paraId="08A37F90">
                  <w:pPr>
                    <w:pStyle w:val="24"/>
                    <w:spacing w:beforeAutospacing="0" w:afterAutospacing="0"/>
                    <w:jc w:val="center"/>
                    <w:rPr>
                      <w:sz w:val="21"/>
                      <w:szCs w:val="21"/>
                    </w:rPr>
                  </w:pPr>
                  <w:r>
                    <w:rPr>
                      <w:sz w:val="21"/>
                      <w:szCs w:val="21"/>
                    </w:rPr>
                    <w:t>1#</w:t>
                  </w:r>
                </w:p>
              </w:tc>
              <w:tc>
                <w:tcPr>
                  <w:tcW w:w="1153" w:type="pct"/>
                  <w:tcBorders>
                    <w:tl2br w:val="nil"/>
                    <w:tr2bl w:val="nil"/>
                  </w:tcBorders>
                  <w:vAlign w:val="center"/>
                </w:tcPr>
                <w:p w14:paraId="036179A1">
                  <w:pPr>
                    <w:jc w:val="center"/>
                    <w:rPr>
                      <w:sz w:val="21"/>
                      <w:szCs w:val="21"/>
                    </w:rPr>
                  </w:pPr>
                  <w:r>
                    <w:rPr>
                      <w:rFonts w:hint="eastAsia"/>
                      <w:sz w:val="21"/>
                      <w:szCs w:val="21"/>
                    </w:rPr>
                    <w:t>工程河段起点上游100m处</w:t>
                  </w:r>
                </w:p>
              </w:tc>
              <w:tc>
                <w:tcPr>
                  <w:tcW w:w="1837" w:type="pct"/>
                  <w:vMerge w:val="restart"/>
                  <w:tcBorders>
                    <w:tl2br w:val="nil"/>
                    <w:tr2bl w:val="nil"/>
                  </w:tcBorders>
                  <w:vAlign w:val="center"/>
                </w:tcPr>
                <w:p w14:paraId="4D83BF73">
                  <w:pPr>
                    <w:widowControl/>
                    <w:jc w:val="center"/>
                    <w:textAlignment w:val="center"/>
                    <w:rPr>
                      <w:sz w:val="21"/>
                      <w:szCs w:val="21"/>
                    </w:rPr>
                  </w:pPr>
                  <w:r>
                    <w:rPr>
                      <w:rFonts w:hint="eastAsia"/>
                      <w:sz w:val="21"/>
                      <w:szCs w:val="21"/>
                    </w:rPr>
                    <w:t>pH、悬浮物、化学需氧量、五日生化需氧量、氨氮、总磷、石油类</w:t>
                  </w:r>
                </w:p>
              </w:tc>
              <w:tc>
                <w:tcPr>
                  <w:tcW w:w="1008" w:type="pct"/>
                  <w:vMerge w:val="restart"/>
                  <w:tcBorders>
                    <w:tl2br w:val="nil"/>
                    <w:tr2bl w:val="nil"/>
                  </w:tcBorders>
                  <w:vAlign w:val="center"/>
                </w:tcPr>
                <w:p w14:paraId="52546DD3">
                  <w:pPr>
                    <w:widowControl/>
                    <w:jc w:val="center"/>
                    <w:rPr>
                      <w:sz w:val="21"/>
                      <w:szCs w:val="21"/>
                    </w:rPr>
                  </w:pPr>
                  <w:r>
                    <w:rPr>
                      <w:rFonts w:hint="eastAsia"/>
                      <w:sz w:val="21"/>
                      <w:szCs w:val="21"/>
                    </w:rPr>
                    <w:t>每日采样1个，采样3天</w:t>
                  </w:r>
                </w:p>
              </w:tc>
            </w:tr>
            <w:tr w14:paraId="10458F8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2" w:hRule="atLeast"/>
                <w:jc w:val="center"/>
              </w:trPr>
              <w:tc>
                <w:tcPr>
                  <w:tcW w:w="556" w:type="pct"/>
                  <w:vMerge w:val="continue"/>
                  <w:tcBorders>
                    <w:tl2br w:val="nil"/>
                    <w:tr2bl w:val="nil"/>
                  </w:tcBorders>
                  <w:vAlign w:val="center"/>
                </w:tcPr>
                <w:p w14:paraId="637A56AC">
                  <w:pPr>
                    <w:pStyle w:val="24"/>
                    <w:spacing w:beforeAutospacing="0" w:afterAutospacing="0"/>
                    <w:jc w:val="center"/>
                    <w:rPr>
                      <w:sz w:val="21"/>
                      <w:szCs w:val="21"/>
                    </w:rPr>
                  </w:pPr>
                </w:p>
              </w:tc>
              <w:tc>
                <w:tcPr>
                  <w:tcW w:w="443" w:type="pct"/>
                  <w:tcBorders>
                    <w:tl2br w:val="nil"/>
                    <w:tr2bl w:val="nil"/>
                  </w:tcBorders>
                  <w:vAlign w:val="center"/>
                </w:tcPr>
                <w:p w14:paraId="675BE97C">
                  <w:pPr>
                    <w:pStyle w:val="24"/>
                    <w:spacing w:beforeAutospacing="0" w:afterAutospacing="0"/>
                    <w:jc w:val="center"/>
                    <w:rPr>
                      <w:sz w:val="21"/>
                      <w:szCs w:val="21"/>
                    </w:rPr>
                  </w:pPr>
                  <w:r>
                    <w:rPr>
                      <w:sz w:val="21"/>
                      <w:szCs w:val="21"/>
                    </w:rPr>
                    <w:t>2#</w:t>
                  </w:r>
                </w:p>
              </w:tc>
              <w:tc>
                <w:tcPr>
                  <w:tcW w:w="1153" w:type="pct"/>
                  <w:tcBorders>
                    <w:tl2br w:val="nil"/>
                    <w:tr2bl w:val="nil"/>
                  </w:tcBorders>
                  <w:vAlign w:val="center"/>
                </w:tcPr>
                <w:p w14:paraId="4C19348E">
                  <w:pPr>
                    <w:jc w:val="center"/>
                    <w:rPr>
                      <w:sz w:val="21"/>
                      <w:szCs w:val="21"/>
                    </w:rPr>
                  </w:pPr>
                  <w:r>
                    <w:rPr>
                      <w:rFonts w:hint="eastAsia"/>
                      <w:sz w:val="21"/>
                      <w:szCs w:val="21"/>
                    </w:rPr>
                    <w:t>工程河段终点下游100m处</w:t>
                  </w:r>
                </w:p>
              </w:tc>
              <w:tc>
                <w:tcPr>
                  <w:tcW w:w="1837" w:type="pct"/>
                  <w:vMerge w:val="continue"/>
                  <w:tcBorders>
                    <w:tl2br w:val="nil"/>
                    <w:tr2bl w:val="nil"/>
                  </w:tcBorders>
                  <w:vAlign w:val="center"/>
                </w:tcPr>
                <w:p w14:paraId="7E0204BF">
                  <w:pPr>
                    <w:widowControl/>
                    <w:jc w:val="center"/>
                    <w:textAlignment w:val="center"/>
                    <w:rPr>
                      <w:sz w:val="21"/>
                      <w:szCs w:val="21"/>
                    </w:rPr>
                  </w:pPr>
                </w:p>
              </w:tc>
              <w:tc>
                <w:tcPr>
                  <w:tcW w:w="1008" w:type="pct"/>
                  <w:vMerge w:val="continue"/>
                  <w:tcBorders>
                    <w:tl2br w:val="nil"/>
                    <w:tr2bl w:val="nil"/>
                  </w:tcBorders>
                  <w:vAlign w:val="center"/>
                </w:tcPr>
                <w:p w14:paraId="2E7D196F">
                  <w:pPr>
                    <w:widowControl/>
                    <w:jc w:val="center"/>
                    <w:rPr>
                      <w:sz w:val="21"/>
                      <w:szCs w:val="21"/>
                    </w:rPr>
                  </w:pPr>
                </w:p>
              </w:tc>
            </w:tr>
          </w:tbl>
          <w:p w14:paraId="579F8CC6">
            <w:pPr>
              <w:pStyle w:val="50"/>
              <w:spacing w:before="156" w:beforeLines="50"/>
              <w:ind w:firstLine="480"/>
            </w:pPr>
            <w:r>
              <w:rPr>
                <w:rFonts w:hint="eastAsia"/>
              </w:rPr>
              <w:t>本次地表水现状监测共布设2个断面，1# 断面设在工程上游、施工影响范围以外，未受围堰填筑与河道开挖扰动，可反映工程河段未受扰动的本底水质，符合对照断面的设置要求；该断面距工程起点100m，工程河段纵向比降达111‰，水流湍急、紊动强烈，施工产生的悬浮物不会上溯影响该断面，其监测结果具有本底代表性。2# 断面设在工程末端下游，可反映工程河段出流经沿程混合、沉降后的水质状况。两断面间距约884m，约为工程治理长度的1.3倍，能够覆盖工程影响河段并反映沿程水质变化，符合《环境影响评价技术导则 地表水环境》（HJ 2.3—2018）关于线性工程设置对照断面和控制断面的布设要求。综上，本次监测点位布设合理，能够代表项目所在河段水环境质量现状。</w:t>
            </w:r>
          </w:p>
          <w:p w14:paraId="1EE86F42">
            <w:pPr>
              <w:pStyle w:val="106"/>
              <w:ind w:firstLine="482"/>
              <w:rPr>
                <w:b/>
                <w:bCs/>
              </w:rPr>
            </w:pPr>
            <w:r>
              <w:rPr>
                <w:rFonts w:hint="eastAsia"/>
                <w:b/>
                <w:bCs/>
              </w:rPr>
              <w:t>2、监测时间</w:t>
            </w:r>
          </w:p>
          <w:p w14:paraId="5600FCF5">
            <w:pPr>
              <w:pStyle w:val="106"/>
            </w:pPr>
            <w:r>
              <w:rPr>
                <w:rFonts w:hint="eastAsia"/>
              </w:rPr>
              <w:t>2026年6月19日—6月21日，连续监测3天有效数据，每天采样1次。</w:t>
            </w:r>
          </w:p>
          <w:p w14:paraId="7EF535DE">
            <w:pPr>
              <w:pStyle w:val="106"/>
              <w:ind w:firstLine="482"/>
              <w:rPr>
                <w:b/>
                <w:bCs/>
              </w:rPr>
            </w:pPr>
            <w:r>
              <w:rPr>
                <w:rFonts w:hint="eastAsia"/>
                <w:b/>
                <w:bCs/>
              </w:rPr>
              <w:t>3、评价方法</w:t>
            </w:r>
          </w:p>
          <w:p w14:paraId="202070F3">
            <w:pPr>
              <w:spacing w:line="360" w:lineRule="auto"/>
              <w:ind w:firstLine="480" w:firstLineChars="200"/>
              <w:rPr>
                <w:kern w:val="0"/>
              </w:rPr>
            </w:pPr>
            <w:r>
              <w:rPr>
                <w:rFonts w:hint="eastAsia"/>
                <w:kern w:val="0"/>
              </w:rPr>
              <w:t>根据《环境影响评价技术导则 地表水环境》（HJ2.3-2018）推荐的方法，即单因子比值法，分项进行达标率评价。</w:t>
            </w:r>
          </w:p>
          <w:p w14:paraId="1799D1F4">
            <w:pPr>
              <w:numPr>
                <w:ilvl w:val="0"/>
                <w:numId w:val="15"/>
              </w:numPr>
              <w:spacing w:line="360" w:lineRule="auto"/>
              <w:ind w:left="0" w:firstLine="480" w:firstLineChars="200"/>
              <w:rPr>
                <w:kern w:val="0"/>
              </w:rPr>
            </w:pPr>
            <w:r>
              <w:rPr>
                <w:rFonts w:hint="eastAsia"/>
                <w:kern w:val="0"/>
              </w:rPr>
              <w:t>一般水质因子（不包括DO、pH）标准指数</w:t>
            </w:r>
          </w:p>
          <w:p w14:paraId="03182F8C">
            <w:pPr>
              <w:spacing w:line="360" w:lineRule="auto"/>
              <w:ind w:firstLine="480" w:firstLineChars="200"/>
              <w:jc w:val="center"/>
              <w:rPr>
                <w:lang w:val="it-IT"/>
              </w:rPr>
            </w:pPr>
            <w:r>
              <w:rPr>
                <w:lang w:val="it-IT"/>
              </w:rPr>
              <w:t>S</w:t>
            </w:r>
            <w:r>
              <w:rPr>
                <w:rFonts w:hint="eastAsia"/>
                <w:vertAlign w:val="subscript"/>
                <w:lang w:val="it-IT"/>
              </w:rPr>
              <w:t>i，j</w:t>
            </w:r>
            <w:r>
              <w:rPr>
                <w:lang w:val="it-IT"/>
              </w:rPr>
              <w:t>=C</w:t>
            </w:r>
            <w:r>
              <w:rPr>
                <w:rFonts w:hint="eastAsia"/>
                <w:vertAlign w:val="subscript"/>
                <w:lang w:val="it-IT"/>
              </w:rPr>
              <w:t>i，j</w:t>
            </w:r>
            <w:r>
              <w:rPr>
                <w:lang w:val="it-IT"/>
              </w:rPr>
              <w:t>/C</w:t>
            </w:r>
            <w:r>
              <w:rPr>
                <w:vertAlign w:val="subscript"/>
                <w:lang w:val="it-IT"/>
              </w:rPr>
              <w:t>si</w:t>
            </w:r>
          </w:p>
          <w:p w14:paraId="51E4C049">
            <w:pPr>
              <w:spacing w:line="360" w:lineRule="auto"/>
              <w:ind w:firstLine="480" w:firstLineChars="200"/>
              <w:rPr>
                <w:kern w:val="0"/>
              </w:rPr>
            </w:pPr>
            <w:r>
              <w:rPr>
                <w:rFonts w:hint="eastAsia"/>
                <w:kern w:val="0"/>
              </w:rPr>
              <w:t>式中：</w:t>
            </w:r>
          </w:p>
          <w:p w14:paraId="4FB193BA">
            <w:pPr>
              <w:spacing w:line="360" w:lineRule="auto"/>
              <w:ind w:firstLine="480" w:firstLineChars="200"/>
              <w:rPr>
                <w:kern w:val="0"/>
              </w:rPr>
            </w:pPr>
            <w:r>
              <w:rPr>
                <w:kern w:val="0"/>
              </w:rPr>
              <w:t>S</w:t>
            </w:r>
            <w:r>
              <w:rPr>
                <w:rFonts w:hint="eastAsia"/>
                <w:kern w:val="0"/>
                <w:vertAlign w:val="subscript"/>
              </w:rPr>
              <w:t>i，j</w:t>
            </w:r>
            <w:r>
              <w:rPr>
                <w:rFonts w:hint="eastAsia"/>
                <w:kern w:val="0"/>
              </w:rPr>
              <w:t>—标准指数；</w:t>
            </w:r>
          </w:p>
          <w:p w14:paraId="6A7D23EE">
            <w:pPr>
              <w:spacing w:line="360" w:lineRule="auto"/>
              <w:ind w:firstLine="480" w:firstLineChars="200"/>
              <w:rPr>
                <w:kern w:val="0"/>
              </w:rPr>
            </w:pPr>
            <w:r>
              <w:rPr>
                <w:kern w:val="0"/>
              </w:rPr>
              <w:t>C</w:t>
            </w:r>
            <w:r>
              <w:rPr>
                <w:rFonts w:hint="eastAsia"/>
                <w:kern w:val="0"/>
                <w:vertAlign w:val="subscript"/>
              </w:rPr>
              <w:t>i，j</w:t>
            </w:r>
            <w:r>
              <w:rPr>
                <w:rFonts w:hint="eastAsia"/>
                <w:kern w:val="0"/>
              </w:rPr>
              <w:t>— i污染物在j监测点的实测浓度，mg/L；</w:t>
            </w:r>
          </w:p>
          <w:p w14:paraId="5DD847BD">
            <w:pPr>
              <w:spacing w:line="360" w:lineRule="auto"/>
              <w:ind w:firstLine="480" w:firstLineChars="200"/>
              <w:rPr>
                <w:kern w:val="0"/>
              </w:rPr>
            </w:pPr>
            <w:r>
              <w:rPr>
                <w:kern w:val="0"/>
              </w:rPr>
              <w:t>C</w:t>
            </w:r>
            <w:r>
              <w:rPr>
                <w:kern w:val="0"/>
                <w:vertAlign w:val="subscript"/>
              </w:rPr>
              <w:t>si</w:t>
            </w:r>
            <w:r>
              <w:rPr>
                <w:rFonts w:hint="eastAsia"/>
                <w:kern w:val="0"/>
              </w:rPr>
              <w:t>— i污染物的评价标准值，mg/L。</w:t>
            </w:r>
          </w:p>
          <w:p w14:paraId="4D44F52D">
            <w:pPr>
              <w:numPr>
                <w:ilvl w:val="0"/>
                <w:numId w:val="15"/>
              </w:numPr>
              <w:spacing w:line="360" w:lineRule="auto"/>
              <w:ind w:left="0" w:firstLine="480" w:firstLineChars="200"/>
              <w:rPr>
                <w:kern w:val="0"/>
              </w:rPr>
            </w:pPr>
            <w:r>
              <w:rPr>
                <w:rFonts w:hint="eastAsia"/>
                <w:kern w:val="0"/>
              </w:rPr>
              <w:t>pH的标准指数</w:t>
            </w:r>
          </w:p>
          <w:p w14:paraId="697E9F2E">
            <w:pPr>
              <w:spacing w:line="360" w:lineRule="auto"/>
              <w:jc w:val="center"/>
              <w:rPr>
                <w:kern w:val="0"/>
              </w:rPr>
            </w:pPr>
            <w:r>
              <w:rPr>
                <w:kern w:val="0"/>
              </w:rPr>
              <w:drawing>
                <wp:inline distT="0" distB="0" distL="114300" distR="114300">
                  <wp:extent cx="922020" cy="410210"/>
                  <wp:effectExtent l="0" t="0" r="11430" b="8255"/>
                  <wp:docPr id="1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9"/>
                          <pic:cNvPicPr>
                            <a:picLocks noChangeAspect="1"/>
                          </pic:cNvPicPr>
                        </pic:nvPicPr>
                        <pic:blipFill>
                          <a:blip r:embed="rId30"/>
                          <a:stretch>
                            <a:fillRect/>
                          </a:stretch>
                        </pic:blipFill>
                        <pic:spPr>
                          <a:xfrm>
                            <a:off x="0" y="0"/>
                            <a:ext cx="922020" cy="410210"/>
                          </a:xfrm>
                          <a:prstGeom prst="rect">
                            <a:avLst/>
                          </a:prstGeom>
                          <a:noFill/>
                          <a:ln>
                            <a:noFill/>
                          </a:ln>
                        </pic:spPr>
                      </pic:pic>
                    </a:graphicData>
                  </a:graphic>
                </wp:inline>
              </w:drawing>
            </w:r>
            <w:r>
              <w:rPr>
                <w:kern w:val="0"/>
              </w:rPr>
              <w:t xml:space="preserve">          pH</w:t>
            </w:r>
            <w:r>
              <w:rPr>
                <w:kern w:val="0"/>
                <w:vertAlign w:val="subscript"/>
              </w:rPr>
              <w:t>j</w:t>
            </w:r>
            <w:r>
              <w:rPr>
                <w:kern w:val="0"/>
              </w:rPr>
              <w:t>≦7.0</w:t>
            </w:r>
          </w:p>
          <w:p w14:paraId="39AD8DC4">
            <w:pPr>
              <w:spacing w:line="360" w:lineRule="auto"/>
              <w:jc w:val="center"/>
              <w:rPr>
                <w:kern w:val="0"/>
              </w:rPr>
            </w:pPr>
            <w:r>
              <w:rPr>
                <w:kern w:val="0"/>
              </w:rPr>
              <w:drawing>
                <wp:inline distT="0" distB="0" distL="114300" distR="114300">
                  <wp:extent cx="942975" cy="375285"/>
                  <wp:effectExtent l="0" t="0" r="9525" b="5715"/>
                  <wp:docPr id="1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1"/>
                          <pic:cNvPicPr>
                            <a:picLocks noChangeAspect="1"/>
                          </pic:cNvPicPr>
                        </pic:nvPicPr>
                        <pic:blipFill>
                          <a:blip r:embed="rId31"/>
                          <a:stretch>
                            <a:fillRect/>
                          </a:stretch>
                        </pic:blipFill>
                        <pic:spPr>
                          <a:xfrm>
                            <a:off x="0" y="0"/>
                            <a:ext cx="942975" cy="375285"/>
                          </a:xfrm>
                          <a:prstGeom prst="rect">
                            <a:avLst/>
                          </a:prstGeom>
                          <a:noFill/>
                          <a:ln>
                            <a:noFill/>
                          </a:ln>
                        </pic:spPr>
                      </pic:pic>
                    </a:graphicData>
                  </a:graphic>
                </wp:inline>
              </w:drawing>
            </w:r>
            <w:r>
              <w:rPr>
                <w:kern w:val="0"/>
              </w:rPr>
              <w:t xml:space="preserve">          pH</w:t>
            </w:r>
            <w:r>
              <w:rPr>
                <w:kern w:val="0"/>
                <w:vertAlign w:val="subscript"/>
              </w:rPr>
              <w:t>j</w:t>
            </w:r>
            <w:r>
              <w:rPr>
                <w:kern w:val="0"/>
              </w:rPr>
              <w:t>&gt;7.0</w:t>
            </w:r>
          </w:p>
          <w:p w14:paraId="52245AD0">
            <w:pPr>
              <w:spacing w:line="360" w:lineRule="auto"/>
              <w:ind w:firstLine="480" w:firstLineChars="200"/>
              <w:rPr>
                <w:kern w:val="0"/>
              </w:rPr>
            </w:pPr>
            <w:r>
              <w:rPr>
                <w:rFonts w:hint="eastAsia"/>
                <w:kern w:val="0"/>
              </w:rPr>
              <w:t>式中：</w:t>
            </w:r>
          </w:p>
          <w:p w14:paraId="57BCC9C2">
            <w:pPr>
              <w:spacing w:line="360" w:lineRule="auto"/>
              <w:ind w:firstLine="480" w:firstLineChars="200"/>
              <w:rPr>
                <w:kern w:val="0"/>
              </w:rPr>
            </w:pPr>
            <w:r>
              <w:rPr>
                <w:kern w:val="0"/>
              </w:rPr>
              <w:t>pH</w:t>
            </w:r>
            <w:r>
              <w:rPr>
                <w:kern w:val="0"/>
                <w:vertAlign w:val="subscript"/>
              </w:rPr>
              <w:t>sd</w:t>
            </w:r>
            <w:r>
              <w:rPr>
                <w:rFonts w:hint="eastAsia"/>
                <w:kern w:val="0"/>
              </w:rPr>
              <w:t>—地面水水质标准中规定的pH值下限；</w:t>
            </w:r>
          </w:p>
          <w:p w14:paraId="0094FC69">
            <w:pPr>
              <w:spacing w:line="360" w:lineRule="auto"/>
              <w:ind w:firstLine="480" w:firstLineChars="200"/>
              <w:rPr>
                <w:kern w:val="0"/>
              </w:rPr>
            </w:pPr>
            <w:r>
              <w:rPr>
                <w:kern w:val="0"/>
              </w:rPr>
              <w:t>pH</w:t>
            </w:r>
            <w:r>
              <w:rPr>
                <w:kern w:val="0"/>
                <w:vertAlign w:val="subscript"/>
              </w:rPr>
              <w:t>su</w:t>
            </w:r>
            <w:r>
              <w:rPr>
                <w:rFonts w:hint="eastAsia"/>
                <w:kern w:val="0"/>
              </w:rPr>
              <w:t>—地面水水质标准中规定的pH值上限。</w:t>
            </w:r>
          </w:p>
          <w:p w14:paraId="6EA3EEF4">
            <w:pPr>
              <w:pStyle w:val="106"/>
            </w:pPr>
            <w:r>
              <w:rPr>
                <w:rFonts w:hint="eastAsia"/>
                <w:kern w:val="0"/>
              </w:rPr>
              <w:t>水质参数的标准指数&gt;1，则表明该水质参数超过了规定的水质标准，反之达到功能区划要求。</w:t>
            </w:r>
          </w:p>
          <w:p w14:paraId="22130A4B">
            <w:pPr>
              <w:pStyle w:val="106"/>
              <w:ind w:firstLine="482"/>
              <w:rPr>
                <w:b/>
                <w:bCs/>
              </w:rPr>
            </w:pPr>
            <w:r>
              <w:rPr>
                <w:rFonts w:hint="eastAsia"/>
                <w:b/>
                <w:bCs/>
              </w:rPr>
              <w:t>4、监测结果及评价</w:t>
            </w:r>
          </w:p>
          <w:p w14:paraId="4F7EA3CE">
            <w:pPr>
              <w:pStyle w:val="106"/>
              <w:rPr>
                <w:kern w:val="0"/>
                <w:szCs w:val="20"/>
              </w:rPr>
            </w:pPr>
            <w:r>
              <w:rPr>
                <w:rFonts w:hint="eastAsia"/>
                <w:kern w:val="0"/>
                <w:szCs w:val="20"/>
              </w:rPr>
              <w:t>项目区水质监测结果及评价见下表，可知，各个监测断面各项监测指标均达到《地表水环境质量标准》（GB3838-2002）的Ⅲ类标准要求。</w:t>
            </w:r>
          </w:p>
          <w:p w14:paraId="485EF764">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8</w:t>
            </w:r>
            <w:r>
              <w:rPr>
                <w:rFonts w:cs="Times New Roman"/>
              </w:rPr>
              <w:fldChar w:fldCharType="end"/>
            </w:r>
            <w:r>
              <w:rPr>
                <w:rFonts w:hint="eastAsia" w:cs="Times New Roman"/>
              </w:rPr>
              <w:t xml:space="preserve">  地表水现状监测结果</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408"/>
              <w:gridCol w:w="1579"/>
              <w:gridCol w:w="901"/>
              <w:gridCol w:w="1207"/>
              <w:gridCol w:w="1207"/>
              <w:gridCol w:w="1208"/>
              <w:gridCol w:w="1000"/>
              <w:gridCol w:w="495"/>
            </w:tblGrid>
            <w:tr w14:paraId="547EC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408" w:type="dxa"/>
                  <w:vMerge w:val="restart"/>
                  <w:vAlign w:val="center"/>
                </w:tcPr>
                <w:p w14:paraId="7E45A432">
                  <w:pPr>
                    <w:jc w:val="center"/>
                    <w:rPr>
                      <w:b/>
                      <w:sz w:val="21"/>
                      <w:szCs w:val="21"/>
                    </w:rPr>
                  </w:pPr>
                  <w:r>
                    <w:rPr>
                      <w:rFonts w:hint="eastAsia"/>
                      <w:b/>
                      <w:sz w:val="21"/>
                      <w:szCs w:val="21"/>
                    </w:rPr>
                    <w:t>检测点位</w:t>
                  </w:r>
                </w:p>
              </w:tc>
              <w:tc>
                <w:tcPr>
                  <w:tcW w:w="1579" w:type="dxa"/>
                  <w:vMerge w:val="restart"/>
                  <w:vAlign w:val="center"/>
                </w:tcPr>
                <w:p w14:paraId="50B90F72">
                  <w:pPr>
                    <w:jc w:val="center"/>
                    <w:rPr>
                      <w:b/>
                      <w:sz w:val="21"/>
                      <w:szCs w:val="21"/>
                    </w:rPr>
                  </w:pPr>
                  <w:r>
                    <w:rPr>
                      <w:rFonts w:hint="eastAsia"/>
                      <w:b/>
                      <w:sz w:val="21"/>
                      <w:szCs w:val="21"/>
                    </w:rPr>
                    <w:t>检测项目</w:t>
                  </w:r>
                </w:p>
              </w:tc>
              <w:tc>
                <w:tcPr>
                  <w:tcW w:w="901" w:type="dxa"/>
                  <w:vMerge w:val="restart"/>
                  <w:vAlign w:val="center"/>
                </w:tcPr>
                <w:p w14:paraId="669256DD">
                  <w:pPr>
                    <w:jc w:val="center"/>
                    <w:rPr>
                      <w:b/>
                      <w:sz w:val="21"/>
                      <w:szCs w:val="21"/>
                    </w:rPr>
                  </w:pPr>
                  <w:r>
                    <w:rPr>
                      <w:rFonts w:hint="eastAsia"/>
                      <w:b/>
                      <w:sz w:val="21"/>
                      <w:szCs w:val="21"/>
                    </w:rPr>
                    <w:t>单位</w:t>
                  </w:r>
                </w:p>
              </w:tc>
              <w:tc>
                <w:tcPr>
                  <w:tcW w:w="3622" w:type="dxa"/>
                  <w:gridSpan w:val="3"/>
                  <w:vAlign w:val="center"/>
                </w:tcPr>
                <w:p w14:paraId="171B3CF2">
                  <w:pPr>
                    <w:jc w:val="center"/>
                    <w:rPr>
                      <w:b/>
                      <w:sz w:val="21"/>
                      <w:szCs w:val="21"/>
                    </w:rPr>
                  </w:pPr>
                  <w:r>
                    <w:rPr>
                      <w:rFonts w:hint="eastAsia"/>
                      <w:b/>
                      <w:sz w:val="21"/>
                      <w:szCs w:val="21"/>
                    </w:rPr>
                    <w:t>检测结果</w:t>
                  </w:r>
                </w:p>
              </w:tc>
              <w:tc>
                <w:tcPr>
                  <w:tcW w:w="1000" w:type="dxa"/>
                  <w:vMerge w:val="restart"/>
                  <w:vAlign w:val="center"/>
                </w:tcPr>
                <w:p w14:paraId="0AFDCF88">
                  <w:pPr>
                    <w:jc w:val="center"/>
                    <w:rPr>
                      <w:b/>
                      <w:sz w:val="21"/>
                      <w:szCs w:val="21"/>
                    </w:rPr>
                  </w:pPr>
                  <w:r>
                    <w:rPr>
                      <w:rFonts w:hint="eastAsia"/>
                      <w:b/>
                      <w:sz w:val="21"/>
                      <w:szCs w:val="21"/>
                    </w:rPr>
                    <w:t>标准限值</w:t>
                  </w:r>
                </w:p>
              </w:tc>
              <w:tc>
                <w:tcPr>
                  <w:tcW w:w="495" w:type="dxa"/>
                  <w:vMerge w:val="restart"/>
                  <w:vAlign w:val="center"/>
                </w:tcPr>
                <w:p w14:paraId="460F500D">
                  <w:pPr>
                    <w:jc w:val="center"/>
                    <w:rPr>
                      <w:b/>
                      <w:sz w:val="21"/>
                      <w:szCs w:val="21"/>
                    </w:rPr>
                  </w:pPr>
                  <w:r>
                    <w:rPr>
                      <w:rFonts w:hint="eastAsia"/>
                      <w:b/>
                      <w:sz w:val="21"/>
                      <w:szCs w:val="21"/>
                    </w:rPr>
                    <w:t>达标情况</w:t>
                  </w:r>
                </w:p>
              </w:tc>
            </w:tr>
            <w:tr w14:paraId="073032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408" w:type="dxa"/>
                  <w:vMerge w:val="continue"/>
                  <w:vAlign w:val="center"/>
                </w:tcPr>
                <w:p w14:paraId="1F7EED67">
                  <w:pPr>
                    <w:jc w:val="center"/>
                    <w:rPr>
                      <w:b/>
                      <w:sz w:val="21"/>
                      <w:szCs w:val="21"/>
                    </w:rPr>
                  </w:pPr>
                </w:p>
              </w:tc>
              <w:tc>
                <w:tcPr>
                  <w:tcW w:w="1579" w:type="dxa"/>
                  <w:vMerge w:val="continue"/>
                  <w:vAlign w:val="center"/>
                </w:tcPr>
                <w:p w14:paraId="6366591D">
                  <w:pPr>
                    <w:jc w:val="center"/>
                    <w:rPr>
                      <w:b/>
                      <w:sz w:val="21"/>
                      <w:szCs w:val="21"/>
                    </w:rPr>
                  </w:pPr>
                </w:p>
              </w:tc>
              <w:tc>
                <w:tcPr>
                  <w:tcW w:w="901" w:type="dxa"/>
                  <w:vMerge w:val="continue"/>
                  <w:vAlign w:val="center"/>
                </w:tcPr>
                <w:p w14:paraId="68759F6D">
                  <w:pPr>
                    <w:jc w:val="center"/>
                    <w:rPr>
                      <w:b/>
                      <w:sz w:val="21"/>
                      <w:szCs w:val="21"/>
                    </w:rPr>
                  </w:pPr>
                </w:p>
              </w:tc>
              <w:tc>
                <w:tcPr>
                  <w:tcW w:w="1207" w:type="dxa"/>
                  <w:vAlign w:val="center"/>
                </w:tcPr>
                <w:p w14:paraId="0371F60A">
                  <w:pPr>
                    <w:jc w:val="center"/>
                    <w:rPr>
                      <w:b/>
                      <w:sz w:val="21"/>
                      <w:szCs w:val="21"/>
                    </w:rPr>
                  </w:pPr>
                  <w:r>
                    <w:rPr>
                      <w:rFonts w:hint="eastAsia"/>
                      <w:b/>
                      <w:sz w:val="21"/>
                      <w:szCs w:val="21"/>
                    </w:rPr>
                    <w:t>6月19日</w:t>
                  </w:r>
                </w:p>
              </w:tc>
              <w:tc>
                <w:tcPr>
                  <w:tcW w:w="1207" w:type="dxa"/>
                  <w:vAlign w:val="center"/>
                </w:tcPr>
                <w:p w14:paraId="45F87E27">
                  <w:pPr>
                    <w:jc w:val="center"/>
                    <w:rPr>
                      <w:b/>
                      <w:sz w:val="21"/>
                      <w:szCs w:val="21"/>
                    </w:rPr>
                  </w:pPr>
                  <w:r>
                    <w:rPr>
                      <w:rFonts w:hint="eastAsia"/>
                      <w:b/>
                      <w:sz w:val="21"/>
                      <w:szCs w:val="21"/>
                    </w:rPr>
                    <w:t>6月20日</w:t>
                  </w:r>
                </w:p>
              </w:tc>
              <w:tc>
                <w:tcPr>
                  <w:tcW w:w="1208" w:type="dxa"/>
                  <w:vAlign w:val="center"/>
                </w:tcPr>
                <w:p w14:paraId="690C7190">
                  <w:pPr>
                    <w:jc w:val="center"/>
                    <w:rPr>
                      <w:b/>
                      <w:sz w:val="21"/>
                      <w:szCs w:val="21"/>
                    </w:rPr>
                  </w:pPr>
                  <w:r>
                    <w:rPr>
                      <w:rFonts w:hint="eastAsia"/>
                      <w:b/>
                      <w:sz w:val="21"/>
                      <w:szCs w:val="21"/>
                    </w:rPr>
                    <w:t>6月21日</w:t>
                  </w:r>
                </w:p>
              </w:tc>
              <w:tc>
                <w:tcPr>
                  <w:tcW w:w="1000" w:type="dxa"/>
                  <w:vMerge w:val="continue"/>
                  <w:vAlign w:val="center"/>
                </w:tcPr>
                <w:p w14:paraId="1D6D8186">
                  <w:pPr>
                    <w:jc w:val="center"/>
                    <w:rPr>
                      <w:b/>
                      <w:sz w:val="21"/>
                      <w:szCs w:val="21"/>
                    </w:rPr>
                  </w:pPr>
                </w:p>
              </w:tc>
              <w:tc>
                <w:tcPr>
                  <w:tcW w:w="495" w:type="dxa"/>
                  <w:vMerge w:val="continue"/>
                  <w:vAlign w:val="center"/>
                </w:tcPr>
                <w:p w14:paraId="0D0EADDA">
                  <w:pPr>
                    <w:jc w:val="center"/>
                    <w:rPr>
                      <w:b/>
                      <w:sz w:val="21"/>
                      <w:szCs w:val="21"/>
                    </w:rPr>
                  </w:pPr>
                </w:p>
              </w:tc>
            </w:tr>
            <w:tr w14:paraId="0CBAA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restart"/>
                  <w:vAlign w:val="center"/>
                </w:tcPr>
                <w:p w14:paraId="5F02BC98">
                  <w:pPr>
                    <w:tabs>
                      <w:tab w:val="left" w:pos="1890"/>
                    </w:tabs>
                    <w:jc w:val="center"/>
                    <w:rPr>
                      <w:sz w:val="21"/>
                      <w:szCs w:val="21"/>
                    </w:rPr>
                  </w:pPr>
                  <w:r>
                    <w:rPr>
                      <w:sz w:val="21"/>
                      <w:szCs w:val="21"/>
                    </w:rPr>
                    <w:fldChar w:fldCharType="begin"/>
                  </w:r>
                  <w:r>
                    <w:rPr>
                      <w:rFonts w:hint="eastAsia"/>
                      <w:sz w:val="21"/>
                      <w:szCs w:val="21"/>
                    </w:rPr>
                    <w:instrText xml:space="preserve"> REF 地表水1 \h \* MERGEFORMAT</w:instrText>
                  </w:r>
                  <w:r>
                    <w:rPr>
                      <w:sz w:val="21"/>
                      <w:szCs w:val="21"/>
                    </w:rPr>
                    <w:fldChar w:fldCharType="separate"/>
                  </w:r>
                  <w:r>
                    <w:rPr>
                      <w:rFonts w:hint="eastAsia"/>
                      <w:sz w:val="21"/>
                      <w:szCs w:val="21"/>
                    </w:rPr>
                    <w:t>1# 工程河段起点上游100m处</w:t>
                  </w:r>
                  <w:r>
                    <w:rPr>
                      <w:sz w:val="21"/>
                      <w:szCs w:val="21"/>
                    </w:rPr>
                    <w:fldChar w:fldCharType="end"/>
                  </w:r>
                </w:p>
              </w:tc>
              <w:tc>
                <w:tcPr>
                  <w:tcW w:w="1579" w:type="dxa"/>
                  <w:vAlign w:val="center"/>
                </w:tcPr>
                <w:p w14:paraId="070A0CE8">
                  <w:pPr>
                    <w:tabs>
                      <w:tab w:val="left" w:pos="1890"/>
                    </w:tabs>
                    <w:jc w:val="center"/>
                    <w:rPr>
                      <w:sz w:val="21"/>
                      <w:szCs w:val="21"/>
                    </w:rPr>
                  </w:pPr>
                  <w:r>
                    <w:rPr>
                      <w:sz w:val="21"/>
                      <w:szCs w:val="21"/>
                    </w:rPr>
                    <w:t>pH</w:t>
                  </w:r>
                </w:p>
              </w:tc>
              <w:tc>
                <w:tcPr>
                  <w:tcW w:w="901" w:type="dxa"/>
                  <w:vAlign w:val="center"/>
                </w:tcPr>
                <w:p w14:paraId="279DD329">
                  <w:pPr>
                    <w:jc w:val="center"/>
                    <w:rPr>
                      <w:bCs/>
                      <w:sz w:val="21"/>
                      <w:szCs w:val="21"/>
                    </w:rPr>
                  </w:pPr>
                  <w:r>
                    <w:rPr>
                      <w:rFonts w:hint="eastAsia"/>
                      <w:bCs/>
                      <w:sz w:val="21"/>
                      <w:szCs w:val="21"/>
                    </w:rPr>
                    <w:t>无量纲</w:t>
                  </w:r>
                </w:p>
              </w:tc>
              <w:tc>
                <w:tcPr>
                  <w:tcW w:w="1207" w:type="dxa"/>
                  <w:vAlign w:val="center"/>
                </w:tcPr>
                <w:p w14:paraId="6CBA8C2E">
                  <w:pPr>
                    <w:widowControl/>
                    <w:jc w:val="center"/>
                    <w:textAlignment w:val="center"/>
                    <w:rPr>
                      <w:sz w:val="21"/>
                      <w:szCs w:val="21"/>
                    </w:rPr>
                  </w:pPr>
                  <w:r>
                    <w:rPr>
                      <w:sz w:val="21"/>
                      <w:szCs w:val="21"/>
                    </w:rPr>
                    <w:t>7.5</w:t>
                  </w:r>
                </w:p>
              </w:tc>
              <w:tc>
                <w:tcPr>
                  <w:tcW w:w="1207" w:type="dxa"/>
                  <w:vAlign w:val="center"/>
                </w:tcPr>
                <w:p w14:paraId="4BA0BB12">
                  <w:pPr>
                    <w:widowControl/>
                    <w:jc w:val="center"/>
                    <w:textAlignment w:val="center"/>
                    <w:rPr>
                      <w:bCs/>
                      <w:sz w:val="21"/>
                      <w:szCs w:val="21"/>
                    </w:rPr>
                  </w:pPr>
                  <w:r>
                    <w:rPr>
                      <w:bCs/>
                      <w:sz w:val="21"/>
                      <w:szCs w:val="21"/>
                    </w:rPr>
                    <w:t>7.5</w:t>
                  </w:r>
                </w:p>
              </w:tc>
              <w:tc>
                <w:tcPr>
                  <w:tcW w:w="1208" w:type="dxa"/>
                  <w:vAlign w:val="center"/>
                </w:tcPr>
                <w:p w14:paraId="70356CD7">
                  <w:pPr>
                    <w:widowControl/>
                    <w:jc w:val="center"/>
                    <w:textAlignment w:val="center"/>
                    <w:rPr>
                      <w:bCs/>
                      <w:sz w:val="21"/>
                      <w:szCs w:val="21"/>
                    </w:rPr>
                  </w:pPr>
                  <w:r>
                    <w:rPr>
                      <w:bCs/>
                      <w:sz w:val="21"/>
                      <w:szCs w:val="21"/>
                    </w:rPr>
                    <w:t>7.6</w:t>
                  </w:r>
                </w:p>
              </w:tc>
              <w:tc>
                <w:tcPr>
                  <w:tcW w:w="1000" w:type="dxa"/>
                  <w:vAlign w:val="center"/>
                </w:tcPr>
                <w:p w14:paraId="4C9D6300">
                  <w:pPr>
                    <w:widowControl/>
                    <w:jc w:val="center"/>
                    <w:textAlignment w:val="center"/>
                    <w:rPr>
                      <w:bCs/>
                      <w:sz w:val="21"/>
                      <w:szCs w:val="21"/>
                    </w:rPr>
                  </w:pPr>
                  <w:r>
                    <w:rPr>
                      <w:bCs/>
                      <w:sz w:val="21"/>
                      <w:szCs w:val="21"/>
                    </w:rPr>
                    <w:t>6-9</w:t>
                  </w:r>
                </w:p>
              </w:tc>
              <w:tc>
                <w:tcPr>
                  <w:tcW w:w="495" w:type="dxa"/>
                  <w:vAlign w:val="center"/>
                </w:tcPr>
                <w:p w14:paraId="4CEBCA3F">
                  <w:pPr>
                    <w:widowControl/>
                    <w:jc w:val="center"/>
                    <w:textAlignment w:val="center"/>
                    <w:rPr>
                      <w:bCs/>
                      <w:sz w:val="21"/>
                      <w:szCs w:val="21"/>
                    </w:rPr>
                  </w:pPr>
                  <w:r>
                    <w:rPr>
                      <w:rFonts w:hint="eastAsia"/>
                      <w:bCs/>
                      <w:sz w:val="21"/>
                      <w:szCs w:val="21"/>
                    </w:rPr>
                    <w:t>达标</w:t>
                  </w:r>
                </w:p>
              </w:tc>
            </w:tr>
            <w:tr w14:paraId="779C4F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vAlign w:val="center"/>
                </w:tcPr>
                <w:p w14:paraId="6F5EDA4D">
                  <w:pPr>
                    <w:widowControl/>
                    <w:jc w:val="center"/>
                    <w:textAlignment w:val="center"/>
                    <w:rPr>
                      <w:kern w:val="0"/>
                      <w:sz w:val="21"/>
                      <w:szCs w:val="21"/>
                      <w:lang w:bidi="ar"/>
                    </w:rPr>
                  </w:pPr>
                </w:p>
              </w:tc>
              <w:tc>
                <w:tcPr>
                  <w:tcW w:w="1579" w:type="dxa"/>
                  <w:vAlign w:val="center"/>
                </w:tcPr>
                <w:p w14:paraId="24E9B5F5">
                  <w:pPr>
                    <w:widowControl/>
                    <w:jc w:val="center"/>
                    <w:textAlignment w:val="center"/>
                    <w:rPr>
                      <w:kern w:val="0"/>
                      <w:sz w:val="21"/>
                      <w:szCs w:val="21"/>
                      <w:lang w:bidi="ar"/>
                    </w:rPr>
                  </w:pPr>
                  <w:r>
                    <w:rPr>
                      <w:rFonts w:hint="eastAsia"/>
                      <w:kern w:val="0"/>
                      <w:sz w:val="21"/>
                      <w:szCs w:val="21"/>
                      <w:lang w:bidi="ar"/>
                    </w:rPr>
                    <w:t>悬浮物</w:t>
                  </w:r>
                </w:p>
              </w:tc>
              <w:tc>
                <w:tcPr>
                  <w:tcW w:w="901" w:type="dxa"/>
                  <w:vAlign w:val="center"/>
                </w:tcPr>
                <w:p w14:paraId="34F646C1">
                  <w:pPr>
                    <w:widowControl/>
                    <w:jc w:val="center"/>
                    <w:textAlignment w:val="center"/>
                    <w:rPr>
                      <w:bCs/>
                      <w:sz w:val="21"/>
                      <w:szCs w:val="21"/>
                    </w:rPr>
                  </w:pPr>
                  <w:r>
                    <w:rPr>
                      <w:bCs/>
                      <w:sz w:val="21"/>
                      <w:szCs w:val="21"/>
                      <w:lang w:bidi="ar"/>
                    </w:rPr>
                    <w:t>mg/L</w:t>
                  </w:r>
                </w:p>
              </w:tc>
              <w:tc>
                <w:tcPr>
                  <w:tcW w:w="1207" w:type="dxa"/>
                  <w:vAlign w:val="center"/>
                </w:tcPr>
                <w:p w14:paraId="67053047">
                  <w:pPr>
                    <w:widowControl/>
                    <w:jc w:val="center"/>
                    <w:textAlignment w:val="center"/>
                    <w:rPr>
                      <w:sz w:val="21"/>
                      <w:szCs w:val="21"/>
                    </w:rPr>
                  </w:pPr>
                  <w:r>
                    <w:rPr>
                      <w:sz w:val="21"/>
                      <w:szCs w:val="21"/>
                    </w:rPr>
                    <w:t>5</w:t>
                  </w:r>
                </w:p>
              </w:tc>
              <w:tc>
                <w:tcPr>
                  <w:tcW w:w="1207" w:type="dxa"/>
                  <w:vAlign w:val="center"/>
                </w:tcPr>
                <w:p w14:paraId="4D1A0FA6">
                  <w:pPr>
                    <w:widowControl/>
                    <w:jc w:val="center"/>
                    <w:textAlignment w:val="center"/>
                    <w:rPr>
                      <w:bCs/>
                      <w:sz w:val="21"/>
                      <w:szCs w:val="21"/>
                    </w:rPr>
                  </w:pPr>
                  <w:r>
                    <w:rPr>
                      <w:bCs/>
                      <w:sz w:val="21"/>
                      <w:szCs w:val="21"/>
                    </w:rPr>
                    <w:t>6</w:t>
                  </w:r>
                </w:p>
              </w:tc>
              <w:tc>
                <w:tcPr>
                  <w:tcW w:w="1208" w:type="dxa"/>
                  <w:vAlign w:val="center"/>
                </w:tcPr>
                <w:p w14:paraId="7BD736CE">
                  <w:pPr>
                    <w:widowControl/>
                    <w:jc w:val="center"/>
                    <w:textAlignment w:val="center"/>
                    <w:rPr>
                      <w:bCs/>
                      <w:sz w:val="21"/>
                      <w:szCs w:val="21"/>
                    </w:rPr>
                  </w:pPr>
                  <w:r>
                    <w:rPr>
                      <w:bCs/>
                      <w:sz w:val="21"/>
                      <w:szCs w:val="21"/>
                    </w:rPr>
                    <w:t>6</w:t>
                  </w:r>
                </w:p>
              </w:tc>
              <w:tc>
                <w:tcPr>
                  <w:tcW w:w="1000" w:type="dxa"/>
                  <w:vAlign w:val="center"/>
                </w:tcPr>
                <w:p w14:paraId="0A5E856F">
                  <w:pPr>
                    <w:jc w:val="center"/>
                    <w:rPr>
                      <w:bCs/>
                      <w:kern w:val="0"/>
                      <w:sz w:val="21"/>
                      <w:szCs w:val="21"/>
                      <w:lang w:bidi="ar"/>
                    </w:rPr>
                  </w:pPr>
                  <w:r>
                    <w:rPr>
                      <w:bCs/>
                      <w:kern w:val="0"/>
                      <w:sz w:val="21"/>
                      <w:szCs w:val="21"/>
                      <w:lang w:bidi="ar"/>
                    </w:rPr>
                    <w:t>/</w:t>
                  </w:r>
                </w:p>
              </w:tc>
              <w:tc>
                <w:tcPr>
                  <w:tcW w:w="495" w:type="dxa"/>
                  <w:vAlign w:val="center"/>
                </w:tcPr>
                <w:p w14:paraId="6731ABE5">
                  <w:pPr>
                    <w:jc w:val="center"/>
                    <w:rPr>
                      <w:bCs/>
                      <w:kern w:val="0"/>
                      <w:sz w:val="21"/>
                      <w:szCs w:val="21"/>
                      <w:lang w:bidi="ar"/>
                    </w:rPr>
                  </w:pPr>
                  <w:r>
                    <w:rPr>
                      <w:bCs/>
                      <w:kern w:val="0"/>
                      <w:sz w:val="21"/>
                      <w:szCs w:val="21"/>
                      <w:lang w:bidi="ar"/>
                    </w:rPr>
                    <w:t>/</w:t>
                  </w:r>
                </w:p>
              </w:tc>
            </w:tr>
            <w:tr w14:paraId="21593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vAlign w:val="center"/>
                </w:tcPr>
                <w:p w14:paraId="429CFD65">
                  <w:pPr>
                    <w:jc w:val="center"/>
                    <w:rPr>
                      <w:sz w:val="21"/>
                      <w:szCs w:val="21"/>
                    </w:rPr>
                  </w:pPr>
                </w:p>
              </w:tc>
              <w:tc>
                <w:tcPr>
                  <w:tcW w:w="1579" w:type="dxa"/>
                  <w:vAlign w:val="center"/>
                </w:tcPr>
                <w:p w14:paraId="1BB1F378">
                  <w:pPr>
                    <w:jc w:val="center"/>
                    <w:rPr>
                      <w:sz w:val="21"/>
                      <w:szCs w:val="21"/>
                    </w:rPr>
                  </w:pPr>
                  <w:r>
                    <w:rPr>
                      <w:rFonts w:hint="eastAsia"/>
                      <w:sz w:val="21"/>
                      <w:szCs w:val="21"/>
                    </w:rPr>
                    <w:t>化学需氧量</w:t>
                  </w:r>
                </w:p>
              </w:tc>
              <w:tc>
                <w:tcPr>
                  <w:tcW w:w="901" w:type="dxa"/>
                  <w:vAlign w:val="center"/>
                </w:tcPr>
                <w:p w14:paraId="14D60C07">
                  <w:pPr>
                    <w:widowControl/>
                    <w:jc w:val="center"/>
                    <w:textAlignment w:val="center"/>
                    <w:rPr>
                      <w:bCs/>
                      <w:sz w:val="21"/>
                      <w:szCs w:val="21"/>
                    </w:rPr>
                  </w:pPr>
                  <w:r>
                    <w:rPr>
                      <w:bCs/>
                      <w:sz w:val="21"/>
                      <w:szCs w:val="21"/>
                      <w:lang w:bidi="ar"/>
                    </w:rPr>
                    <w:t>mg/L</w:t>
                  </w:r>
                </w:p>
              </w:tc>
              <w:tc>
                <w:tcPr>
                  <w:tcW w:w="1207" w:type="dxa"/>
                  <w:vAlign w:val="center"/>
                </w:tcPr>
                <w:p w14:paraId="72981C51">
                  <w:pPr>
                    <w:widowControl/>
                    <w:jc w:val="center"/>
                    <w:textAlignment w:val="center"/>
                    <w:rPr>
                      <w:sz w:val="21"/>
                      <w:szCs w:val="21"/>
                    </w:rPr>
                  </w:pPr>
                  <w:r>
                    <w:rPr>
                      <w:sz w:val="21"/>
                      <w:szCs w:val="21"/>
                    </w:rPr>
                    <w:t>8</w:t>
                  </w:r>
                </w:p>
              </w:tc>
              <w:tc>
                <w:tcPr>
                  <w:tcW w:w="1207" w:type="dxa"/>
                  <w:vAlign w:val="center"/>
                </w:tcPr>
                <w:p w14:paraId="50833CF8">
                  <w:pPr>
                    <w:widowControl/>
                    <w:jc w:val="center"/>
                    <w:textAlignment w:val="center"/>
                    <w:rPr>
                      <w:bCs/>
                      <w:sz w:val="21"/>
                      <w:szCs w:val="21"/>
                    </w:rPr>
                  </w:pPr>
                  <w:r>
                    <w:rPr>
                      <w:bCs/>
                      <w:sz w:val="21"/>
                      <w:szCs w:val="21"/>
                    </w:rPr>
                    <w:t>8</w:t>
                  </w:r>
                </w:p>
              </w:tc>
              <w:tc>
                <w:tcPr>
                  <w:tcW w:w="1208" w:type="dxa"/>
                  <w:vAlign w:val="center"/>
                </w:tcPr>
                <w:p w14:paraId="55C6E583">
                  <w:pPr>
                    <w:widowControl/>
                    <w:jc w:val="center"/>
                    <w:textAlignment w:val="center"/>
                    <w:rPr>
                      <w:bCs/>
                      <w:sz w:val="21"/>
                      <w:szCs w:val="21"/>
                    </w:rPr>
                  </w:pPr>
                  <w:r>
                    <w:rPr>
                      <w:bCs/>
                      <w:sz w:val="21"/>
                      <w:szCs w:val="21"/>
                    </w:rPr>
                    <w:t>7</w:t>
                  </w:r>
                </w:p>
              </w:tc>
              <w:tc>
                <w:tcPr>
                  <w:tcW w:w="1000" w:type="dxa"/>
                  <w:vAlign w:val="center"/>
                </w:tcPr>
                <w:p w14:paraId="4A5FB040">
                  <w:pPr>
                    <w:jc w:val="center"/>
                    <w:rPr>
                      <w:bCs/>
                      <w:sz w:val="21"/>
                      <w:szCs w:val="21"/>
                    </w:rPr>
                  </w:pPr>
                  <w:r>
                    <w:rPr>
                      <w:bCs/>
                      <w:sz w:val="21"/>
                      <w:szCs w:val="21"/>
                    </w:rPr>
                    <w:t>20</w:t>
                  </w:r>
                  <w:r>
                    <w:rPr>
                      <w:bCs/>
                      <w:sz w:val="21"/>
                      <w:szCs w:val="21"/>
                      <w:lang w:bidi="ar"/>
                    </w:rPr>
                    <w:t>mg/L</w:t>
                  </w:r>
                </w:p>
              </w:tc>
              <w:tc>
                <w:tcPr>
                  <w:tcW w:w="495" w:type="dxa"/>
                  <w:vAlign w:val="center"/>
                </w:tcPr>
                <w:p w14:paraId="53F96309">
                  <w:pPr>
                    <w:jc w:val="center"/>
                    <w:rPr>
                      <w:bCs/>
                      <w:sz w:val="21"/>
                      <w:szCs w:val="21"/>
                    </w:rPr>
                  </w:pPr>
                  <w:r>
                    <w:rPr>
                      <w:rFonts w:hint="eastAsia"/>
                      <w:bCs/>
                      <w:sz w:val="21"/>
                      <w:szCs w:val="21"/>
                    </w:rPr>
                    <w:t>达标</w:t>
                  </w:r>
                </w:p>
              </w:tc>
            </w:tr>
            <w:tr w14:paraId="1069C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vAlign w:val="center"/>
                </w:tcPr>
                <w:p w14:paraId="779F8416">
                  <w:pPr>
                    <w:widowControl/>
                    <w:jc w:val="center"/>
                    <w:textAlignment w:val="center"/>
                    <w:rPr>
                      <w:kern w:val="0"/>
                      <w:sz w:val="21"/>
                      <w:szCs w:val="21"/>
                      <w:lang w:bidi="ar"/>
                    </w:rPr>
                  </w:pPr>
                </w:p>
              </w:tc>
              <w:tc>
                <w:tcPr>
                  <w:tcW w:w="1579" w:type="dxa"/>
                  <w:vAlign w:val="center"/>
                </w:tcPr>
                <w:p w14:paraId="3D9B3E52">
                  <w:pPr>
                    <w:widowControl/>
                    <w:jc w:val="center"/>
                    <w:textAlignment w:val="center"/>
                    <w:rPr>
                      <w:sz w:val="21"/>
                      <w:szCs w:val="21"/>
                    </w:rPr>
                  </w:pPr>
                  <w:r>
                    <w:rPr>
                      <w:rFonts w:hint="eastAsia"/>
                      <w:kern w:val="0"/>
                      <w:sz w:val="21"/>
                      <w:szCs w:val="21"/>
                      <w:lang w:bidi="ar"/>
                    </w:rPr>
                    <w:t>五日生化需氧量</w:t>
                  </w:r>
                </w:p>
              </w:tc>
              <w:tc>
                <w:tcPr>
                  <w:tcW w:w="901" w:type="dxa"/>
                  <w:vAlign w:val="center"/>
                </w:tcPr>
                <w:p w14:paraId="07B2B339">
                  <w:pPr>
                    <w:widowControl/>
                    <w:jc w:val="center"/>
                    <w:textAlignment w:val="center"/>
                    <w:rPr>
                      <w:bCs/>
                      <w:sz w:val="21"/>
                      <w:szCs w:val="21"/>
                    </w:rPr>
                  </w:pPr>
                  <w:r>
                    <w:rPr>
                      <w:bCs/>
                      <w:sz w:val="21"/>
                      <w:szCs w:val="21"/>
                      <w:lang w:bidi="ar"/>
                    </w:rPr>
                    <w:t>mg/L</w:t>
                  </w:r>
                </w:p>
              </w:tc>
              <w:tc>
                <w:tcPr>
                  <w:tcW w:w="1207" w:type="dxa"/>
                  <w:vAlign w:val="center"/>
                </w:tcPr>
                <w:p w14:paraId="6D92469B">
                  <w:pPr>
                    <w:widowControl/>
                    <w:jc w:val="center"/>
                    <w:textAlignment w:val="center"/>
                    <w:rPr>
                      <w:sz w:val="21"/>
                      <w:szCs w:val="21"/>
                    </w:rPr>
                  </w:pPr>
                  <w:r>
                    <w:rPr>
                      <w:sz w:val="21"/>
                      <w:szCs w:val="21"/>
                    </w:rPr>
                    <w:t>1.9</w:t>
                  </w:r>
                </w:p>
              </w:tc>
              <w:tc>
                <w:tcPr>
                  <w:tcW w:w="1207" w:type="dxa"/>
                  <w:vAlign w:val="center"/>
                </w:tcPr>
                <w:p w14:paraId="1FAB8B4B">
                  <w:pPr>
                    <w:widowControl/>
                    <w:jc w:val="center"/>
                    <w:textAlignment w:val="center"/>
                    <w:rPr>
                      <w:bCs/>
                      <w:sz w:val="21"/>
                      <w:szCs w:val="21"/>
                    </w:rPr>
                  </w:pPr>
                  <w:r>
                    <w:rPr>
                      <w:bCs/>
                      <w:sz w:val="21"/>
                      <w:szCs w:val="21"/>
                    </w:rPr>
                    <w:t>2.2</w:t>
                  </w:r>
                </w:p>
              </w:tc>
              <w:tc>
                <w:tcPr>
                  <w:tcW w:w="1208" w:type="dxa"/>
                  <w:vAlign w:val="center"/>
                </w:tcPr>
                <w:p w14:paraId="130B6DC7">
                  <w:pPr>
                    <w:widowControl/>
                    <w:jc w:val="center"/>
                    <w:textAlignment w:val="center"/>
                    <w:rPr>
                      <w:sz w:val="21"/>
                      <w:szCs w:val="21"/>
                    </w:rPr>
                  </w:pPr>
                  <w:r>
                    <w:rPr>
                      <w:sz w:val="21"/>
                      <w:szCs w:val="21"/>
                    </w:rPr>
                    <w:t>2.0</w:t>
                  </w:r>
                </w:p>
              </w:tc>
              <w:tc>
                <w:tcPr>
                  <w:tcW w:w="1000" w:type="dxa"/>
                  <w:vAlign w:val="center"/>
                </w:tcPr>
                <w:p w14:paraId="387F213E">
                  <w:pPr>
                    <w:tabs>
                      <w:tab w:val="left" w:pos="1890"/>
                    </w:tabs>
                    <w:jc w:val="center"/>
                    <w:rPr>
                      <w:sz w:val="21"/>
                      <w:szCs w:val="21"/>
                    </w:rPr>
                  </w:pPr>
                  <w:r>
                    <w:rPr>
                      <w:sz w:val="21"/>
                      <w:szCs w:val="21"/>
                    </w:rPr>
                    <w:t>4</w:t>
                  </w:r>
                  <w:r>
                    <w:rPr>
                      <w:bCs/>
                      <w:sz w:val="21"/>
                      <w:szCs w:val="21"/>
                      <w:lang w:bidi="ar"/>
                    </w:rPr>
                    <w:t>mg/L</w:t>
                  </w:r>
                </w:p>
              </w:tc>
              <w:tc>
                <w:tcPr>
                  <w:tcW w:w="495" w:type="dxa"/>
                  <w:vAlign w:val="center"/>
                </w:tcPr>
                <w:p w14:paraId="002B18FA">
                  <w:pPr>
                    <w:tabs>
                      <w:tab w:val="left" w:pos="1890"/>
                    </w:tabs>
                    <w:jc w:val="center"/>
                    <w:rPr>
                      <w:sz w:val="21"/>
                      <w:szCs w:val="21"/>
                    </w:rPr>
                  </w:pPr>
                  <w:r>
                    <w:rPr>
                      <w:rFonts w:hint="eastAsia"/>
                      <w:bCs/>
                      <w:sz w:val="21"/>
                      <w:szCs w:val="21"/>
                    </w:rPr>
                    <w:t>达标</w:t>
                  </w:r>
                </w:p>
              </w:tc>
            </w:tr>
            <w:tr w14:paraId="7A834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vAlign w:val="center"/>
                </w:tcPr>
                <w:p w14:paraId="45E81424">
                  <w:pPr>
                    <w:tabs>
                      <w:tab w:val="left" w:pos="1890"/>
                    </w:tabs>
                    <w:jc w:val="center"/>
                    <w:rPr>
                      <w:sz w:val="21"/>
                      <w:szCs w:val="21"/>
                    </w:rPr>
                  </w:pPr>
                </w:p>
              </w:tc>
              <w:tc>
                <w:tcPr>
                  <w:tcW w:w="1579" w:type="dxa"/>
                  <w:vAlign w:val="center"/>
                </w:tcPr>
                <w:p w14:paraId="73598212">
                  <w:pPr>
                    <w:tabs>
                      <w:tab w:val="left" w:pos="1890"/>
                    </w:tabs>
                    <w:jc w:val="center"/>
                    <w:rPr>
                      <w:sz w:val="21"/>
                      <w:szCs w:val="21"/>
                    </w:rPr>
                  </w:pPr>
                  <w:r>
                    <w:rPr>
                      <w:rFonts w:hint="eastAsia"/>
                      <w:sz w:val="21"/>
                      <w:szCs w:val="21"/>
                    </w:rPr>
                    <w:t>氨氮</w:t>
                  </w:r>
                </w:p>
              </w:tc>
              <w:tc>
                <w:tcPr>
                  <w:tcW w:w="901" w:type="dxa"/>
                  <w:vAlign w:val="center"/>
                </w:tcPr>
                <w:p w14:paraId="4BDFEC84">
                  <w:pPr>
                    <w:widowControl/>
                    <w:jc w:val="center"/>
                    <w:textAlignment w:val="center"/>
                    <w:rPr>
                      <w:bCs/>
                      <w:sz w:val="21"/>
                      <w:szCs w:val="21"/>
                      <w:lang w:bidi="ar"/>
                    </w:rPr>
                  </w:pPr>
                  <w:r>
                    <w:rPr>
                      <w:bCs/>
                      <w:sz w:val="21"/>
                      <w:szCs w:val="21"/>
                      <w:lang w:bidi="ar"/>
                    </w:rPr>
                    <w:t>mg/L</w:t>
                  </w:r>
                </w:p>
              </w:tc>
              <w:tc>
                <w:tcPr>
                  <w:tcW w:w="1207" w:type="dxa"/>
                  <w:vAlign w:val="center"/>
                </w:tcPr>
                <w:p w14:paraId="68816715">
                  <w:pPr>
                    <w:widowControl/>
                    <w:jc w:val="center"/>
                    <w:textAlignment w:val="center"/>
                    <w:rPr>
                      <w:bCs/>
                      <w:sz w:val="21"/>
                      <w:szCs w:val="21"/>
                      <w:lang w:bidi="ar"/>
                    </w:rPr>
                  </w:pPr>
                  <w:r>
                    <w:rPr>
                      <w:bCs/>
                      <w:sz w:val="21"/>
                      <w:szCs w:val="21"/>
                      <w:lang w:bidi="ar"/>
                    </w:rPr>
                    <w:t>0.407</w:t>
                  </w:r>
                </w:p>
              </w:tc>
              <w:tc>
                <w:tcPr>
                  <w:tcW w:w="1207" w:type="dxa"/>
                  <w:vAlign w:val="center"/>
                </w:tcPr>
                <w:p w14:paraId="475C7662">
                  <w:pPr>
                    <w:widowControl/>
                    <w:jc w:val="center"/>
                    <w:textAlignment w:val="center"/>
                    <w:rPr>
                      <w:bCs/>
                      <w:sz w:val="21"/>
                      <w:szCs w:val="21"/>
                    </w:rPr>
                  </w:pPr>
                  <w:r>
                    <w:rPr>
                      <w:bCs/>
                      <w:sz w:val="21"/>
                      <w:szCs w:val="21"/>
                    </w:rPr>
                    <w:t>0.423</w:t>
                  </w:r>
                </w:p>
              </w:tc>
              <w:tc>
                <w:tcPr>
                  <w:tcW w:w="1208" w:type="dxa"/>
                  <w:vAlign w:val="center"/>
                </w:tcPr>
                <w:p w14:paraId="41365AB4">
                  <w:pPr>
                    <w:widowControl/>
                    <w:jc w:val="center"/>
                    <w:textAlignment w:val="center"/>
                    <w:rPr>
                      <w:bCs/>
                      <w:sz w:val="21"/>
                      <w:szCs w:val="21"/>
                    </w:rPr>
                  </w:pPr>
                  <w:r>
                    <w:rPr>
                      <w:bCs/>
                      <w:sz w:val="21"/>
                      <w:szCs w:val="21"/>
                    </w:rPr>
                    <w:t>0.375</w:t>
                  </w:r>
                </w:p>
              </w:tc>
              <w:tc>
                <w:tcPr>
                  <w:tcW w:w="1000" w:type="dxa"/>
                  <w:vAlign w:val="center"/>
                </w:tcPr>
                <w:p w14:paraId="5D4281B5">
                  <w:pPr>
                    <w:widowControl/>
                    <w:jc w:val="center"/>
                    <w:textAlignment w:val="center"/>
                    <w:rPr>
                      <w:bCs/>
                      <w:sz w:val="21"/>
                      <w:szCs w:val="21"/>
                    </w:rPr>
                  </w:pPr>
                  <w:r>
                    <w:rPr>
                      <w:bCs/>
                      <w:kern w:val="0"/>
                      <w:sz w:val="21"/>
                      <w:szCs w:val="21"/>
                      <w:lang w:bidi="ar"/>
                    </w:rPr>
                    <w:t>1.0</w:t>
                  </w:r>
                  <w:r>
                    <w:rPr>
                      <w:bCs/>
                      <w:sz w:val="21"/>
                      <w:szCs w:val="21"/>
                      <w:lang w:bidi="ar"/>
                    </w:rPr>
                    <w:t>mg/L</w:t>
                  </w:r>
                </w:p>
              </w:tc>
              <w:tc>
                <w:tcPr>
                  <w:tcW w:w="495" w:type="dxa"/>
                  <w:vAlign w:val="center"/>
                </w:tcPr>
                <w:p w14:paraId="5B76E02F">
                  <w:pPr>
                    <w:widowControl/>
                    <w:jc w:val="center"/>
                    <w:textAlignment w:val="center"/>
                    <w:rPr>
                      <w:bCs/>
                      <w:kern w:val="0"/>
                      <w:sz w:val="21"/>
                      <w:szCs w:val="21"/>
                      <w:lang w:bidi="ar"/>
                    </w:rPr>
                  </w:pPr>
                  <w:r>
                    <w:rPr>
                      <w:rFonts w:hint="eastAsia"/>
                      <w:bCs/>
                      <w:sz w:val="21"/>
                      <w:szCs w:val="21"/>
                    </w:rPr>
                    <w:t>达标</w:t>
                  </w:r>
                </w:p>
              </w:tc>
            </w:tr>
            <w:tr w14:paraId="250FC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vAlign w:val="center"/>
                </w:tcPr>
                <w:p w14:paraId="192E343A">
                  <w:pPr>
                    <w:widowControl/>
                    <w:jc w:val="center"/>
                    <w:textAlignment w:val="center"/>
                    <w:rPr>
                      <w:kern w:val="0"/>
                      <w:sz w:val="21"/>
                      <w:szCs w:val="21"/>
                      <w:lang w:bidi="ar"/>
                    </w:rPr>
                  </w:pPr>
                </w:p>
              </w:tc>
              <w:tc>
                <w:tcPr>
                  <w:tcW w:w="1579" w:type="dxa"/>
                  <w:vAlign w:val="center"/>
                </w:tcPr>
                <w:p w14:paraId="1C96469A">
                  <w:pPr>
                    <w:widowControl/>
                    <w:jc w:val="center"/>
                    <w:textAlignment w:val="center"/>
                    <w:rPr>
                      <w:sz w:val="21"/>
                      <w:szCs w:val="21"/>
                      <w:lang w:bidi="ar"/>
                    </w:rPr>
                  </w:pPr>
                  <w:r>
                    <w:rPr>
                      <w:rFonts w:hint="eastAsia"/>
                      <w:kern w:val="0"/>
                      <w:sz w:val="21"/>
                      <w:szCs w:val="21"/>
                      <w:lang w:bidi="ar"/>
                    </w:rPr>
                    <w:t>总磷</w:t>
                  </w:r>
                </w:p>
              </w:tc>
              <w:tc>
                <w:tcPr>
                  <w:tcW w:w="901" w:type="dxa"/>
                  <w:vAlign w:val="center"/>
                </w:tcPr>
                <w:p w14:paraId="4C1F37E5">
                  <w:pPr>
                    <w:widowControl/>
                    <w:jc w:val="center"/>
                    <w:textAlignment w:val="center"/>
                    <w:rPr>
                      <w:bCs/>
                      <w:sz w:val="21"/>
                      <w:szCs w:val="21"/>
                      <w:lang w:bidi="ar"/>
                    </w:rPr>
                  </w:pPr>
                  <w:r>
                    <w:rPr>
                      <w:bCs/>
                      <w:sz w:val="21"/>
                      <w:szCs w:val="21"/>
                      <w:lang w:bidi="ar"/>
                    </w:rPr>
                    <w:t>mg/L</w:t>
                  </w:r>
                </w:p>
              </w:tc>
              <w:tc>
                <w:tcPr>
                  <w:tcW w:w="1207" w:type="dxa"/>
                  <w:vAlign w:val="center"/>
                </w:tcPr>
                <w:p w14:paraId="64B01DA3">
                  <w:pPr>
                    <w:widowControl/>
                    <w:jc w:val="center"/>
                    <w:textAlignment w:val="center"/>
                    <w:rPr>
                      <w:bCs/>
                      <w:sz w:val="21"/>
                      <w:szCs w:val="21"/>
                      <w:lang w:bidi="ar"/>
                    </w:rPr>
                  </w:pPr>
                  <w:r>
                    <w:rPr>
                      <w:bCs/>
                      <w:sz w:val="21"/>
                      <w:szCs w:val="21"/>
                      <w:lang w:bidi="ar"/>
                    </w:rPr>
                    <w:t>0.18</w:t>
                  </w:r>
                </w:p>
              </w:tc>
              <w:tc>
                <w:tcPr>
                  <w:tcW w:w="1207" w:type="dxa"/>
                  <w:vAlign w:val="center"/>
                </w:tcPr>
                <w:p w14:paraId="536DE110">
                  <w:pPr>
                    <w:widowControl/>
                    <w:jc w:val="center"/>
                    <w:textAlignment w:val="center"/>
                    <w:rPr>
                      <w:bCs/>
                      <w:sz w:val="21"/>
                      <w:szCs w:val="21"/>
                    </w:rPr>
                  </w:pPr>
                  <w:r>
                    <w:rPr>
                      <w:bCs/>
                      <w:sz w:val="21"/>
                      <w:szCs w:val="21"/>
                    </w:rPr>
                    <w:t>0.18</w:t>
                  </w:r>
                </w:p>
              </w:tc>
              <w:tc>
                <w:tcPr>
                  <w:tcW w:w="1208" w:type="dxa"/>
                  <w:vAlign w:val="center"/>
                </w:tcPr>
                <w:p w14:paraId="395FFD67">
                  <w:pPr>
                    <w:widowControl/>
                    <w:jc w:val="center"/>
                    <w:textAlignment w:val="center"/>
                    <w:rPr>
                      <w:bCs/>
                      <w:sz w:val="21"/>
                      <w:szCs w:val="21"/>
                    </w:rPr>
                  </w:pPr>
                  <w:r>
                    <w:rPr>
                      <w:bCs/>
                      <w:sz w:val="21"/>
                      <w:szCs w:val="21"/>
                    </w:rPr>
                    <w:t>0.17</w:t>
                  </w:r>
                </w:p>
              </w:tc>
              <w:tc>
                <w:tcPr>
                  <w:tcW w:w="1000" w:type="dxa"/>
                  <w:vAlign w:val="center"/>
                </w:tcPr>
                <w:p w14:paraId="3289230C">
                  <w:pPr>
                    <w:widowControl/>
                    <w:jc w:val="center"/>
                    <w:textAlignment w:val="center"/>
                    <w:rPr>
                      <w:bCs/>
                      <w:sz w:val="21"/>
                      <w:szCs w:val="21"/>
                    </w:rPr>
                  </w:pPr>
                  <w:r>
                    <w:rPr>
                      <w:bCs/>
                      <w:kern w:val="0"/>
                      <w:sz w:val="21"/>
                      <w:szCs w:val="21"/>
                      <w:lang w:bidi="ar"/>
                    </w:rPr>
                    <w:t>0.2</w:t>
                  </w:r>
                  <w:r>
                    <w:rPr>
                      <w:bCs/>
                      <w:sz w:val="21"/>
                      <w:szCs w:val="21"/>
                      <w:lang w:bidi="ar"/>
                    </w:rPr>
                    <w:t>mg/L</w:t>
                  </w:r>
                </w:p>
              </w:tc>
              <w:tc>
                <w:tcPr>
                  <w:tcW w:w="495" w:type="dxa"/>
                  <w:vAlign w:val="center"/>
                </w:tcPr>
                <w:p w14:paraId="521259E7">
                  <w:pPr>
                    <w:widowControl/>
                    <w:jc w:val="center"/>
                    <w:textAlignment w:val="center"/>
                    <w:rPr>
                      <w:bCs/>
                      <w:kern w:val="0"/>
                      <w:sz w:val="21"/>
                      <w:szCs w:val="21"/>
                      <w:lang w:bidi="ar"/>
                    </w:rPr>
                  </w:pPr>
                  <w:r>
                    <w:rPr>
                      <w:rFonts w:hint="eastAsia"/>
                      <w:bCs/>
                      <w:sz w:val="21"/>
                      <w:szCs w:val="21"/>
                    </w:rPr>
                    <w:t>达标</w:t>
                  </w:r>
                </w:p>
              </w:tc>
            </w:tr>
            <w:tr w14:paraId="4EF000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vAlign w:val="center"/>
                </w:tcPr>
                <w:p w14:paraId="69012DBA">
                  <w:pPr>
                    <w:tabs>
                      <w:tab w:val="left" w:pos="1890"/>
                    </w:tabs>
                    <w:jc w:val="center"/>
                    <w:rPr>
                      <w:sz w:val="21"/>
                      <w:szCs w:val="21"/>
                    </w:rPr>
                  </w:pPr>
                </w:p>
              </w:tc>
              <w:tc>
                <w:tcPr>
                  <w:tcW w:w="1579" w:type="dxa"/>
                  <w:vAlign w:val="center"/>
                </w:tcPr>
                <w:p w14:paraId="6D441CAC">
                  <w:pPr>
                    <w:tabs>
                      <w:tab w:val="left" w:pos="1890"/>
                    </w:tabs>
                    <w:jc w:val="center"/>
                    <w:rPr>
                      <w:sz w:val="21"/>
                      <w:szCs w:val="21"/>
                    </w:rPr>
                  </w:pPr>
                  <w:r>
                    <w:rPr>
                      <w:rFonts w:hint="eastAsia"/>
                      <w:sz w:val="21"/>
                      <w:szCs w:val="21"/>
                    </w:rPr>
                    <w:t>石油类</w:t>
                  </w:r>
                </w:p>
              </w:tc>
              <w:tc>
                <w:tcPr>
                  <w:tcW w:w="901" w:type="dxa"/>
                  <w:vAlign w:val="center"/>
                </w:tcPr>
                <w:p w14:paraId="690CE619">
                  <w:pPr>
                    <w:widowControl/>
                    <w:jc w:val="center"/>
                    <w:textAlignment w:val="center"/>
                    <w:rPr>
                      <w:bCs/>
                      <w:sz w:val="21"/>
                      <w:szCs w:val="21"/>
                      <w:lang w:bidi="ar"/>
                    </w:rPr>
                  </w:pPr>
                  <w:r>
                    <w:rPr>
                      <w:bCs/>
                      <w:sz w:val="21"/>
                      <w:szCs w:val="21"/>
                      <w:lang w:bidi="ar"/>
                    </w:rPr>
                    <w:t>mg/L</w:t>
                  </w:r>
                </w:p>
              </w:tc>
              <w:tc>
                <w:tcPr>
                  <w:tcW w:w="1207" w:type="dxa"/>
                  <w:vAlign w:val="center"/>
                </w:tcPr>
                <w:p w14:paraId="2EE4316A">
                  <w:pPr>
                    <w:widowControl/>
                    <w:jc w:val="center"/>
                    <w:textAlignment w:val="center"/>
                    <w:rPr>
                      <w:bCs/>
                      <w:sz w:val="21"/>
                      <w:szCs w:val="21"/>
                      <w:lang w:bidi="ar"/>
                    </w:rPr>
                  </w:pPr>
                  <w:r>
                    <w:rPr>
                      <w:rFonts w:hint="eastAsia"/>
                      <w:bCs/>
                      <w:sz w:val="21"/>
                      <w:szCs w:val="21"/>
                      <w:lang w:bidi="ar"/>
                    </w:rPr>
                    <w:t>未检出</w:t>
                  </w:r>
                </w:p>
              </w:tc>
              <w:tc>
                <w:tcPr>
                  <w:tcW w:w="1207" w:type="dxa"/>
                  <w:vAlign w:val="center"/>
                </w:tcPr>
                <w:p w14:paraId="03486B4E">
                  <w:pPr>
                    <w:widowControl/>
                    <w:jc w:val="center"/>
                    <w:textAlignment w:val="center"/>
                    <w:rPr>
                      <w:bCs/>
                      <w:sz w:val="21"/>
                      <w:szCs w:val="21"/>
                    </w:rPr>
                  </w:pPr>
                  <w:r>
                    <w:rPr>
                      <w:rFonts w:hint="eastAsia"/>
                      <w:bCs/>
                      <w:sz w:val="21"/>
                      <w:szCs w:val="21"/>
                      <w:lang w:bidi="ar"/>
                    </w:rPr>
                    <w:t>未检出</w:t>
                  </w:r>
                </w:p>
              </w:tc>
              <w:tc>
                <w:tcPr>
                  <w:tcW w:w="1208" w:type="dxa"/>
                  <w:vAlign w:val="center"/>
                </w:tcPr>
                <w:p w14:paraId="0C4940DE">
                  <w:pPr>
                    <w:widowControl/>
                    <w:jc w:val="center"/>
                    <w:textAlignment w:val="center"/>
                    <w:rPr>
                      <w:bCs/>
                      <w:sz w:val="21"/>
                      <w:szCs w:val="21"/>
                    </w:rPr>
                  </w:pPr>
                  <w:r>
                    <w:rPr>
                      <w:rFonts w:hint="eastAsia"/>
                      <w:bCs/>
                      <w:sz w:val="21"/>
                      <w:szCs w:val="21"/>
                      <w:lang w:bidi="ar"/>
                    </w:rPr>
                    <w:t>未检出</w:t>
                  </w:r>
                </w:p>
              </w:tc>
              <w:tc>
                <w:tcPr>
                  <w:tcW w:w="1000" w:type="dxa"/>
                  <w:vAlign w:val="center"/>
                </w:tcPr>
                <w:p w14:paraId="714A3A99">
                  <w:pPr>
                    <w:widowControl/>
                    <w:jc w:val="center"/>
                    <w:textAlignment w:val="center"/>
                    <w:rPr>
                      <w:bCs/>
                      <w:kern w:val="0"/>
                      <w:sz w:val="21"/>
                      <w:szCs w:val="21"/>
                      <w:lang w:bidi="ar"/>
                    </w:rPr>
                  </w:pPr>
                  <w:r>
                    <w:rPr>
                      <w:bCs/>
                      <w:kern w:val="0"/>
                      <w:sz w:val="21"/>
                      <w:szCs w:val="21"/>
                      <w:lang w:bidi="ar"/>
                    </w:rPr>
                    <w:t>0.05</w:t>
                  </w:r>
                  <w:r>
                    <w:rPr>
                      <w:bCs/>
                      <w:sz w:val="21"/>
                      <w:szCs w:val="21"/>
                      <w:lang w:bidi="ar"/>
                    </w:rPr>
                    <w:t>mg/L</w:t>
                  </w:r>
                </w:p>
              </w:tc>
              <w:tc>
                <w:tcPr>
                  <w:tcW w:w="495" w:type="dxa"/>
                  <w:vAlign w:val="center"/>
                </w:tcPr>
                <w:p w14:paraId="47B6E806">
                  <w:pPr>
                    <w:widowControl/>
                    <w:jc w:val="center"/>
                    <w:textAlignment w:val="center"/>
                    <w:rPr>
                      <w:bCs/>
                      <w:kern w:val="0"/>
                      <w:sz w:val="21"/>
                      <w:szCs w:val="21"/>
                      <w:lang w:bidi="ar"/>
                    </w:rPr>
                  </w:pPr>
                  <w:r>
                    <w:rPr>
                      <w:rFonts w:hint="eastAsia"/>
                      <w:bCs/>
                      <w:sz w:val="21"/>
                      <w:szCs w:val="21"/>
                    </w:rPr>
                    <w:t>达标</w:t>
                  </w:r>
                </w:p>
              </w:tc>
            </w:tr>
            <w:tr w14:paraId="3923B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restart"/>
                  <w:vAlign w:val="center"/>
                </w:tcPr>
                <w:p w14:paraId="685C85E7">
                  <w:pPr>
                    <w:tabs>
                      <w:tab w:val="left" w:pos="1890"/>
                    </w:tabs>
                    <w:jc w:val="center"/>
                    <w:rPr>
                      <w:sz w:val="21"/>
                      <w:szCs w:val="21"/>
                    </w:rPr>
                  </w:pPr>
                  <w:r>
                    <w:rPr>
                      <w:sz w:val="21"/>
                      <w:szCs w:val="21"/>
                    </w:rPr>
                    <w:fldChar w:fldCharType="begin"/>
                  </w:r>
                  <w:r>
                    <w:rPr>
                      <w:rFonts w:hint="eastAsia"/>
                      <w:sz w:val="21"/>
                      <w:szCs w:val="21"/>
                    </w:rPr>
                    <w:instrText xml:space="preserve"> REF 地表水2 \h \* MERGEFORMAT</w:instrText>
                  </w:r>
                  <w:r>
                    <w:rPr>
                      <w:sz w:val="21"/>
                      <w:szCs w:val="21"/>
                    </w:rPr>
                    <w:fldChar w:fldCharType="separate"/>
                  </w:r>
                  <w:r>
                    <w:rPr>
                      <w:rFonts w:hint="eastAsia"/>
                      <w:sz w:val="21"/>
                      <w:szCs w:val="21"/>
                    </w:rPr>
                    <w:t>2# 工程河段终点下游100m处</w:t>
                  </w:r>
                  <w:r>
                    <w:rPr>
                      <w:sz w:val="21"/>
                      <w:szCs w:val="21"/>
                    </w:rPr>
                    <w:fldChar w:fldCharType="end"/>
                  </w:r>
                </w:p>
              </w:tc>
              <w:tc>
                <w:tcPr>
                  <w:tcW w:w="1579" w:type="dxa"/>
                  <w:vAlign w:val="center"/>
                </w:tcPr>
                <w:p w14:paraId="4089D44C">
                  <w:pPr>
                    <w:tabs>
                      <w:tab w:val="left" w:pos="1890"/>
                    </w:tabs>
                    <w:jc w:val="center"/>
                    <w:rPr>
                      <w:sz w:val="21"/>
                      <w:szCs w:val="21"/>
                    </w:rPr>
                  </w:pPr>
                  <w:r>
                    <w:rPr>
                      <w:sz w:val="21"/>
                      <w:szCs w:val="21"/>
                    </w:rPr>
                    <w:t>pH</w:t>
                  </w:r>
                </w:p>
              </w:tc>
              <w:tc>
                <w:tcPr>
                  <w:tcW w:w="901" w:type="dxa"/>
                  <w:vAlign w:val="center"/>
                </w:tcPr>
                <w:p w14:paraId="02A2383C">
                  <w:pPr>
                    <w:jc w:val="center"/>
                    <w:rPr>
                      <w:bCs/>
                      <w:sz w:val="21"/>
                      <w:szCs w:val="21"/>
                    </w:rPr>
                  </w:pPr>
                  <w:r>
                    <w:rPr>
                      <w:rFonts w:hint="eastAsia"/>
                      <w:bCs/>
                      <w:sz w:val="21"/>
                      <w:szCs w:val="21"/>
                    </w:rPr>
                    <w:t>无量纲</w:t>
                  </w:r>
                </w:p>
              </w:tc>
              <w:tc>
                <w:tcPr>
                  <w:tcW w:w="1207" w:type="dxa"/>
                  <w:vAlign w:val="center"/>
                </w:tcPr>
                <w:p w14:paraId="24541A5C">
                  <w:pPr>
                    <w:widowControl/>
                    <w:jc w:val="center"/>
                    <w:textAlignment w:val="center"/>
                    <w:rPr>
                      <w:sz w:val="21"/>
                      <w:szCs w:val="21"/>
                    </w:rPr>
                  </w:pPr>
                  <w:r>
                    <w:rPr>
                      <w:sz w:val="21"/>
                      <w:szCs w:val="21"/>
                    </w:rPr>
                    <w:t>7.7</w:t>
                  </w:r>
                </w:p>
              </w:tc>
              <w:tc>
                <w:tcPr>
                  <w:tcW w:w="1207" w:type="dxa"/>
                  <w:vAlign w:val="center"/>
                </w:tcPr>
                <w:p w14:paraId="4983F69E">
                  <w:pPr>
                    <w:widowControl/>
                    <w:jc w:val="center"/>
                    <w:textAlignment w:val="center"/>
                    <w:rPr>
                      <w:bCs/>
                      <w:sz w:val="21"/>
                      <w:szCs w:val="21"/>
                    </w:rPr>
                  </w:pPr>
                  <w:r>
                    <w:rPr>
                      <w:bCs/>
                      <w:sz w:val="21"/>
                      <w:szCs w:val="21"/>
                    </w:rPr>
                    <w:t>7.6</w:t>
                  </w:r>
                </w:p>
              </w:tc>
              <w:tc>
                <w:tcPr>
                  <w:tcW w:w="1208" w:type="dxa"/>
                  <w:vAlign w:val="center"/>
                </w:tcPr>
                <w:p w14:paraId="6698E8E8">
                  <w:pPr>
                    <w:widowControl/>
                    <w:jc w:val="center"/>
                    <w:textAlignment w:val="center"/>
                    <w:rPr>
                      <w:bCs/>
                      <w:sz w:val="21"/>
                      <w:szCs w:val="21"/>
                    </w:rPr>
                  </w:pPr>
                  <w:r>
                    <w:rPr>
                      <w:bCs/>
                      <w:sz w:val="21"/>
                      <w:szCs w:val="21"/>
                    </w:rPr>
                    <w:t>7.5</w:t>
                  </w:r>
                </w:p>
              </w:tc>
              <w:tc>
                <w:tcPr>
                  <w:tcW w:w="1000" w:type="dxa"/>
                  <w:vAlign w:val="center"/>
                </w:tcPr>
                <w:p w14:paraId="132C0080">
                  <w:pPr>
                    <w:widowControl/>
                    <w:jc w:val="center"/>
                    <w:textAlignment w:val="center"/>
                    <w:rPr>
                      <w:bCs/>
                      <w:sz w:val="21"/>
                      <w:szCs w:val="21"/>
                    </w:rPr>
                  </w:pPr>
                  <w:r>
                    <w:rPr>
                      <w:bCs/>
                      <w:sz w:val="21"/>
                      <w:szCs w:val="21"/>
                    </w:rPr>
                    <w:t>6-9</w:t>
                  </w:r>
                </w:p>
              </w:tc>
              <w:tc>
                <w:tcPr>
                  <w:tcW w:w="495" w:type="dxa"/>
                  <w:vAlign w:val="center"/>
                </w:tcPr>
                <w:p w14:paraId="1A1BD76A">
                  <w:pPr>
                    <w:widowControl/>
                    <w:jc w:val="center"/>
                    <w:textAlignment w:val="center"/>
                    <w:rPr>
                      <w:bCs/>
                      <w:sz w:val="21"/>
                      <w:szCs w:val="21"/>
                    </w:rPr>
                  </w:pPr>
                  <w:r>
                    <w:rPr>
                      <w:rFonts w:hint="eastAsia"/>
                      <w:bCs/>
                      <w:sz w:val="21"/>
                      <w:szCs w:val="21"/>
                    </w:rPr>
                    <w:t>达标</w:t>
                  </w:r>
                </w:p>
              </w:tc>
            </w:tr>
            <w:tr w14:paraId="54BB42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tcPr>
                <w:p w14:paraId="2A4C3995">
                  <w:pPr>
                    <w:tabs>
                      <w:tab w:val="left" w:pos="1890"/>
                    </w:tabs>
                    <w:jc w:val="center"/>
                    <w:rPr>
                      <w:sz w:val="21"/>
                      <w:szCs w:val="21"/>
                    </w:rPr>
                  </w:pPr>
                </w:p>
              </w:tc>
              <w:tc>
                <w:tcPr>
                  <w:tcW w:w="1579" w:type="dxa"/>
                  <w:vAlign w:val="center"/>
                </w:tcPr>
                <w:p w14:paraId="4949C8E5">
                  <w:pPr>
                    <w:widowControl/>
                    <w:jc w:val="center"/>
                    <w:textAlignment w:val="center"/>
                    <w:rPr>
                      <w:kern w:val="0"/>
                      <w:sz w:val="21"/>
                      <w:szCs w:val="21"/>
                      <w:lang w:bidi="ar"/>
                    </w:rPr>
                  </w:pPr>
                  <w:r>
                    <w:rPr>
                      <w:rFonts w:hint="eastAsia"/>
                      <w:kern w:val="0"/>
                      <w:sz w:val="21"/>
                      <w:szCs w:val="21"/>
                      <w:lang w:bidi="ar"/>
                    </w:rPr>
                    <w:t>悬浮物</w:t>
                  </w:r>
                </w:p>
              </w:tc>
              <w:tc>
                <w:tcPr>
                  <w:tcW w:w="901" w:type="dxa"/>
                  <w:vAlign w:val="center"/>
                </w:tcPr>
                <w:p w14:paraId="2EACC2C6">
                  <w:pPr>
                    <w:widowControl/>
                    <w:jc w:val="center"/>
                    <w:textAlignment w:val="center"/>
                    <w:rPr>
                      <w:bCs/>
                      <w:sz w:val="21"/>
                      <w:szCs w:val="21"/>
                    </w:rPr>
                  </w:pPr>
                  <w:r>
                    <w:rPr>
                      <w:bCs/>
                      <w:sz w:val="21"/>
                      <w:szCs w:val="21"/>
                      <w:lang w:bidi="ar"/>
                    </w:rPr>
                    <w:t>mg/L</w:t>
                  </w:r>
                </w:p>
              </w:tc>
              <w:tc>
                <w:tcPr>
                  <w:tcW w:w="1207" w:type="dxa"/>
                  <w:vAlign w:val="center"/>
                </w:tcPr>
                <w:p w14:paraId="34B8E7A5">
                  <w:pPr>
                    <w:widowControl/>
                    <w:jc w:val="center"/>
                    <w:textAlignment w:val="center"/>
                    <w:rPr>
                      <w:sz w:val="21"/>
                      <w:szCs w:val="21"/>
                    </w:rPr>
                  </w:pPr>
                  <w:r>
                    <w:rPr>
                      <w:sz w:val="21"/>
                      <w:szCs w:val="21"/>
                    </w:rPr>
                    <w:t>4</w:t>
                  </w:r>
                </w:p>
              </w:tc>
              <w:tc>
                <w:tcPr>
                  <w:tcW w:w="1207" w:type="dxa"/>
                  <w:vAlign w:val="center"/>
                </w:tcPr>
                <w:p w14:paraId="349B63E2">
                  <w:pPr>
                    <w:widowControl/>
                    <w:jc w:val="center"/>
                    <w:textAlignment w:val="center"/>
                    <w:rPr>
                      <w:bCs/>
                      <w:sz w:val="21"/>
                      <w:szCs w:val="21"/>
                    </w:rPr>
                  </w:pPr>
                  <w:r>
                    <w:rPr>
                      <w:bCs/>
                      <w:sz w:val="21"/>
                      <w:szCs w:val="21"/>
                    </w:rPr>
                    <w:t>5</w:t>
                  </w:r>
                </w:p>
              </w:tc>
              <w:tc>
                <w:tcPr>
                  <w:tcW w:w="1208" w:type="dxa"/>
                  <w:vAlign w:val="center"/>
                </w:tcPr>
                <w:p w14:paraId="48539EC2">
                  <w:pPr>
                    <w:widowControl/>
                    <w:jc w:val="center"/>
                    <w:textAlignment w:val="center"/>
                    <w:rPr>
                      <w:bCs/>
                      <w:sz w:val="21"/>
                      <w:szCs w:val="21"/>
                    </w:rPr>
                  </w:pPr>
                  <w:r>
                    <w:rPr>
                      <w:bCs/>
                      <w:sz w:val="21"/>
                      <w:szCs w:val="21"/>
                    </w:rPr>
                    <w:t>4</w:t>
                  </w:r>
                </w:p>
              </w:tc>
              <w:tc>
                <w:tcPr>
                  <w:tcW w:w="1000" w:type="dxa"/>
                  <w:vAlign w:val="center"/>
                </w:tcPr>
                <w:p w14:paraId="4AFE4128">
                  <w:pPr>
                    <w:jc w:val="center"/>
                    <w:rPr>
                      <w:bCs/>
                      <w:kern w:val="0"/>
                      <w:sz w:val="21"/>
                      <w:szCs w:val="21"/>
                      <w:lang w:bidi="ar"/>
                    </w:rPr>
                  </w:pPr>
                  <w:r>
                    <w:rPr>
                      <w:bCs/>
                      <w:kern w:val="0"/>
                      <w:sz w:val="21"/>
                      <w:szCs w:val="21"/>
                      <w:lang w:bidi="ar"/>
                    </w:rPr>
                    <w:t>/</w:t>
                  </w:r>
                </w:p>
              </w:tc>
              <w:tc>
                <w:tcPr>
                  <w:tcW w:w="495" w:type="dxa"/>
                  <w:vAlign w:val="center"/>
                </w:tcPr>
                <w:p w14:paraId="17167CB7">
                  <w:pPr>
                    <w:jc w:val="center"/>
                    <w:rPr>
                      <w:bCs/>
                      <w:kern w:val="0"/>
                      <w:sz w:val="21"/>
                      <w:szCs w:val="21"/>
                      <w:lang w:bidi="ar"/>
                    </w:rPr>
                  </w:pPr>
                  <w:r>
                    <w:rPr>
                      <w:bCs/>
                      <w:kern w:val="0"/>
                      <w:sz w:val="21"/>
                      <w:szCs w:val="21"/>
                      <w:lang w:bidi="ar"/>
                    </w:rPr>
                    <w:t>/</w:t>
                  </w:r>
                </w:p>
              </w:tc>
            </w:tr>
            <w:tr w14:paraId="1DDF82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tcPr>
                <w:p w14:paraId="2EF360C0">
                  <w:pPr>
                    <w:tabs>
                      <w:tab w:val="left" w:pos="1890"/>
                    </w:tabs>
                    <w:jc w:val="center"/>
                    <w:rPr>
                      <w:sz w:val="21"/>
                      <w:szCs w:val="21"/>
                    </w:rPr>
                  </w:pPr>
                </w:p>
              </w:tc>
              <w:tc>
                <w:tcPr>
                  <w:tcW w:w="1579" w:type="dxa"/>
                  <w:vAlign w:val="center"/>
                </w:tcPr>
                <w:p w14:paraId="49D37254">
                  <w:pPr>
                    <w:jc w:val="center"/>
                    <w:rPr>
                      <w:sz w:val="21"/>
                      <w:szCs w:val="21"/>
                    </w:rPr>
                  </w:pPr>
                  <w:r>
                    <w:rPr>
                      <w:rFonts w:hint="eastAsia"/>
                      <w:sz w:val="21"/>
                      <w:szCs w:val="21"/>
                    </w:rPr>
                    <w:t>化学需氧量</w:t>
                  </w:r>
                </w:p>
              </w:tc>
              <w:tc>
                <w:tcPr>
                  <w:tcW w:w="901" w:type="dxa"/>
                  <w:vAlign w:val="center"/>
                </w:tcPr>
                <w:p w14:paraId="4FD5CC6B">
                  <w:pPr>
                    <w:widowControl/>
                    <w:jc w:val="center"/>
                    <w:textAlignment w:val="center"/>
                    <w:rPr>
                      <w:bCs/>
                      <w:sz w:val="21"/>
                      <w:szCs w:val="21"/>
                    </w:rPr>
                  </w:pPr>
                  <w:r>
                    <w:rPr>
                      <w:bCs/>
                      <w:sz w:val="21"/>
                      <w:szCs w:val="21"/>
                      <w:lang w:bidi="ar"/>
                    </w:rPr>
                    <w:t>mg/L</w:t>
                  </w:r>
                </w:p>
              </w:tc>
              <w:tc>
                <w:tcPr>
                  <w:tcW w:w="1207" w:type="dxa"/>
                  <w:vAlign w:val="center"/>
                </w:tcPr>
                <w:p w14:paraId="580FFEC9">
                  <w:pPr>
                    <w:widowControl/>
                    <w:jc w:val="center"/>
                    <w:textAlignment w:val="center"/>
                    <w:rPr>
                      <w:sz w:val="21"/>
                      <w:szCs w:val="21"/>
                    </w:rPr>
                  </w:pPr>
                  <w:r>
                    <w:rPr>
                      <w:sz w:val="21"/>
                      <w:szCs w:val="21"/>
                    </w:rPr>
                    <w:t>4</w:t>
                  </w:r>
                </w:p>
              </w:tc>
              <w:tc>
                <w:tcPr>
                  <w:tcW w:w="1207" w:type="dxa"/>
                  <w:vAlign w:val="center"/>
                </w:tcPr>
                <w:p w14:paraId="78AE3DA8">
                  <w:pPr>
                    <w:widowControl/>
                    <w:jc w:val="center"/>
                    <w:textAlignment w:val="center"/>
                    <w:rPr>
                      <w:bCs/>
                      <w:sz w:val="21"/>
                      <w:szCs w:val="21"/>
                    </w:rPr>
                  </w:pPr>
                  <w:r>
                    <w:rPr>
                      <w:bCs/>
                      <w:sz w:val="21"/>
                      <w:szCs w:val="21"/>
                    </w:rPr>
                    <w:t>4</w:t>
                  </w:r>
                </w:p>
              </w:tc>
              <w:tc>
                <w:tcPr>
                  <w:tcW w:w="1208" w:type="dxa"/>
                  <w:vAlign w:val="center"/>
                </w:tcPr>
                <w:p w14:paraId="4F8051AA">
                  <w:pPr>
                    <w:widowControl/>
                    <w:jc w:val="center"/>
                    <w:textAlignment w:val="center"/>
                    <w:rPr>
                      <w:bCs/>
                      <w:sz w:val="21"/>
                      <w:szCs w:val="21"/>
                    </w:rPr>
                  </w:pPr>
                  <w:r>
                    <w:rPr>
                      <w:bCs/>
                      <w:sz w:val="21"/>
                      <w:szCs w:val="21"/>
                    </w:rPr>
                    <w:t>5</w:t>
                  </w:r>
                </w:p>
              </w:tc>
              <w:tc>
                <w:tcPr>
                  <w:tcW w:w="1000" w:type="dxa"/>
                  <w:vAlign w:val="center"/>
                </w:tcPr>
                <w:p w14:paraId="08C9B583">
                  <w:pPr>
                    <w:jc w:val="center"/>
                    <w:rPr>
                      <w:bCs/>
                      <w:sz w:val="21"/>
                      <w:szCs w:val="21"/>
                    </w:rPr>
                  </w:pPr>
                  <w:r>
                    <w:rPr>
                      <w:bCs/>
                      <w:sz w:val="21"/>
                      <w:szCs w:val="21"/>
                    </w:rPr>
                    <w:t>20</w:t>
                  </w:r>
                  <w:r>
                    <w:rPr>
                      <w:bCs/>
                      <w:sz w:val="21"/>
                      <w:szCs w:val="21"/>
                      <w:lang w:bidi="ar"/>
                    </w:rPr>
                    <w:t>mg/L</w:t>
                  </w:r>
                </w:p>
              </w:tc>
              <w:tc>
                <w:tcPr>
                  <w:tcW w:w="495" w:type="dxa"/>
                  <w:vAlign w:val="center"/>
                </w:tcPr>
                <w:p w14:paraId="3D451265">
                  <w:pPr>
                    <w:jc w:val="center"/>
                    <w:rPr>
                      <w:bCs/>
                      <w:sz w:val="21"/>
                      <w:szCs w:val="21"/>
                    </w:rPr>
                  </w:pPr>
                  <w:r>
                    <w:rPr>
                      <w:rFonts w:hint="eastAsia"/>
                      <w:bCs/>
                      <w:sz w:val="21"/>
                      <w:szCs w:val="21"/>
                    </w:rPr>
                    <w:t>达标</w:t>
                  </w:r>
                </w:p>
              </w:tc>
            </w:tr>
            <w:tr w14:paraId="522F7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tcPr>
                <w:p w14:paraId="22922895">
                  <w:pPr>
                    <w:tabs>
                      <w:tab w:val="left" w:pos="1890"/>
                    </w:tabs>
                    <w:jc w:val="center"/>
                    <w:rPr>
                      <w:sz w:val="21"/>
                      <w:szCs w:val="21"/>
                    </w:rPr>
                  </w:pPr>
                </w:p>
              </w:tc>
              <w:tc>
                <w:tcPr>
                  <w:tcW w:w="1579" w:type="dxa"/>
                  <w:vAlign w:val="center"/>
                </w:tcPr>
                <w:p w14:paraId="5C2B97FF">
                  <w:pPr>
                    <w:widowControl/>
                    <w:jc w:val="center"/>
                    <w:textAlignment w:val="center"/>
                    <w:rPr>
                      <w:sz w:val="21"/>
                      <w:szCs w:val="21"/>
                    </w:rPr>
                  </w:pPr>
                  <w:r>
                    <w:rPr>
                      <w:rFonts w:hint="eastAsia"/>
                      <w:kern w:val="0"/>
                      <w:sz w:val="21"/>
                      <w:szCs w:val="21"/>
                      <w:lang w:bidi="ar"/>
                    </w:rPr>
                    <w:t>五日生化需氧量</w:t>
                  </w:r>
                </w:p>
              </w:tc>
              <w:tc>
                <w:tcPr>
                  <w:tcW w:w="901" w:type="dxa"/>
                  <w:vAlign w:val="center"/>
                </w:tcPr>
                <w:p w14:paraId="0F72F080">
                  <w:pPr>
                    <w:widowControl/>
                    <w:jc w:val="center"/>
                    <w:textAlignment w:val="center"/>
                    <w:rPr>
                      <w:bCs/>
                      <w:sz w:val="21"/>
                      <w:szCs w:val="21"/>
                    </w:rPr>
                  </w:pPr>
                  <w:r>
                    <w:rPr>
                      <w:bCs/>
                      <w:sz w:val="21"/>
                      <w:szCs w:val="21"/>
                      <w:lang w:bidi="ar"/>
                    </w:rPr>
                    <w:t>mg/L</w:t>
                  </w:r>
                </w:p>
              </w:tc>
              <w:tc>
                <w:tcPr>
                  <w:tcW w:w="1207" w:type="dxa"/>
                  <w:vAlign w:val="center"/>
                </w:tcPr>
                <w:p w14:paraId="47811054">
                  <w:pPr>
                    <w:widowControl/>
                    <w:jc w:val="center"/>
                    <w:textAlignment w:val="center"/>
                    <w:rPr>
                      <w:sz w:val="21"/>
                      <w:szCs w:val="21"/>
                    </w:rPr>
                  </w:pPr>
                  <w:r>
                    <w:rPr>
                      <w:sz w:val="21"/>
                      <w:szCs w:val="21"/>
                    </w:rPr>
                    <w:t>1.1</w:t>
                  </w:r>
                </w:p>
              </w:tc>
              <w:tc>
                <w:tcPr>
                  <w:tcW w:w="1207" w:type="dxa"/>
                  <w:vAlign w:val="center"/>
                </w:tcPr>
                <w:p w14:paraId="3D5C3856">
                  <w:pPr>
                    <w:widowControl/>
                    <w:jc w:val="center"/>
                    <w:textAlignment w:val="center"/>
                    <w:rPr>
                      <w:bCs/>
                      <w:sz w:val="21"/>
                      <w:szCs w:val="21"/>
                    </w:rPr>
                  </w:pPr>
                  <w:r>
                    <w:rPr>
                      <w:bCs/>
                      <w:sz w:val="21"/>
                      <w:szCs w:val="21"/>
                    </w:rPr>
                    <w:t>1.9</w:t>
                  </w:r>
                </w:p>
              </w:tc>
              <w:tc>
                <w:tcPr>
                  <w:tcW w:w="1208" w:type="dxa"/>
                  <w:vAlign w:val="center"/>
                </w:tcPr>
                <w:p w14:paraId="15EA2292">
                  <w:pPr>
                    <w:widowControl/>
                    <w:jc w:val="center"/>
                    <w:textAlignment w:val="center"/>
                    <w:rPr>
                      <w:sz w:val="21"/>
                      <w:szCs w:val="21"/>
                    </w:rPr>
                  </w:pPr>
                  <w:r>
                    <w:rPr>
                      <w:sz w:val="21"/>
                      <w:szCs w:val="21"/>
                    </w:rPr>
                    <w:t>1.8</w:t>
                  </w:r>
                </w:p>
              </w:tc>
              <w:tc>
                <w:tcPr>
                  <w:tcW w:w="1000" w:type="dxa"/>
                  <w:vAlign w:val="center"/>
                </w:tcPr>
                <w:p w14:paraId="523D0105">
                  <w:pPr>
                    <w:tabs>
                      <w:tab w:val="left" w:pos="1890"/>
                    </w:tabs>
                    <w:jc w:val="center"/>
                    <w:rPr>
                      <w:sz w:val="21"/>
                      <w:szCs w:val="21"/>
                    </w:rPr>
                  </w:pPr>
                  <w:r>
                    <w:rPr>
                      <w:sz w:val="21"/>
                      <w:szCs w:val="21"/>
                    </w:rPr>
                    <w:t>4</w:t>
                  </w:r>
                  <w:r>
                    <w:rPr>
                      <w:bCs/>
                      <w:sz w:val="21"/>
                      <w:szCs w:val="21"/>
                      <w:lang w:bidi="ar"/>
                    </w:rPr>
                    <w:t>mg/L</w:t>
                  </w:r>
                </w:p>
              </w:tc>
              <w:tc>
                <w:tcPr>
                  <w:tcW w:w="495" w:type="dxa"/>
                  <w:vAlign w:val="center"/>
                </w:tcPr>
                <w:p w14:paraId="095D0FAF">
                  <w:pPr>
                    <w:tabs>
                      <w:tab w:val="left" w:pos="1890"/>
                    </w:tabs>
                    <w:jc w:val="center"/>
                    <w:rPr>
                      <w:sz w:val="21"/>
                      <w:szCs w:val="21"/>
                    </w:rPr>
                  </w:pPr>
                  <w:r>
                    <w:rPr>
                      <w:rFonts w:hint="eastAsia"/>
                      <w:bCs/>
                      <w:sz w:val="21"/>
                      <w:szCs w:val="21"/>
                    </w:rPr>
                    <w:t>达标</w:t>
                  </w:r>
                </w:p>
              </w:tc>
            </w:tr>
            <w:tr w14:paraId="08A4C0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tcPr>
                <w:p w14:paraId="01226644">
                  <w:pPr>
                    <w:tabs>
                      <w:tab w:val="left" w:pos="1890"/>
                    </w:tabs>
                    <w:jc w:val="center"/>
                    <w:rPr>
                      <w:sz w:val="21"/>
                      <w:szCs w:val="21"/>
                    </w:rPr>
                  </w:pPr>
                </w:p>
              </w:tc>
              <w:tc>
                <w:tcPr>
                  <w:tcW w:w="1579" w:type="dxa"/>
                  <w:vAlign w:val="center"/>
                </w:tcPr>
                <w:p w14:paraId="1FB9F09C">
                  <w:pPr>
                    <w:tabs>
                      <w:tab w:val="left" w:pos="1890"/>
                    </w:tabs>
                    <w:jc w:val="center"/>
                    <w:rPr>
                      <w:sz w:val="21"/>
                      <w:szCs w:val="21"/>
                    </w:rPr>
                  </w:pPr>
                  <w:r>
                    <w:rPr>
                      <w:rFonts w:hint="eastAsia"/>
                      <w:sz w:val="21"/>
                      <w:szCs w:val="21"/>
                    </w:rPr>
                    <w:t>氨氮</w:t>
                  </w:r>
                </w:p>
              </w:tc>
              <w:tc>
                <w:tcPr>
                  <w:tcW w:w="901" w:type="dxa"/>
                  <w:vAlign w:val="center"/>
                </w:tcPr>
                <w:p w14:paraId="3B50431A">
                  <w:pPr>
                    <w:widowControl/>
                    <w:jc w:val="center"/>
                    <w:textAlignment w:val="center"/>
                    <w:rPr>
                      <w:bCs/>
                      <w:sz w:val="21"/>
                      <w:szCs w:val="21"/>
                      <w:lang w:bidi="ar"/>
                    </w:rPr>
                  </w:pPr>
                  <w:r>
                    <w:rPr>
                      <w:bCs/>
                      <w:sz w:val="21"/>
                      <w:szCs w:val="21"/>
                      <w:lang w:bidi="ar"/>
                    </w:rPr>
                    <w:t>mg/L</w:t>
                  </w:r>
                </w:p>
              </w:tc>
              <w:tc>
                <w:tcPr>
                  <w:tcW w:w="1207" w:type="dxa"/>
                  <w:vAlign w:val="center"/>
                </w:tcPr>
                <w:p w14:paraId="112B04CB">
                  <w:pPr>
                    <w:widowControl/>
                    <w:jc w:val="center"/>
                    <w:textAlignment w:val="center"/>
                    <w:rPr>
                      <w:bCs/>
                      <w:sz w:val="21"/>
                      <w:szCs w:val="21"/>
                      <w:lang w:bidi="ar"/>
                    </w:rPr>
                  </w:pPr>
                  <w:r>
                    <w:rPr>
                      <w:bCs/>
                      <w:sz w:val="21"/>
                      <w:szCs w:val="21"/>
                      <w:lang w:bidi="ar"/>
                    </w:rPr>
                    <w:t>0.638</w:t>
                  </w:r>
                </w:p>
              </w:tc>
              <w:tc>
                <w:tcPr>
                  <w:tcW w:w="1207" w:type="dxa"/>
                  <w:vAlign w:val="center"/>
                </w:tcPr>
                <w:p w14:paraId="3A638E5A">
                  <w:pPr>
                    <w:widowControl/>
                    <w:jc w:val="center"/>
                    <w:textAlignment w:val="center"/>
                    <w:rPr>
                      <w:bCs/>
                      <w:sz w:val="21"/>
                      <w:szCs w:val="21"/>
                    </w:rPr>
                  </w:pPr>
                  <w:r>
                    <w:rPr>
                      <w:bCs/>
                      <w:sz w:val="21"/>
                      <w:szCs w:val="21"/>
                    </w:rPr>
                    <w:t>0.754</w:t>
                  </w:r>
                </w:p>
              </w:tc>
              <w:tc>
                <w:tcPr>
                  <w:tcW w:w="1208" w:type="dxa"/>
                  <w:vAlign w:val="center"/>
                </w:tcPr>
                <w:p w14:paraId="1858EBCA">
                  <w:pPr>
                    <w:widowControl/>
                    <w:jc w:val="center"/>
                    <w:textAlignment w:val="center"/>
                    <w:rPr>
                      <w:bCs/>
                      <w:sz w:val="21"/>
                      <w:szCs w:val="21"/>
                    </w:rPr>
                  </w:pPr>
                  <w:r>
                    <w:rPr>
                      <w:bCs/>
                      <w:sz w:val="21"/>
                      <w:szCs w:val="21"/>
                    </w:rPr>
                    <w:t>0.675</w:t>
                  </w:r>
                </w:p>
              </w:tc>
              <w:tc>
                <w:tcPr>
                  <w:tcW w:w="1000" w:type="dxa"/>
                  <w:vAlign w:val="center"/>
                </w:tcPr>
                <w:p w14:paraId="265A56BD">
                  <w:pPr>
                    <w:widowControl/>
                    <w:jc w:val="center"/>
                    <w:textAlignment w:val="center"/>
                    <w:rPr>
                      <w:bCs/>
                      <w:sz w:val="21"/>
                      <w:szCs w:val="21"/>
                    </w:rPr>
                  </w:pPr>
                  <w:r>
                    <w:rPr>
                      <w:bCs/>
                      <w:kern w:val="0"/>
                      <w:sz w:val="21"/>
                      <w:szCs w:val="21"/>
                      <w:lang w:bidi="ar"/>
                    </w:rPr>
                    <w:t>1.0</w:t>
                  </w:r>
                  <w:r>
                    <w:rPr>
                      <w:bCs/>
                      <w:sz w:val="21"/>
                      <w:szCs w:val="21"/>
                      <w:lang w:bidi="ar"/>
                    </w:rPr>
                    <w:t>mg/L</w:t>
                  </w:r>
                </w:p>
              </w:tc>
              <w:tc>
                <w:tcPr>
                  <w:tcW w:w="495" w:type="dxa"/>
                  <w:vAlign w:val="center"/>
                </w:tcPr>
                <w:p w14:paraId="72BE4688">
                  <w:pPr>
                    <w:widowControl/>
                    <w:jc w:val="center"/>
                    <w:textAlignment w:val="center"/>
                    <w:rPr>
                      <w:bCs/>
                      <w:kern w:val="0"/>
                      <w:sz w:val="21"/>
                      <w:szCs w:val="21"/>
                      <w:lang w:bidi="ar"/>
                    </w:rPr>
                  </w:pPr>
                  <w:r>
                    <w:rPr>
                      <w:rFonts w:hint="eastAsia"/>
                      <w:bCs/>
                      <w:sz w:val="21"/>
                      <w:szCs w:val="21"/>
                    </w:rPr>
                    <w:t>达标</w:t>
                  </w:r>
                </w:p>
              </w:tc>
            </w:tr>
            <w:tr w14:paraId="60ADA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tcPr>
                <w:p w14:paraId="33702002">
                  <w:pPr>
                    <w:tabs>
                      <w:tab w:val="left" w:pos="1890"/>
                    </w:tabs>
                    <w:jc w:val="center"/>
                    <w:rPr>
                      <w:sz w:val="21"/>
                      <w:szCs w:val="21"/>
                    </w:rPr>
                  </w:pPr>
                </w:p>
              </w:tc>
              <w:tc>
                <w:tcPr>
                  <w:tcW w:w="1579" w:type="dxa"/>
                  <w:vAlign w:val="center"/>
                </w:tcPr>
                <w:p w14:paraId="6F88AE83">
                  <w:pPr>
                    <w:widowControl/>
                    <w:jc w:val="center"/>
                    <w:textAlignment w:val="center"/>
                    <w:rPr>
                      <w:sz w:val="21"/>
                      <w:szCs w:val="21"/>
                      <w:lang w:bidi="ar"/>
                    </w:rPr>
                  </w:pPr>
                  <w:r>
                    <w:rPr>
                      <w:rFonts w:hint="eastAsia"/>
                      <w:kern w:val="0"/>
                      <w:sz w:val="21"/>
                      <w:szCs w:val="21"/>
                      <w:lang w:bidi="ar"/>
                    </w:rPr>
                    <w:t>总磷</w:t>
                  </w:r>
                </w:p>
              </w:tc>
              <w:tc>
                <w:tcPr>
                  <w:tcW w:w="901" w:type="dxa"/>
                  <w:vAlign w:val="center"/>
                </w:tcPr>
                <w:p w14:paraId="699BC3DC">
                  <w:pPr>
                    <w:widowControl/>
                    <w:jc w:val="center"/>
                    <w:textAlignment w:val="center"/>
                    <w:rPr>
                      <w:bCs/>
                      <w:sz w:val="21"/>
                      <w:szCs w:val="21"/>
                      <w:lang w:bidi="ar"/>
                    </w:rPr>
                  </w:pPr>
                  <w:r>
                    <w:rPr>
                      <w:bCs/>
                      <w:sz w:val="21"/>
                      <w:szCs w:val="21"/>
                      <w:lang w:bidi="ar"/>
                    </w:rPr>
                    <w:t>mg/L</w:t>
                  </w:r>
                </w:p>
              </w:tc>
              <w:tc>
                <w:tcPr>
                  <w:tcW w:w="1207" w:type="dxa"/>
                  <w:vAlign w:val="center"/>
                </w:tcPr>
                <w:p w14:paraId="17B5BAE5">
                  <w:pPr>
                    <w:widowControl/>
                    <w:jc w:val="center"/>
                    <w:textAlignment w:val="center"/>
                    <w:rPr>
                      <w:bCs/>
                      <w:sz w:val="21"/>
                      <w:szCs w:val="21"/>
                      <w:lang w:bidi="ar"/>
                    </w:rPr>
                  </w:pPr>
                  <w:r>
                    <w:rPr>
                      <w:bCs/>
                      <w:sz w:val="21"/>
                      <w:szCs w:val="21"/>
                      <w:lang w:bidi="ar"/>
                    </w:rPr>
                    <w:t>0.10</w:t>
                  </w:r>
                </w:p>
              </w:tc>
              <w:tc>
                <w:tcPr>
                  <w:tcW w:w="1207" w:type="dxa"/>
                  <w:vAlign w:val="center"/>
                </w:tcPr>
                <w:p w14:paraId="31CFB337">
                  <w:pPr>
                    <w:widowControl/>
                    <w:jc w:val="center"/>
                    <w:textAlignment w:val="center"/>
                    <w:rPr>
                      <w:bCs/>
                      <w:sz w:val="21"/>
                      <w:szCs w:val="21"/>
                    </w:rPr>
                  </w:pPr>
                  <w:r>
                    <w:rPr>
                      <w:bCs/>
                      <w:sz w:val="21"/>
                      <w:szCs w:val="21"/>
                    </w:rPr>
                    <w:t>0.11</w:t>
                  </w:r>
                </w:p>
              </w:tc>
              <w:tc>
                <w:tcPr>
                  <w:tcW w:w="1208" w:type="dxa"/>
                  <w:vAlign w:val="center"/>
                </w:tcPr>
                <w:p w14:paraId="081B1E86">
                  <w:pPr>
                    <w:widowControl/>
                    <w:jc w:val="center"/>
                    <w:textAlignment w:val="center"/>
                    <w:rPr>
                      <w:bCs/>
                      <w:sz w:val="21"/>
                      <w:szCs w:val="21"/>
                    </w:rPr>
                  </w:pPr>
                  <w:r>
                    <w:rPr>
                      <w:bCs/>
                      <w:sz w:val="21"/>
                      <w:szCs w:val="21"/>
                    </w:rPr>
                    <w:t>0.09</w:t>
                  </w:r>
                </w:p>
              </w:tc>
              <w:tc>
                <w:tcPr>
                  <w:tcW w:w="1000" w:type="dxa"/>
                  <w:vAlign w:val="center"/>
                </w:tcPr>
                <w:p w14:paraId="136EB07B">
                  <w:pPr>
                    <w:widowControl/>
                    <w:jc w:val="center"/>
                    <w:textAlignment w:val="center"/>
                    <w:rPr>
                      <w:bCs/>
                      <w:sz w:val="21"/>
                      <w:szCs w:val="21"/>
                    </w:rPr>
                  </w:pPr>
                  <w:r>
                    <w:rPr>
                      <w:bCs/>
                      <w:kern w:val="0"/>
                      <w:sz w:val="21"/>
                      <w:szCs w:val="21"/>
                      <w:lang w:bidi="ar"/>
                    </w:rPr>
                    <w:t>0.2</w:t>
                  </w:r>
                  <w:r>
                    <w:rPr>
                      <w:bCs/>
                      <w:sz w:val="21"/>
                      <w:szCs w:val="21"/>
                      <w:lang w:bidi="ar"/>
                    </w:rPr>
                    <w:t>mg/L</w:t>
                  </w:r>
                </w:p>
              </w:tc>
              <w:tc>
                <w:tcPr>
                  <w:tcW w:w="495" w:type="dxa"/>
                  <w:vAlign w:val="center"/>
                </w:tcPr>
                <w:p w14:paraId="18752232">
                  <w:pPr>
                    <w:widowControl/>
                    <w:jc w:val="center"/>
                    <w:textAlignment w:val="center"/>
                    <w:rPr>
                      <w:bCs/>
                      <w:kern w:val="0"/>
                      <w:sz w:val="21"/>
                      <w:szCs w:val="21"/>
                      <w:lang w:bidi="ar"/>
                    </w:rPr>
                  </w:pPr>
                  <w:r>
                    <w:rPr>
                      <w:rFonts w:hint="eastAsia"/>
                      <w:bCs/>
                      <w:sz w:val="21"/>
                      <w:szCs w:val="21"/>
                    </w:rPr>
                    <w:t>达标</w:t>
                  </w:r>
                </w:p>
              </w:tc>
            </w:tr>
            <w:tr w14:paraId="3DB469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408" w:type="dxa"/>
                  <w:vMerge w:val="continue"/>
                </w:tcPr>
                <w:p w14:paraId="009B98AC">
                  <w:pPr>
                    <w:tabs>
                      <w:tab w:val="left" w:pos="1890"/>
                    </w:tabs>
                    <w:jc w:val="center"/>
                    <w:rPr>
                      <w:sz w:val="21"/>
                      <w:szCs w:val="21"/>
                    </w:rPr>
                  </w:pPr>
                </w:p>
              </w:tc>
              <w:tc>
                <w:tcPr>
                  <w:tcW w:w="1579" w:type="dxa"/>
                  <w:vAlign w:val="center"/>
                </w:tcPr>
                <w:p w14:paraId="6C3CA9CA">
                  <w:pPr>
                    <w:tabs>
                      <w:tab w:val="left" w:pos="1890"/>
                    </w:tabs>
                    <w:jc w:val="center"/>
                    <w:rPr>
                      <w:sz w:val="21"/>
                      <w:szCs w:val="21"/>
                    </w:rPr>
                  </w:pPr>
                  <w:r>
                    <w:rPr>
                      <w:rFonts w:hint="eastAsia"/>
                      <w:sz w:val="21"/>
                      <w:szCs w:val="21"/>
                    </w:rPr>
                    <w:t>石油类</w:t>
                  </w:r>
                </w:p>
              </w:tc>
              <w:tc>
                <w:tcPr>
                  <w:tcW w:w="901" w:type="dxa"/>
                  <w:vAlign w:val="center"/>
                </w:tcPr>
                <w:p w14:paraId="6E4AAA22">
                  <w:pPr>
                    <w:widowControl/>
                    <w:jc w:val="center"/>
                    <w:textAlignment w:val="center"/>
                    <w:rPr>
                      <w:bCs/>
                      <w:sz w:val="21"/>
                      <w:szCs w:val="21"/>
                      <w:lang w:bidi="ar"/>
                    </w:rPr>
                  </w:pPr>
                  <w:r>
                    <w:rPr>
                      <w:bCs/>
                      <w:sz w:val="21"/>
                      <w:szCs w:val="21"/>
                      <w:lang w:bidi="ar"/>
                    </w:rPr>
                    <w:t>mg/L</w:t>
                  </w:r>
                </w:p>
              </w:tc>
              <w:tc>
                <w:tcPr>
                  <w:tcW w:w="1207" w:type="dxa"/>
                  <w:vAlign w:val="center"/>
                </w:tcPr>
                <w:p w14:paraId="416DDA8E">
                  <w:pPr>
                    <w:widowControl/>
                    <w:jc w:val="center"/>
                    <w:textAlignment w:val="center"/>
                    <w:rPr>
                      <w:bCs/>
                      <w:sz w:val="21"/>
                      <w:szCs w:val="21"/>
                      <w:lang w:bidi="ar"/>
                    </w:rPr>
                  </w:pPr>
                  <w:r>
                    <w:rPr>
                      <w:rFonts w:hint="eastAsia"/>
                      <w:bCs/>
                      <w:sz w:val="21"/>
                      <w:szCs w:val="21"/>
                      <w:lang w:bidi="ar"/>
                    </w:rPr>
                    <w:t>未检出</w:t>
                  </w:r>
                </w:p>
              </w:tc>
              <w:tc>
                <w:tcPr>
                  <w:tcW w:w="1207" w:type="dxa"/>
                  <w:vAlign w:val="center"/>
                </w:tcPr>
                <w:p w14:paraId="2E664B56">
                  <w:pPr>
                    <w:widowControl/>
                    <w:jc w:val="center"/>
                    <w:textAlignment w:val="center"/>
                    <w:rPr>
                      <w:bCs/>
                      <w:sz w:val="21"/>
                      <w:szCs w:val="21"/>
                    </w:rPr>
                  </w:pPr>
                  <w:r>
                    <w:rPr>
                      <w:rFonts w:hint="eastAsia"/>
                      <w:bCs/>
                      <w:sz w:val="21"/>
                      <w:szCs w:val="21"/>
                      <w:lang w:bidi="ar"/>
                    </w:rPr>
                    <w:t>未检出</w:t>
                  </w:r>
                </w:p>
              </w:tc>
              <w:tc>
                <w:tcPr>
                  <w:tcW w:w="1208" w:type="dxa"/>
                  <w:vAlign w:val="center"/>
                </w:tcPr>
                <w:p w14:paraId="2564DC3D">
                  <w:pPr>
                    <w:widowControl/>
                    <w:jc w:val="center"/>
                    <w:textAlignment w:val="center"/>
                    <w:rPr>
                      <w:bCs/>
                      <w:sz w:val="21"/>
                      <w:szCs w:val="21"/>
                    </w:rPr>
                  </w:pPr>
                  <w:r>
                    <w:rPr>
                      <w:rFonts w:hint="eastAsia"/>
                      <w:bCs/>
                      <w:sz w:val="21"/>
                      <w:szCs w:val="21"/>
                      <w:lang w:bidi="ar"/>
                    </w:rPr>
                    <w:t>未检出</w:t>
                  </w:r>
                </w:p>
              </w:tc>
              <w:tc>
                <w:tcPr>
                  <w:tcW w:w="1000" w:type="dxa"/>
                  <w:vAlign w:val="center"/>
                </w:tcPr>
                <w:p w14:paraId="2961DA44">
                  <w:pPr>
                    <w:widowControl/>
                    <w:jc w:val="center"/>
                    <w:textAlignment w:val="center"/>
                    <w:rPr>
                      <w:bCs/>
                      <w:kern w:val="0"/>
                      <w:sz w:val="21"/>
                      <w:szCs w:val="21"/>
                      <w:lang w:bidi="ar"/>
                    </w:rPr>
                  </w:pPr>
                  <w:r>
                    <w:rPr>
                      <w:bCs/>
                      <w:kern w:val="0"/>
                      <w:sz w:val="21"/>
                      <w:szCs w:val="21"/>
                      <w:lang w:bidi="ar"/>
                    </w:rPr>
                    <w:t>0.05</w:t>
                  </w:r>
                  <w:r>
                    <w:rPr>
                      <w:bCs/>
                      <w:sz w:val="21"/>
                      <w:szCs w:val="21"/>
                      <w:lang w:bidi="ar"/>
                    </w:rPr>
                    <w:t>mg/L</w:t>
                  </w:r>
                </w:p>
              </w:tc>
              <w:tc>
                <w:tcPr>
                  <w:tcW w:w="495" w:type="dxa"/>
                  <w:vAlign w:val="center"/>
                </w:tcPr>
                <w:p w14:paraId="29FF2ED5">
                  <w:pPr>
                    <w:widowControl/>
                    <w:jc w:val="center"/>
                    <w:textAlignment w:val="center"/>
                    <w:rPr>
                      <w:bCs/>
                      <w:kern w:val="0"/>
                      <w:sz w:val="21"/>
                      <w:szCs w:val="21"/>
                      <w:lang w:bidi="ar"/>
                    </w:rPr>
                  </w:pPr>
                  <w:r>
                    <w:rPr>
                      <w:rFonts w:hint="eastAsia"/>
                      <w:bCs/>
                      <w:sz w:val="21"/>
                      <w:szCs w:val="21"/>
                    </w:rPr>
                    <w:t>达标</w:t>
                  </w:r>
                </w:p>
              </w:tc>
            </w:tr>
          </w:tbl>
          <w:p w14:paraId="4D4D0305">
            <w:pPr>
              <w:pStyle w:val="106"/>
            </w:pPr>
            <w:r>
              <w:rPr>
                <w:rFonts w:hint="eastAsia"/>
              </w:rPr>
              <w:t>由表可知，海螺沟各监测断面监测指标均能满足《地表水环境质量标准》（GB3838-2002）中</w:t>
            </w:r>
            <w:r>
              <w:rPr>
                <w:kern w:val="0"/>
                <w:szCs w:val="20"/>
              </w:rPr>
              <w:t>Ⅲ</w:t>
            </w:r>
            <w:r>
              <w:rPr>
                <w:rFonts w:hint="eastAsia"/>
              </w:rPr>
              <w:t>类水域标准。</w:t>
            </w:r>
          </w:p>
          <w:p w14:paraId="1E79AD36">
            <w:pPr>
              <w:pStyle w:val="106"/>
              <w:ind w:firstLine="482"/>
              <w:rPr>
                <w:b/>
                <w:bCs/>
              </w:rPr>
            </w:pPr>
            <w:r>
              <w:rPr>
                <w:rFonts w:hint="eastAsia"/>
                <w:b/>
                <w:bCs/>
              </w:rPr>
              <w:t>四、声环境质量现状</w:t>
            </w:r>
          </w:p>
          <w:p w14:paraId="3CF6B4A7">
            <w:pPr>
              <w:pStyle w:val="106"/>
            </w:pPr>
            <w:r>
              <w:rPr>
                <w:rFonts w:hint="eastAsia"/>
              </w:rPr>
              <w:t>为了解区域声环境质量现状，本次环评委托四川锡水金山环保科技有限公司于2026年6月20日对区域声环境进行监测。</w:t>
            </w:r>
          </w:p>
          <w:p w14:paraId="5F7D41CF">
            <w:pPr>
              <w:spacing w:line="360" w:lineRule="auto"/>
              <w:ind w:firstLine="482" w:firstLineChars="200"/>
              <w:rPr>
                <w:b/>
              </w:rPr>
            </w:pPr>
            <w:r>
              <w:rPr>
                <w:rFonts w:hint="eastAsia"/>
                <w:b/>
              </w:rPr>
              <w:t>1、</w:t>
            </w:r>
            <w:r>
              <w:rPr>
                <w:rFonts w:hint="eastAsia"/>
                <w:b/>
                <w:bCs/>
              </w:rPr>
              <w:t>监测点位基本信息</w:t>
            </w:r>
          </w:p>
          <w:p w14:paraId="6352858D">
            <w:pPr>
              <w:spacing w:line="360" w:lineRule="auto"/>
              <w:ind w:firstLine="480" w:firstLineChars="200"/>
            </w:pPr>
            <w:r>
              <w:rPr>
                <w:rFonts w:hint="eastAsia"/>
              </w:rPr>
              <w:t>本次环评监测点基本信息见下表。</w:t>
            </w:r>
          </w:p>
          <w:p w14:paraId="6FDA6CE1">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9</w:t>
            </w:r>
            <w:r>
              <w:rPr>
                <w:rFonts w:cs="Times New Roman"/>
              </w:rPr>
              <w:fldChar w:fldCharType="end"/>
            </w:r>
            <w:r>
              <w:rPr>
                <w:rFonts w:hint="eastAsia" w:cs="Times New Roman"/>
              </w:rPr>
              <w:t xml:space="preserve">  噪声监测点位表</w:t>
            </w:r>
          </w:p>
          <w:tbl>
            <w:tblPr>
              <w:tblStyle w:val="2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1"/>
              <w:gridCol w:w="5039"/>
              <w:gridCol w:w="1683"/>
              <w:gridCol w:w="1337"/>
            </w:tblGrid>
            <w:tr w14:paraId="5C269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22" w:type="pct"/>
                  <w:tcBorders>
                    <w:tl2br w:val="nil"/>
                    <w:tr2bl w:val="nil"/>
                  </w:tcBorders>
                  <w:vAlign w:val="center"/>
                </w:tcPr>
                <w:p w14:paraId="298FDAD7">
                  <w:pPr>
                    <w:pStyle w:val="59"/>
                    <w:rPr>
                      <w:rFonts w:cs="Times New Roman"/>
                      <w:b/>
                      <w:bCs/>
                    </w:rPr>
                  </w:pPr>
                  <w:r>
                    <w:rPr>
                      <w:rFonts w:hint="eastAsia" w:cs="Times New Roman"/>
                      <w:b/>
                      <w:bCs/>
                    </w:rPr>
                    <w:t>编号</w:t>
                  </w:r>
                </w:p>
              </w:tc>
              <w:tc>
                <w:tcPr>
                  <w:tcW w:w="2798" w:type="pct"/>
                  <w:tcBorders>
                    <w:tl2br w:val="nil"/>
                    <w:tr2bl w:val="nil"/>
                  </w:tcBorders>
                  <w:vAlign w:val="center"/>
                </w:tcPr>
                <w:p w14:paraId="0ECB418D">
                  <w:pPr>
                    <w:pStyle w:val="59"/>
                    <w:rPr>
                      <w:rFonts w:cs="Times New Roman"/>
                      <w:b/>
                      <w:bCs/>
                    </w:rPr>
                  </w:pPr>
                  <w:r>
                    <w:rPr>
                      <w:rFonts w:hint="eastAsia" w:cs="Times New Roman"/>
                      <w:b/>
                      <w:bCs/>
                    </w:rPr>
                    <w:t>检测点名称</w:t>
                  </w:r>
                </w:p>
              </w:tc>
              <w:tc>
                <w:tcPr>
                  <w:tcW w:w="935" w:type="pct"/>
                  <w:tcBorders>
                    <w:tl2br w:val="nil"/>
                    <w:tr2bl w:val="nil"/>
                  </w:tcBorders>
                  <w:vAlign w:val="center"/>
                </w:tcPr>
                <w:p w14:paraId="269E70BA">
                  <w:pPr>
                    <w:pStyle w:val="59"/>
                    <w:rPr>
                      <w:rFonts w:cs="Times New Roman"/>
                      <w:b/>
                      <w:bCs/>
                    </w:rPr>
                  </w:pPr>
                  <w:r>
                    <w:rPr>
                      <w:rFonts w:hint="eastAsia" w:cs="Times New Roman"/>
                      <w:b/>
                      <w:bCs/>
                    </w:rPr>
                    <w:t>检测项目</w:t>
                  </w:r>
                </w:p>
              </w:tc>
              <w:tc>
                <w:tcPr>
                  <w:tcW w:w="743" w:type="pct"/>
                  <w:tcBorders>
                    <w:tl2br w:val="nil"/>
                    <w:tr2bl w:val="nil"/>
                  </w:tcBorders>
                  <w:vAlign w:val="center"/>
                </w:tcPr>
                <w:p w14:paraId="27575362">
                  <w:pPr>
                    <w:pStyle w:val="59"/>
                    <w:rPr>
                      <w:rFonts w:cs="Times New Roman"/>
                      <w:b/>
                      <w:bCs/>
                    </w:rPr>
                  </w:pPr>
                  <w:r>
                    <w:rPr>
                      <w:rFonts w:hint="eastAsia" w:cs="Times New Roman"/>
                      <w:b/>
                      <w:bCs/>
                    </w:rPr>
                    <w:t>检测频率</w:t>
                  </w:r>
                </w:p>
              </w:tc>
            </w:tr>
            <w:tr w14:paraId="1EB9F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22" w:type="pct"/>
                  <w:tcBorders>
                    <w:tl2br w:val="nil"/>
                    <w:tr2bl w:val="nil"/>
                  </w:tcBorders>
                  <w:vAlign w:val="center"/>
                </w:tcPr>
                <w:p w14:paraId="4FC23976">
                  <w:pPr>
                    <w:pStyle w:val="59"/>
                    <w:rPr>
                      <w:rFonts w:cs="Times New Roman"/>
                    </w:rPr>
                  </w:pPr>
                  <w:r>
                    <w:rPr>
                      <w:rFonts w:cs="Times New Roman"/>
                    </w:rPr>
                    <w:t>1#</w:t>
                  </w:r>
                </w:p>
              </w:tc>
              <w:tc>
                <w:tcPr>
                  <w:tcW w:w="2798" w:type="pct"/>
                  <w:tcBorders>
                    <w:tl2br w:val="nil"/>
                    <w:tr2bl w:val="nil"/>
                  </w:tcBorders>
                  <w:vAlign w:val="center"/>
                </w:tcPr>
                <w:p w14:paraId="69233709">
                  <w:pPr>
                    <w:pStyle w:val="59"/>
                    <w:rPr>
                      <w:rFonts w:cs="Times New Roman"/>
                    </w:rPr>
                  </w:pPr>
                  <w:r>
                    <w:rPr>
                      <w:rFonts w:hint="eastAsia" w:cs="Times New Roman"/>
                    </w:rPr>
                    <w:t>***居民处</w:t>
                  </w:r>
                </w:p>
              </w:tc>
              <w:tc>
                <w:tcPr>
                  <w:tcW w:w="935" w:type="pct"/>
                  <w:vMerge w:val="restart"/>
                  <w:tcBorders>
                    <w:tl2br w:val="nil"/>
                    <w:tr2bl w:val="nil"/>
                  </w:tcBorders>
                  <w:vAlign w:val="center"/>
                </w:tcPr>
                <w:p w14:paraId="070345F1">
                  <w:pPr>
                    <w:pStyle w:val="59"/>
                    <w:rPr>
                      <w:rFonts w:cs="Times New Roman"/>
                    </w:rPr>
                  </w:pPr>
                  <w:r>
                    <w:rPr>
                      <w:rFonts w:hint="eastAsia" w:cs="Times New Roman"/>
                    </w:rPr>
                    <w:t>等效连续A声级（Leq(A)）</w:t>
                  </w:r>
                </w:p>
              </w:tc>
              <w:tc>
                <w:tcPr>
                  <w:tcW w:w="743" w:type="pct"/>
                  <w:vMerge w:val="restart"/>
                  <w:tcBorders>
                    <w:tl2br w:val="nil"/>
                    <w:tr2bl w:val="nil"/>
                  </w:tcBorders>
                  <w:vAlign w:val="center"/>
                </w:tcPr>
                <w:p w14:paraId="239ED0B8">
                  <w:pPr>
                    <w:pStyle w:val="59"/>
                    <w:rPr>
                      <w:rFonts w:cs="Times New Roman"/>
                    </w:rPr>
                  </w:pPr>
                  <w:r>
                    <w:rPr>
                      <w:rFonts w:hint="eastAsia" w:cs="Times New Roman"/>
                    </w:rPr>
                    <w:t>检测1天，昼、夜各1次</w:t>
                  </w:r>
                </w:p>
              </w:tc>
            </w:tr>
            <w:tr w14:paraId="2FE667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22" w:type="pct"/>
                  <w:tcBorders>
                    <w:tl2br w:val="nil"/>
                    <w:tr2bl w:val="nil"/>
                  </w:tcBorders>
                  <w:vAlign w:val="center"/>
                </w:tcPr>
                <w:p w14:paraId="5F22A2A0">
                  <w:pPr>
                    <w:pStyle w:val="59"/>
                    <w:rPr>
                      <w:rFonts w:cs="Times New Roman"/>
                    </w:rPr>
                  </w:pPr>
                  <w:r>
                    <w:rPr>
                      <w:rFonts w:cs="Times New Roman"/>
                    </w:rPr>
                    <w:t>2#</w:t>
                  </w:r>
                </w:p>
              </w:tc>
              <w:tc>
                <w:tcPr>
                  <w:tcW w:w="2798" w:type="pct"/>
                  <w:tcBorders>
                    <w:tl2br w:val="nil"/>
                    <w:tr2bl w:val="nil"/>
                  </w:tcBorders>
                  <w:vAlign w:val="center"/>
                </w:tcPr>
                <w:p w14:paraId="4EC5BEE6">
                  <w:pPr>
                    <w:pStyle w:val="59"/>
                    <w:rPr>
                      <w:rFonts w:cs="Times New Roman"/>
                    </w:rPr>
                  </w:pPr>
                  <w:r>
                    <w:rPr>
                      <w:rFonts w:hint="eastAsia" w:cs="Times New Roman"/>
                    </w:rPr>
                    <w:t>***居民处</w:t>
                  </w:r>
                </w:p>
              </w:tc>
              <w:tc>
                <w:tcPr>
                  <w:tcW w:w="935" w:type="pct"/>
                  <w:vMerge w:val="continue"/>
                  <w:tcBorders>
                    <w:tl2br w:val="nil"/>
                    <w:tr2bl w:val="nil"/>
                  </w:tcBorders>
                  <w:vAlign w:val="center"/>
                </w:tcPr>
                <w:p w14:paraId="1339512D">
                  <w:pPr>
                    <w:pStyle w:val="59"/>
                    <w:rPr>
                      <w:rFonts w:cs="Times New Roman"/>
                    </w:rPr>
                  </w:pPr>
                </w:p>
              </w:tc>
              <w:tc>
                <w:tcPr>
                  <w:tcW w:w="743" w:type="pct"/>
                  <w:vMerge w:val="continue"/>
                  <w:tcBorders>
                    <w:tl2br w:val="nil"/>
                    <w:tr2bl w:val="nil"/>
                  </w:tcBorders>
                  <w:vAlign w:val="center"/>
                </w:tcPr>
                <w:p w14:paraId="18EBFA1A">
                  <w:pPr>
                    <w:pStyle w:val="59"/>
                    <w:rPr>
                      <w:rFonts w:cs="Times New Roman"/>
                    </w:rPr>
                  </w:pPr>
                </w:p>
              </w:tc>
            </w:tr>
          </w:tbl>
          <w:p w14:paraId="3513D7BF">
            <w:pPr>
              <w:spacing w:line="360" w:lineRule="auto"/>
              <w:ind w:firstLine="480" w:firstLineChars="200"/>
              <w:rPr>
                <w:bCs/>
              </w:rPr>
            </w:pPr>
            <w:r>
              <w:rPr>
                <w:rFonts w:hint="eastAsia"/>
                <w:bCs/>
              </w:rPr>
              <w:t>本项目边界外200m范围内共有声环境保护目标5处，本次在柏秧坪村居民区和杉树坪村居民区各设1个监测点：这两个监测点均为距工程较近、规模较大、受影响最直接的居民聚集区，且分处河道两岸，可覆盖工程河段两岸的声环境状况；1#点同时兼顾距其74m的施工场地，这一处是施工期的主要噪声受体。本项目所在区域为乡村区域，工程沿线有S211省道经过，且沿街分布旅游服务设施，按 GB 3096—2008 关于乡村区域的声环境要求执行2类标准；综上，本次监测点位布设合理、具有代表性。</w:t>
            </w:r>
          </w:p>
          <w:p w14:paraId="55487787">
            <w:pPr>
              <w:spacing w:line="360" w:lineRule="auto"/>
              <w:ind w:firstLine="482" w:firstLineChars="200"/>
              <w:rPr>
                <w:b/>
              </w:rPr>
            </w:pPr>
            <w:r>
              <w:rPr>
                <w:rFonts w:hint="eastAsia"/>
                <w:b/>
              </w:rPr>
              <w:t>2、评价标准</w:t>
            </w:r>
          </w:p>
          <w:p w14:paraId="581E5846">
            <w:pPr>
              <w:spacing w:line="360" w:lineRule="auto"/>
              <w:ind w:firstLine="480" w:firstLineChars="200"/>
            </w:pPr>
            <w:r>
              <w:rPr>
                <w:rFonts w:hint="eastAsia"/>
                <w:lang w:val="zh-CN"/>
              </w:rPr>
              <w:t>执行《声环境质量标准》（GB3096-2008）2类标准</w:t>
            </w:r>
            <w:r>
              <w:rPr>
                <w:rFonts w:hint="eastAsia"/>
              </w:rPr>
              <w:t>。</w:t>
            </w:r>
          </w:p>
          <w:p w14:paraId="1F2D544B">
            <w:pPr>
              <w:spacing w:line="360" w:lineRule="auto"/>
              <w:ind w:firstLine="482" w:firstLineChars="200"/>
              <w:rPr>
                <w:b/>
              </w:rPr>
            </w:pPr>
            <w:r>
              <w:rPr>
                <w:rFonts w:hint="eastAsia"/>
                <w:b/>
              </w:rPr>
              <w:t>3、评价结果</w:t>
            </w:r>
          </w:p>
          <w:p w14:paraId="29077313">
            <w:pPr>
              <w:spacing w:line="360" w:lineRule="auto"/>
              <w:ind w:firstLine="480" w:firstLineChars="200"/>
            </w:pPr>
            <w:r>
              <w:rPr>
                <w:rFonts w:hint="eastAsia"/>
              </w:rPr>
              <w:t>声环境质量现状评价结果见下表。</w:t>
            </w:r>
          </w:p>
          <w:p w14:paraId="1DD671BA">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10</w:t>
            </w:r>
            <w:r>
              <w:rPr>
                <w:rFonts w:cs="Times New Roman"/>
              </w:rPr>
              <w:fldChar w:fldCharType="end"/>
            </w:r>
            <w:r>
              <w:rPr>
                <w:rFonts w:hint="eastAsia" w:cs="Times New Roman"/>
              </w:rPr>
              <w:t xml:space="preserve">  声环境质量现状评价结果</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2224"/>
              <w:gridCol w:w="1331"/>
              <w:gridCol w:w="1780"/>
              <w:gridCol w:w="1320"/>
              <w:gridCol w:w="1642"/>
              <w:gridCol w:w="708"/>
            </w:tblGrid>
            <w:tr w14:paraId="698C85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tblHeader/>
                <w:jc w:val="center"/>
              </w:trPr>
              <w:tc>
                <w:tcPr>
                  <w:tcW w:w="2224" w:type="dxa"/>
                  <w:vAlign w:val="center"/>
                </w:tcPr>
                <w:p w14:paraId="46D5AD88">
                  <w:pPr>
                    <w:pStyle w:val="24"/>
                    <w:adjustRightInd w:val="0"/>
                    <w:spacing w:beforeAutospacing="0" w:afterAutospacing="0"/>
                    <w:jc w:val="center"/>
                    <w:rPr>
                      <w:b/>
                      <w:sz w:val="21"/>
                      <w:szCs w:val="21"/>
                    </w:rPr>
                  </w:pPr>
                  <w:r>
                    <w:rPr>
                      <w:rFonts w:hint="eastAsia"/>
                      <w:b/>
                      <w:sz w:val="21"/>
                      <w:szCs w:val="21"/>
                    </w:rPr>
                    <w:t>检测点位</w:t>
                  </w:r>
                </w:p>
              </w:tc>
              <w:tc>
                <w:tcPr>
                  <w:tcW w:w="1331" w:type="dxa"/>
                  <w:vAlign w:val="center"/>
                </w:tcPr>
                <w:p w14:paraId="0E6F26C2">
                  <w:pPr>
                    <w:pStyle w:val="24"/>
                    <w:adjustRightInd w:val="0"/>
                    <w:spacing w:beforeAutospacing="0" w:afterAutospacing="0"/>
                    <w:jc w:val="center"/>
                    <w:rPr>
                      <w:b/>
                      <w:sz w:val="21"/>
                      <w:szCs w:val="21"/>
                    </w:rPr>
                  </w:pPr>
                  <w:r>
                    <w:rPr>
                      <w:rFonts w:hint="eastAsia"/>
                      <w:b/>
                      <w:sz w:val="21"/>
                      <w:szCs w:val="21"/>
                    </w:rPr>
                    <w:t>检测日期</w:t>
                  </w:r>
                </w:p>
              </w:tc>
              <w:tc>
                <w:tcPr>
                  <w:tcW w:w="1780" w:type="dxa"/>
                  <w:vAlign w:val="center"/>
                </w:tcPr>
                <w:p w14:paraId="592E869D">
                  <w:pPr>
                    <w:pStyle w:val="24"/>
                    <w:adjustRightInd w:val="0"/>
                    <w:spacing w:beforeAutospacing="0" w:afterAutospacing="0"/>
                    <w:jc w:val="center"/>
                    <w:rPr>
                      <w:b/>
                      <w:sz w:val="21"/>
                      <w:szCs w:val="21"/>
                    </w:rPr>
                  </w:pPr>
                  <w:r>
                    <w:rPr>
                      <w:rFonts w:hint="eastAsia"/>
                      <w:b/>
                      <w:sz w:val="21"/>
                      <w:szCs w:val="21"/>
                    </w:rPr>
                    <w:t>检测时间</w:t>
                  </w:r>
                </w:p>
              </w:tc>
              <w:tc>
                <w:tcPr>
                  <w:tcW w:w="1320" w:type="dxa"/>
                  <w:vAlign w:val="center"/>
                </w:tcPr>
                <w:p w14:paraId="68EF2055">
                  <w:pPr>
                    <w:pStyle w:val="40"/>
                    <w:rPr>
                      <w:rFonts w:cs="Times New Roman"/>
                      <w:b/>
                    </w:rPr>
                  </w:pPr>
                  <w:r>
                    <w:rPr>
                      <w:rFonts w:hint="eastAsia" w:cs="Times New Roman"/>
                      <w:b/>
                    </w:rPr>
                    <w:t>检测结果（</w:t>
                  </w:r>
                  <w:r>
                    <w:rPr>
                      <w:rFonts w:cs="Times New Roman"/>
                      <w:b/>
                      <w:bCs/>
                    </w:rPr>
                    <w:t>L</w:t>
                  </w:r>
                  <w:r>
                    <w:rPr>
                      <w:rFonts w:cs="Times New Roman"/>
                      <w:b/>
                      <w:bCs/>
                      <w:vertAlign w:val="subscript"/>
                    </w:rPr>
                    <w:t>eq</w:t>
                  </w:r>
                  <w:r>
                    <w:rPr>
                      <w:rFonts w:hint="eastAsia" w:cs="Times New Roman"/>
                      <w:b/>
                    </w:rPr>
                    <w:t>）dB(A)</w:t>
                  </w:r>
                </w:p>
              </w:tc>
              <w:tc>
                <w:tcPr>
                  <w:tcW w:w="1642" w:type="dxa"/>
                  <w:vAlign w:val="center"/>
                </w:tcPr>
                <w:p w14:paraId="38B83AEA">
                  <w:pPr>
                    <w:pStyle w:val="40"/>
                    <w:rPr>
                      <w:rFonts w:cs="Times New Roman"/>
                      <w:b/>
                    </w:rPr>
                  </w:pPr>
                  <w:r>
                    <w:rPr>
                      <w:rFonts w:hint="eastAsia" w:cs="Times New Roman"/>
                      <w:b/>
                    </w:rPr>
                    <w:t>标准限值dB(A)</w:t>
                  </w:r>
                </w:p>
              </w:tc>
              <w:tc>
                <w:tcPr>
                  <w:tcW w:w="708" w:type="dxa"/>
                  <w:vAlign w:val="center"/>
                </w:tcPr>
                <w:p w14:paraId="0EB8FB47">
                  <w:pPr>
                    <w:pStyle w:val="40"/>
                    <w:rPr>
                      <w:rFonts w:cs="Times New Roman"/>
                      <w:b/>
                    </w:rPr>
                  </w:pPr>
                  <w:r>
                    <w:rPr>
                      <w:rFonts w:hint="eastAsia" w:cs="Times New Roman"/>
                      <w:b/>
                    </w:rPr>
                    <w:t>达标情况</w:t>
                  </w:r>
                </w:p>
              </w:tc>
            </w:tr>
            <w:tr w14:paraId="21DF8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2224" w:type="dxa"/>
                  <w:vMerge w:val="restart"/>
                  <w:vAlign w:val="center"/>
                </w:tcPr>
                <w:p w14:paraId="4EDF988C">
                  <w:pPr>
                    <w:adjustRightInd w:val="0"/>
                    <w:snapToGrid w:val="0"/>
                    <w:jc w:val="center"/>
                    <w:rPr>
                      <w:bCs/>
                      <w:sz w:val="21"/>
                      <w:szCs w:val="21"/>
                    </w:rPr>
                  </w:pPr>
                  <w:r>
                    <w:rPr>
                      <w:sz w:val="21"/>
                      <w:szCs w:val="21"/>
                    </w:rPr>
                    <w:fldChar w:fldCharType="begin"/>
                  </w:r>
                  <w:r>
                    <w:rPr>
                      <w:rFonts w:hint="eastAsia"/>
                      <w:sz w:val="21"/>
                      <w:szCs w:val="21"/>
                    </w:rPr>
                    <w:instrText xml:space="preserve"> REF 噪声1 \h \* MERGEFORMAT</w:instrText>
                  </w:r>
                  <w:r>
                    <w:rPr>
                      <w:sz w:val="21"/>
                      <w:szCs w:val="21"/>
                    </w:rPr>
                    <w:fldChar w:fldCharType="separate"/>
                  </w:r>
                  <w:r>
                    <w:rPr>
                      <w:rFonts w:hint="eastAsia"/>
                      <w:sz w:val="21"/>
                      <w:szCs w:val="21"/>
                    </w:rPr>
                    <w:t>1# ***村居民处</w:t>
                  </w:r>
                  <w:r>
                    <w:rPr>
                      <w:sz w:val="21"/>
                      <w:szCs w:val="21"/>
                    </w:rPr>
                    <w:fldChar w:fldCharType="end"/>
                  </w:r>
                </w:p>
              </w:tc>
              <w:tc>
                <w:tcPr>
                  <w:tcW w:w="1331" w:type="dxa"/>
                  <w:vMerge w:val="restart"/>
                  <w:vAlign w:val="center"/>
                </w:tcPr>
                <w:p w14:paraId="72EC1F94">
                  <w:pPr>
                    <w:jc w:val="center"/>
                    <w:rPr>
                      <w:bCs/>
                      <w:kern w:val="0"/>
                      <w:sz w:val="21"/>
                      <w:szCs w:val="21"/>
                    </w:rPr>
                  </w:pPr>
                  <w:r>
                    <w:rPr>
                      <w:rFonts w:hint="eastAsia"/>
                      <w:kern w:val="0"/>
                      <w:sz w:val="21"/>
                      <w:szCs w:val="21"/>
                      <w:lang w:bidi="ar"/>
                    </w:rPr>
                    <w:t>6月20日</w:t>
                  </w:r>
                </w:p>
              </w:tc>
              <w:tc>
                <w:tcPr>
                  <w:tcW w:w="1780" w:type="dxa"/>
                  <w:vAlign w:val="center"/>
                </w:tcPr>
                <w:p w14:paraId="6784601B">
                  <w:pPr>
                    <w:widowControl/>
                    <w:jc w:val="center"/>
                    <w:textAlignment w:val="center"/>
                    <w:rPr>
                      <w:sz w:val="21"/>
                      <w:szCs w:val="21"/>
                      <w:lang w:bidi="ar"/>
                    </w:rPr>
                  </w:pPr>
                  <w:r>
                    <w:rPr>
                      <w:rFonts w:hint="eastAsia"/>
                      <w:sz w:val="21"/>
                      <w:szCs w:val="21"/>
                      <w:lang w:bidi="ar"/>
                    </w:rPr>
                    <w:t>18:32-18:42（昼）</w:t>
                  </w:r>
                </w:p>
              </w:tc>
              <w:tc>
                <w:tcPr>
                  <w:tcW w:w="1320" w:type="dxa"/>
                  <w:vAlign w:val="center"/>
                </w:tcPr>
                <w:p w14:paraId="5C67E903">
                  <w:pPr>
                    <w:widowControl/>
                    <w:jc w:val="center"/>
                    <w:textAlignment w:val="center"/>
                    <w:rPr>
                      <w:sz w:val="21"/>
                      <w:szCs w:val="21"/>
                      <w:lang w:bidi="ar"/>
                    </w:rPr>
                  </w:pPr>
                  <w:r>
                    <w:rPr>
                      <w:sz w:val="21"/>
                      <w:szCs w:val="21"/>
                      <w:lang w:bidi="ar"/>
                    </w:rPr>
                    <w:t>51</w:t>
                  </w:r>
                </w:p>
              </w:tc>
              <w:tc>
                <w:tcPr>
                  <w:tcW w:w="1642" w:type="dxa"/>
                  <w:vMerge w:val="restart"/>
                  <w:vAlign w:val="center"/>
                </w:tcPr>
                <w:p w14:paraId="196305F0">
                  <w:pPr>
                    <w:widowControl/>
                    <w:jc w:val="center"/>
                    <w:textAlignment w:val="center"/>
                    <w:rPr>
                      <w:sz w:val="21"/>
                      <w:szCs w:val="21"/>
                    </w:rPr>
                  </w:pPr>
                  <w:r>
                    <w:rPr>
                      <w:rFonts w:hint="eastAsia"/>
                      <w:sz w:val="21"/>
                      <w:szCs w:val="21"/>
                    </w:rPr>
                    <w:t>昼间≤60</w:t>
                  </w:r>
                </w:p>
                <w:p w14:paraId="06E7869B">
                  <w:pPr>
                    <w:widowControl/>
                    <w:jc w:val="center"/>
                    <w:textAlignment w:val="center"/>
                    <w:rPr>
                      <w:sz w:val="21"/>
                      <w:szCs w:val="21"/>
                      <w:lang w:bidi="ar"/>
                    </w:rPr>
                  </w:pPr>
                  <w:r>
                    <w:rPr>
                      <w:rFonts w:hint="eastAsia"/>
                      <w:sz w:val="21"/>
                      <w:szCs w:val="21"/>
                    </w:rPr>
                    <w:t>夜间≤50</w:t>
                  </w:r>
                </w:p>
              </w:tc>
              <w:tc>
                <w:tcPr>
                  <w:tcW w:w="708" w:type="dxa"/>
                  <w:vAlign w:val="center"/>
                </w:tcPr>
                <w:p w14:paraId="7B23A78B">
                  <w:pPr>
                    <w:widowControl/>
                    <w:jc w:val="center"/>
                    <w:textAlignment w:val="center"/>
                    <w:rPr>
                      <w:sz w:val="21"/>
                      <w:szCs w:val="21"/>
                    </w:rPr>
                  </w:pPr>
                  <w:r>
                    <w:rPr>
                      <w:rFonts w:hint="eastAsia"/>
                      <w:sz w:val="21"/>
                      <w:szCs w:val="21"/>
                    </w:rPr>
                    <w:t>达标</w:t>
                  </w:r>
                </w:p>
              </w:tc>
            </w:tr>
            <w:tr w14:paraId="56D004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2224" w:type="dxa"/>
                  <w:vMerge w:val="continue"/>
                  <w:vAlign w:val="center"/>
                </w:tcPr>
                <w:p w14:paraId="17F3339A">
                  <w:pPr>
                    <w:adjustRightInd w:val="0"/>
                    <w:snapToGrid w:val="0"/>
                    <w:jc w:val="center"/>
                    <w:rPr>
                      <w:sz w:val="21"/>
                      <w:szCs w:val="21"/>
                    </w:rPr>
                  </w:pPr>
                </w:p>
              </w:tc>
              <w:tc>
                <w:tcPr>
                  <w:tcW w:w="1331" w:type="dxa"/>
                  <w:vMerge w:val="continue"/>
                  <w:vAlign w:val="center"/>
                </w:tcPr>
                <w:p w14:paraId="680F5E3B">
                  <w:pPr>
                    <w:jc w:val="center"/>
                    <w:rPr>
                      <w:kern w:val="0"/>
                      <w:sz w:val="21"/>
                      <w:szCs w:val="21"/>
                      <w:lang w:bidi="ar"/>
                    </w:rPr>
                  </w:pPr>
                </w:p>
              </w:tc>
              <w:tc>
                <w:tcPr>
                  <w:tcW w:w="1780" w:type="dxa"/>
                  <w:vAlign w:val="center"/>
                </w:tcPr>
                <w:p w14:paraId="309EDB9F">
                  <w:pPr>
                    <w:widowControl/>
                    <w:jc w:val="center"/>
                    <w:textAlignment w:val="center"/>
                    <w:rPr>
                      <w:sz w:val="21"/>
                      <w:szCs w:val="21"/>
                      <w:lang w:bidi="ar"/>
                    </w:rPr>
                  </w:pPr>
                  <w:r>
                    <w:rPr>
                      <w:rFonts w:hint="eastAsia"/>
                      <w:sz w:val="21"/>
                      <w:szCs w:val="21"/>
                      <w:lang w:bidi="ar"/>
                    </w:rPr>
                    <w:t>22:04-22:14（夜）</w:t>
                  </w:r>
                </w:p>
              </w:tc>
              <w:tc>
                <w:tcPr>
                  <w:tcW w:w="1320" w:type="dxa"/>
                  <w:vAlign w:val="center"/>
                </w:tcPr>
                <w:p w14:paraId="595C2299">
                  <w:pPr>
                    <w:widowControl/>
                    <w:jc w:val="center"/>
                    <w:textAlignment w:val="center"/>
                    <w:rPr>
                      <w:sz w:val="21"/>
                      <w:szCs w:val="21"/>
                      <w:lang w:bidi="ar"/>
                    </w:rPr>
                  </w:pPr>
                  <w:r>
                    <w:rPr>
                      <w:sz w:val="21"/>
                      <w:szCs w:val="21"/>
                      <w:lang w:bidi="ar"/>
                    </w:rPr>
                    <w:t>43</w:t>
                  </w:r>
                </w:p>
              </w:tc>
              <w:tc>
                <w:tcPr>
                  <w:tcW w:w="1642" w:type="dxa"/>
                  <w:vMerge w:val="continue"/>
                  <w:vAlign w:val="center"/>
                </w:tcPr>
                <w:p w14:paraId="3EA83E7E">
                  <w:pPr>
                    <w:widowControl/>
                    <w:jc w:val="center"/>
                    <w:textAlignment w:val="center"/>
                    <w:rPr>
                      <w:sz w:val="21"/>
                      <w:szCs w:val="21"/>
                    </w:rPr>
                  </w:pPr>
                </w:p>
              </w:tc>
              <w:tc>
                <w:tcPr>
                  <w:tcW w:w="708" w:type="dxa"/>
                  <w:vAlign w:val="center"/>
                </w:tcPr>
                <w:p w14:paraId="57724BBA">
                  <w:pPr>
                    <w:widowControl/>
                    <w:jc w:val="center"/>
                    <w:textAlignment w:val="center"/>
                    <w:rPr>
                      <w:sz w:val="21"/>
                      <w:szCs w:val="21"/>
                    </w:rPr>
                  </w:pPr>
                  <w:r>
                    <w:rPr>
                      <w:rFonts w:hint="eastAsia"/>
                      <w:sz w:val="21"/>
                      <w:szCs w:val="21"/>
                    </w:rPr>
                    <w:t>达标</w:t>
                  </w:r>
                </w:p>
              </w:tc>
            </w:tr>
            <w:tr w14:paraId="066D4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2224" w:type="dxa"/>
                  <w:vMerge w:val="restart"/>
                  <w:vAlign w:val="center"/>
                </w:tcPr>
                <w:p w14:paraId="053FD163">
                  <w:pPr>
                    <w:adjustRightInd w:val="0"/>
                    <w:snapToGrid w:val="0"/>
                    <w:jc w:val="center"/>
                    <w:rPr>
                      <w:bCs/>
                      <w:sz w:val="21"/>
                      <w:szCs w:val="21"/>
                    </w:rPr>
                  </w:pPr>
                  <w:r>
                    <w:rPr>
                      <w:sz w:val="21"/>
                      <w:szCs w:val="21"/>
                    </w:rPr>
                    <w:fldChar w:fldCharType="begin"/>
                  </w:r>
                  <w:r>
                    <w:rPr>
                      <w:rFonts w:hint="eastAsia"/>
                      <w:sz w:val="21"/>
                      <w:szCs w:val="21"/>
                    </w:rPr>
                    <w:instrText xml:space="preserve"> REF 噪声2 \h \* MERGEFORMAT</w:instrText>
                  </w:r>
                  <w:r>
                    <w:rPr>
                      <w:sz w:val="21"/>
                      <w:szCs w:val="21"/>
                    </w:rPr>
                    <w:fldChar w:fldCharType="separate"/>
                  </w:r>
                  <w:r>
                    <w:rPr>
                      <w:rFonts w:hint="eastAsia"/>
                      <w:sz w:val="21"/>
                      <w:szCs w:val="21"/>
                    </w:rPr>
                    <w:t>2# ***居民处</w:t>
                  </w:r>
                  <w:r>
                    <w:rPr>
                      <w:sz w:val="21"/>
                      <w:szCs w:val="21"/>
                    </w:rPr>
                    <w:fldChar w:fldCharType="end"/>
                  </w:r>
                  <w:r>
                    <w:rPr>
                      <w:bCs/>
                      <w:sz w:val="21"/>
                      <w:szCs w:val="21"/>
                    </w:rPr>
                    <w:br w:type="page"/>
                  </w:r>
                </w:p>
              </w:tc>
              <w:tc>
                <w:tcPr>
                  <w:tcW w:w="1331" w:type="dxa"/>
                  <w:vMerge w:val="continue"/>
                  <w:vAlign w:val="center"/>
                </w:tcPr>
                <w:p w14:paraId="7C507709">
                  <w:pPr>
                    <w:pStyle w:val="24"/>
                    <w:adjustRightInd w:val="0"/>
                    <w:spacing w:beforeAutospacing="0" w:afterAutospacing="0"/>
                    <w:jc w:val="center"/>
                    <w:rPr>
                      <w:bCs/>
                      <w:sz w:val="21"/>
                      <w:szCs w:val="21"/>
                    </w:rPr>
                  </w:pPr>
                </w:p>
              </w:tc>
              <w:tc>
                <w:tcPr>
                  <w:tcW w:w="1780" w:type="dxa"/>
                  <w:vAlign w:val="center"/>
                </w:tcPr>
                <w:p w14:paraId="35F39DB0">
                  <w:pPr>
                    <w:widowControl/>
                    <w:jc w:val="center"/>
                    <w:textAlignment w:val="center"/>
                    <w:rPr>
                      <w:sz w:val="21"/>
                      <w:szCs w:val="21"/>
                      <w:lang w:bidi="ar"/>
                    </w:rPr>
                  </w:pPr>
                  <w:r>
                    <w:rPr>
                      <w:rFonts w:hint="eastAsia"/>
                      <w:sz w:val="21"/>
                      <w:szCs w:val="21"/>
                      <w:lang w:bidi="ar"/>
                    </w:rPr>
                    <w:t>18:52-19:02（昼）</w:t>
                  </w:r>
                </w:p>
              </w:tc>
              <w:tc>
                <w:tcPr>
                  <w:tcW w:w="1320" w:type="dxa"/>
                  <w:vAlign w:val="center"/>
                </w:tcPr>
                <w:p w14:paraId="5DF547DF">
                  <w:pPr>
                    <w:widowControl/>
                    <w:jc w:val="center"/>
                    <w:textAlignment w:val="center"/>
                    <w:rPr>
                      <w:sz w:val="21"/>
                      <w:szCs w:val="21"/>
                      <w:lang w:bidi="ar"/>
                    </w:rPr>
                  </w:pPr>
                  <w:r>
                    <w:rPr>
                      <w:sz w:val="21"/>
                      <w:szCs w:val="21"/>
                      <w:lang w:bidi="ar"/>
                    </w:rPr>
                    <w:t>51</w:t>
                  </w:r>
                </w:p>
              </w:tc>
              <w:tc>
                <w:tcPr>
                  <w:tcW w:w="1642" w:type="dxa"/>
                  <w:vMerge w:val="continue"/>
                  <w:vAlign w:val="center"/>
                </w:tcPr>
                <w:p w14:paraId="25D3152C">
                  <w:pPr>
                    <w:widowControl/>
                    <w:jc w:val="center"/>
                    <w:textAlignment w:val="center"/>
                    <w:rPr>
                      <w:sz w:val="21"/>
                      <w:szCs w:val="21"/>
                      <w:lang w:bidi="ar"/>
                    </w:rPr>
                  </w:pPr>
                </w:p>
              </w:tc>
              <w:tc>
                <w:tcPr>
                  <w:tcW w:w="708" w:type="dxa"/>
                  <w:vAlign w:val="center"/>
                </w:tcPr>
                <w:p w14:paraId="2DE006B0">
                  <w:pPr>
                    <w:widowControl/>
                    <w:jc w:val="center"/>
                    <w:textAlignment w:val="center"/>
                    <w:rPr>
                      <w:sz w:val="21"/>
                      <w:szCs w:val="21"/>
                      <w:lang w:bidi="ar"/>
                    </w:rPr>
                  </w:pPr>
                  <w:r>
                    <w:rPr>
                      <w:rFonts w:hint="eastAsia"/>
                      <w:sz w:val="21"/>
                      <w:szCs w:val="21"/>
                    </w:rPr>
                    <w:t>达标</w:t>
                  </w:r>
                </w:p>
              </w:tc>
            </w:tr>
            <w:tr w14:paraId="056D1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2224" w:type="dxa"/>
                  <w:vMerge w:val="continue"/>
                  <w:vAlign w:val="center"/>
                </w:tcPr>
                <w:p w14:paraId="2A871942">
                  <w:pPr>
                    <w:adjustRightInd w:val="0"/>
                    <w:snapToGrid w:val="0"/>
                    <w:jc w:val="center"/>
                    <w:rPr>
                      <w:bCs/>
                      <w:sz w:val="21"/>
                      <w:szCs w:val="21"/>
                    </w:rPr>
                  </w:pPr>
                </w:p>
              </w:tc>
              <w:tc>
                <w:tcPr>
                  <w:tcW w:w="1331" w:type="dxa"/>
                  <w:vMerge w:val="continue"/>
                  <w:vAlign w:val="center"/>
                </w:tcPr>
                <w:p w14:paraId="1BE0B0E0">
                  <w:pPr>
                    <w:pStyle w:val="24"/>
                    <w:adjustRightInd w:val="0"/>
                    <w:spacing w:beforeAutospacing="0" w:afterAutospacing="0"/>
                    <w:jc w:val="center"/>
                    <w:rPr>
                      <w:bCs/>
                      <w:sz w:val="21"/>
                      <w:szCs w:val="21"/>
                    </w:rPr>
                  </w:pPr>
                </w:p>
              </w:tc>
              <w:tc>
                <w:tcPr>
                  <w:tcW w:w="1780" w:type="dxa"/>
                  <w:vAlign w:val="center"/>
                </w:tcPr>
                <w:p w14:paraId="15EE482F">
                  <w:pPr>
                    <w:widowControl/>
                    <w:jc w:val="center"/>
                    <w:textAlignment w:val="center"/>
                    <w:rPr>
                      <w:sz w:val="21"/>
                      <w:szCs w:val="21"/>
                      <w:lang w:bidi="ar"/>
                    </w:rPr>
                  </w:pPr>
                  <w:r>
                    <w:rPr>
                      <w:rFonts w:hint="eastAsia"/>
                      <w:sz w:val="21"/>
                      <w:szCs w:val="21"/>
                      <w:lang w:bidi="ar"/>
                    </w:rPr>
                    <w:t>22:21-22:31（夜）</w:t>
                  </w:r>
                </w:p>
              </w:tc>
              <w:tc>
                <w:tcPr>
                  <w:tcW w:w="1320" w:type="dxa"/>
                  <w:vAlign w:val="center"/>
                </w:tcPr>
                <w:p w14:paraId="7153FF80">
                  <w:pPr>
                    <w:widowControl/>
                    <w:jc w:val="center"/>
                    <w:textAlignment w:val="center"/>
                    <w:rPr>
                      <w:sz w:val="21"/>
                      <w:szCs w:val="21"/>
                      <w:lang w:bidi="ar"/>
                    </w:rPr>
                  </w:pPr>
                  <w:r>
                    <w:rPr>
                      <w:sz w:val="21"/>
                      <w:szCs w:val="21"/>
                      <w:lang w:bidi="ar"/>
                    </w:rPr>
                    <w:t>43</w:t>
                  </w:r>
                </w:p>
              </w:tc>
              <w:tc>
                <w:tcPr>
                  <w:tcW w:w="1642" w:type="dxa"/>
                  <w:vMerge w:val="continue"/>
                  <w:vAlign w:val="center"/>
                </w:tcPr>
                <w:p w14:paraId="3E7DB5D4">
                  <w:pPr>
                    <w:widowControl/>
                    <w:jc w:val="center"/>
                    <w:textAlignment w:val="center"/>
                    <w:rPr>
                      <w:sz w:val="21"/>
                      <w:szCs w:val="21"/>
                      <w:lang w:bidi="ar"/>
                    </w:rPr>
                  </w:pPr>
                </w:p>
              </w:tc>
              <w:tc>
                <w:tcPr>
                  <w:tcW w:w="708" w:type="dxa"/>
                  <w:vAlign w:val="center"/>
                </w:tcPr>
                <w:p w14:paraId="77B5683E">
                  <w:pPr>
                    <w:widowControl/>
                    <w:jc w:val="center"/>
                    <w:textAlignment w:val="center"/>
                    <w:rPr>
                      <w:sz w:val="21"/>
                      <w:szCs w:val="21"/>
                      <w:lang w:bidi="ar"/>
                    </w:rPr>
                  </w:pPr>
                  <w:r>
                    <w:rPr>
                      <w:rFonts w:hint="eastAsia"/>
                      <w:sz w:val="21"/>
                      <w:szCs w:val="21"/>
                    </w:rPr>
                    <w:t>达标</w:t>
                  </w:r>
                </w:p>
              </w:tc>
            </w:tr>
          </w:tbl>
          <w:p w14:paraId="4534D2BA">
            <w:pPr>
              <w:spacing w:before="156" w:beforeLines="50" w:line="360" w:lineRule="auto"/>
              <w:ind w:firstLine="480" w:firstLineChars="200"/>
            </w:pPr>
            <w:r>
              <w:rPr>
                <w:rFonts w:hint="eastAsia"/>
              </w:rPr>
              <w:t>结果表明，现状监测期间，监测点噪声值均达到《声环境质量标准》（GB3096-2008）2类标准，区域声环境质量良好。</w:t>
            </w:r>
          </w:p>
          <w:p w14:paraId="16850955">
            <w:pPr>
              <w:spacing w:line="360" w:lineRule="auto"/>
              <w:ind w:firstLine="482" w:firstLineChars="200"/>
              <w:rPr>
                <w:b/>
                <w:bCs/>
                <w:kern w:val="0"/>
                <w:lang w:bidi="ar"/>
              </w:rPr>
            </w:pPr>
            <w:r>
              <w:rPr>
                <w:rFonts w:hint="eastAsia"/>
                <w:b/>
                <w:bCs/>
              </w:rPr>
              <w:t>五、土壤环境质量现状</w:t>
            </w:r>
          </w:p>
          <w:p w14:paraId="08C3BA9A">
            <w:pPr>
              <w:widowControl/>
              <w:spacing w:line="360" w:lineRule="auto"/>
              <w:ind w:left="547" w:leftChars="228"/>
              <w:rPr>
                <w:b/>
                <w:bCs/>
                <w:kern w:val="0"/>
                <w:lang w:bidi="ar"/>
              </w:rPr>
            </w:pPr>
            <w:r>
              <w:rPr>
                <w:rFonts w:hint="eastAsia"/>
                <w:b/>
                <w:bCs/>
                <w:kern w:val="0"/>
                <w:lang w:bidi="ar"/>
              </w:rPr>
              <w:t>1、监测点位</w:t>
            </w:r>
            <w:r>
              <w:rPr>
                <w:rFonts w:hint="eastAsia"/>
                <w:b/>
                <w:bCs/>
              </w:rPr>
              <w:t>基本信息</w:t>
            </w:r>
          </w:p>
          <w:p w14:paraId="57DA6CAD">
            <w:pPr>
              <w:spacing w:line="360" w:lineRule="auto"/>
              <w:ind w:firstLine="480" w:firstLineChars="200"/>
            </w:pPr>
            <w:r>
              <w:rPr>
                <w:rFonts w:hint="eastAsia"/>
              </w:rPr>
              <w:t>本次共设置1个土壤监测点位、2个沉积物监测点，监测点基本信息见下表。</w:t>
            </w:r>
          </w:p>
          <w:p w14:paraId="718814AB">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11</w:t>
            </w:r>
            <w:r>
              <w:rPr>
                <w:rFonts w:cs="Times New Roman"/>
              </w:rPr>
              <w:fldChar w:fldCharType="end"/>
            </w:r>
            <w:r>
              <w:rPr>
                <w:rFonts w:hint="eastAsia" w:cs="Times New Roman"/>
              </w:rPr>
              <w:t xml:space="preserve">  沟流底泥环境质量现状监测布点一览表</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807"/>
              <w:gridCol w:w="2174"/>
              <w:gridCol w:w="3375"/>
              <w:gridCol w:w="1507"/>
            </w:tblGrid>
            <w:tr w14:paraId="5A701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1" w:type="pct"/>
                  <w:tcBorders>
                    <w:tl2br w:val="nil"/>
                    <w:tr2bl w:val="nil"/>
                  </w:tcBorders>
                  <w:vAlign w:val="center"/>
                </w:tcPr>
                <w:p w14:paraId="0C8DCC93">
                  <w:pPr>
                    <w:pStyle w:val="59"/>
                    <w:rPr>
                      <w:rFonts w:cs="Times New Roman"/>
                      <w:b/>
                      <w:bCs/>
                    </w:rPr>
                  </w:pPr>
                  <w:r>
                    <w:rPr>
                      <w:rFonts w:hint="eastAsia" w:cs="Times New Roman"/>
                      <w:b/>
                      <w:bCs/>
                    </w:rPr>
                    <w:t>类别</w:t>
                  </w:r>
                </w:p>
              </w:tc>
              <w:tc>
                <w:tcPr>
                  <w:tcW w:w="448" w:type="pct"/>
                  <w:tcBorders>
                    <w:tl2br w:val="nil"/>
                    <w:tr2bl w:val="nil"/>
                  </w:tcBorders>
                  <w:vAlign w:val="center"/>
                </w:tcPr>
                <w:p w14:paraId="36EDDEF9">
                  <w:pPr>
                    <w:pStyle w:val="59"/>
                    <w:rPr>
                      <w:rFonts w:cs="Times New Roman"/>
                      <w:b/>
                      <w:bCs/>
                    </w:rPr>
                  </w:pPr>
                  <w:r>
                    <w:rPr>
                      <w:rFonts w:hint="eastAsia" w:cs="Times New Roman"/>
                      <w:b/>
                      <w:bCs/>
                    </w:rPr>
                    <w:t>编号</w:t>
                  </w:r>
                </w:p>
              </w:tc>
              <w:tc>
                <w:tcPr>
                  <w:tcW w:w="1208" w:type="pct"/>
                  <w:tcBorders>
                    <w:tl2br w:val="nil"/>
                    <w:tr2bl w:val="nil"/>
                  </w:tcBorders>
                  <w:vAlign w:val="center"/>
                </w:tcPr>
                <w:p w14:paraId="5E8FB971">
                  <w:pPr>
                    <w:pStyle w:val="59"/>
                    <w:rPr>
                      <w:rFonts w:cs="Times New Roman"/>
                      <w:b/>
                      <w:bCs/>
                    </w:rPr>
                  </w:pPr>
                  <w:r>
                    <w:rPr>
                      <w:rFonts w:hint="eastAsia" w:cs="Times New Roman"/>
                      <w:b/>
                      <w:bCs/>
                    </w:rPr>
                    <w:t>监测点位</w:t>
                  </w:r>
                </w:p>
              </w:tc>
              <w:tc>
                <w:tcPr>
                  <w:tcW w:w="1875" w:type="pct"/>
                  <w:tcBorders>
                    <w:tl2br w:val="nil"/>
                    <w:tr2bl w:val="nil"/>
                  </w:tcBorders>
                  <w:vAlign w:val="center"/>
                </w:tcPr>
                <w:p w14:paraId="4ACA0CBA">
                  <w:pPr>
                    <w:pStyle w:val="59"/>
                    <w:rPr>
                      <w:rFonts w:cs="Times New Roman"/>
                      <w:b/>
                      <w:bCs/>
                    </w:rPr>
                  </w:pPr>
                  <w:r>
                    <w:rPr>
                      <w:rFonts w:hint="eastAsia" w:cs="Times New Roman"/>
                      <w:b/>
                      <w:bCs/>
                    </w:rPr>
                    <w:t>检测项目</w:t>
                  </w:r>
                </w:p>
              </w:tc>
              <w:tc>
                <w:tcPr>
                  <w:tcW w:w="837" w:type="pct"/>
                  <w:tcBorders>
                    <w:tl2br w:val="nil"/>
                    <w:tr2bl w:val="nil"/>
                  </w:tcBorders>
                  <w:vAlign w:val="center"/>
                </w:tcPr>
                <w:p w14:paraId="44570BE5">
                  <w:pPr>
                    <w:pStyle w:val="59"/>
                    <w:rPr>
                      <w:rFonts w:cs="Times New Roman"/>
                      <w:b/>
                      <w:bCs/>
                    </w:rPr>
                  </w:pPr>
                  <w:r>
                    <w:rPr>
                      <w:rFonts w:hint="eastAsia" w:cs="Times New Roman"/>
                      <w:b/>
                      <w:bCs/>
                    </w:rPr>
                    <w:t>检测频率</w:t>
                  </w:r>
                </w:p>
              </w:tc>
            </w:tr>
            <w:tr w14:paraId="1D698C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31" w:type="pct"/>
                  <w:tcBorders>
                    <w:tl2br w:val="nil"/>
                    <w:tr2bl w:val="nil"/>
                  </w:tcBorders>
                  <w:vAlign w:val="center"/>
                </w:tcPr>
                <w:p w14:paraId="1A6B5934">
                  <w:pPr>
                    <w:pStyle w:val="59"/>
                    <w:rPr>
                      <w:rFonts w:cs="Times New Roman"/>
                    </w:rPr>
                  </w:pPr>
                  <w:r>
                    <w:rPr>
                      <w:rFonts w:hint="eastAsia" w:cs="Times New Roman"/>
                    </w:rPr>
                    <w:t>土壤监测</w:t>
                  </w:r>
                </w:p>
              </w:tc>
              <w:tc>
                <w:tcPr>
                  <w:tcW w:w="448" w:type="pct"/>
                  <w:tcBorders>
                    <w:tl2br w:val="nil"/>
                    <w:tr2bl w:val="nil"/>
                  </w:tcBorders>
                  <w:vAlign w:val="center"/>
                </w:tcPr>
                <w:p w14:paraId="2349E4E7">
                  <w:pPr>
                    <w:pStyle w:val="59"/>
                    <w:rPr>
                      <w:rFonts w:cs="Times New Roman"/>
                    </w:rPr>
                  </w:pPr>
                  <w:r>
                    <w:rPr>
                      <w:rFonts w:cs="Times New Roman"/>
                    </w:rPr>
                    <w:t>1#</w:t>
                  </w:r>
                </w:p>
              </w:tc>
              <w:tc>
                <w:tcPr>
                  <w:tcW w:w="1208" w:type="pct"/>
                  <w:tcBorders>
                    <w:tl2br w:val="nil"/>
                    <w:tr2bl w:val="nil"/>
                  </w:tcBorders>
                  <w:vAlign w:val="center"/>
                </w:tcPr>
                <w:p w14:paraId="64DF308E">
                  <w:pPr>
                    <w:pStyle w:val="59"/>
                    <w:rPr>
                      <w:rFonts w:cs="Times New Roman"/>
                    </w:rPr>
                  </w:pPr>
                  <w:r>
                    <w:rPr>
                      <w:rFonts w:hint="eastAsia" w:cs="Times New Roman"/>
                    </w:rPr>
                    <w:t>工程河段K0+300处</w:t>
                  </w:r>
                </w:p>
              </w:tc>
              <w:tc>
                <w:tcPr>
                  <w:tcW w:w="1875" w:type="pct"/>
                  <w:tcBorders>
                    <w:tl2br w:val="nil"/>
                    <w:tr2bl w:val="nil"/>
                  </w:tcBorders>
                  <w:vAlign w:val="center"/>
                </w:tcPr>
                <w:p w14:paraId="6156B218">
                  <w:pPr>
                    <w:pStyle w:val="59"/>
                    <w:rPr>
                      <w:rFonts w:cs="Times New Roman"/>
                    </w:rPr>
                  </w:pPr>
                  <w:r>
                    <w:rPr>
                      <w:rFonts w:hint="eastAsia" w:cs="Times New Roman"/>
                    </w:rPr>
                    <w:t>pH、全盐量</w:t>
                  </w:r>
                </w:p>
              </w:tc>
              <w:tc>
                <w:tcPr>
                  <w:tcW w:w="837" w:type="pct"/>
                  <w:tcBorders>
                    <w:tl2br w:val="nil"/>
                    <w:tr2bl w:val="nil"/>
                  </w:tcBorders>
                  <w:vAlign w:val="center"/>
                </w:tcPr>
                <w:p w14:paraId="55FB1BE2">
                  <w:pPr>
                    <w:pStyle w:val="59"/>
                    <w:rPr>
                      <w:rFonts w:cs="Times New Roman"/>
                    </w:rPr>
                  </w:pPr>
                  <w:r>
                    <w:rPr>
                      <w:rFonts w:hint="eastAsia" w:cs="Times New Roman"/>
                    </w:rPr>
                    <w:t>检测1次</w:t>
                  </w:r>
                </w:p>
              </w:tc>
            </w:tr>
            <w:tr w14:paraId="7398E2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31" w:type="pct"/>
                  <w:vMerge w:val="restart"/>
                  <w:tcBorders>
                    <w:tl2br w:val="nil"/>
                    <w:tr2bl w:val="nil"/>
                  </w:tcBorders>
                  <w:vAlign w:val="center"/>
                </w:tcPr>
                <w:p w14:paraId="754AD322">
                  <w:pPr>
                    <w:pStyle w:val="59"/>
                    <w:rPr>
                      <w:rFonts w:cs="Times New Roman"/>
                    </w:rPr>
                  </w:pPr>
                  <w:r>
                    <w:rPr>
                      <w:rFonts w:hint="eastAsia" w:cs="Times New Roman"/>
                    </w:rPr>
                    <w:t>沉积物监测</w:t>
                  </w:r>
                </w:p>
              </w:tc>
              <w:tc>
                <w:tcPr>
                  <w:tcW w:w="448" w:type="pct"/>
                  <w:tcBorders>
                    <w:tl2br w:val="nil"/>
                    <w:tr2bl w:val="nil"/>
                  </w:tcBorders>
                  <w:vAlign w:val="center"/>
                </w:tcPr>
                <w:p w14:paraId="5292B091">
                  <w:pPr>
                    <w:pStyle w:val="59"/>
                    <w:rPr>
                      <w:rFonts w:cs="Times New Roman"/>
                    </w:rPr>
                  </w:pPr>
                  <w:r>
                    <w:rPr>
                      <w:rFonts w:cs="Times New Roman"/>
                    </w:rPr>
                    <w:t>1#</w:t>
                  </w:r>
                </w:p>
              </w:tc>
              <w:tc>
                <w:tcPr>
                  <w:tcW w:w="1208" w:type="pct"/>
                  <w:tcBorders>
                    <w:tl2br w:val="nil"/>
                    <w:tr2bl w:val="nil"/>
                  </w:tcBorders>
                  <w:vAlign w:val="center"/>
                </w:tcPr>
                <w:p w14:paraId="608C9632">
                  <w:pPr>
                    <w:pStyle w:val="59"/>
                    <w:rPr>
                      <w:rFonts w:cs="Times New Roman"/>
                    </w:rPr>
                  </w:pPr>
                  <w:r>
                    <w:rPr>
                      <w:rFonts w:hint="eastAsia" w:cs="Times New Roman"/>
                    </w:rPr>
                    <w:t>工程河段起点下游100m处</w:t>
                  </w:r>
                </w:p>
              </w:tc>
              <w:tc>
                <w:tcPr>
                  <w:tcW w:w="1875" w:type="pct"/>
                  <w:vMerge w:val="restart"/>
                  <w:tcBorders>
                    <w:tl2br w:val="nil"/>
                    <w:tr2bl w:val="nil"/>
                  </w:tcBorders>
                  <w:vAlign w:val="center"/>
                </w:tcPr>
                <w:p w14:paraId="0C6AEF1C">
                  <w:pPr>
                    <w:pStyle w:val="59"/>
                    <w:rPr>
                      <w:rFonts w:cs="Times New Roman"/>
                    </w:rPr>
                  </w:pPr>
                  <w:r>
                    <w:rPr>
                      <w:rFonts w:hint="eastAsia" w:cs="Times New Roman"/>
                    </w:rPr>
                    <w:t>pH、镉（总镉）、铅（总铅）、铜（总铜）、镍（总镍）、锌（总锌）、铬（总铬）、汞（总汞）、砷（总砷）</w:t>
                  </w:r>
                </w:p>
              </w:tc>
              <w:tc>
                <w:tcPr>
                  <w:tcW w:w="837" w:type="pct"/>
                  <w:vMerge w:val="restart"/>
                  <w:tcBorders>
                    <w:tl2br w:val="nil"/>
                    <w:tr2bl w:val="nil"/>
                  </w:tcBorders>
                  <w:vAlign w:val="center"/>
                </w:tcPr>
                <w:p w14:paraId="7D63AAB5">
                  <w:pPr>
                    <w:pStyle w:val="59"/>
                    <w:rPr>
                      <w:rFonts w:cs="Times New Roman"/>
                    </w:rPr>
                  </w:pPr>
                  <w:r>
                    <w:rPr>
                      <w:rFonts w:hint="eastAsia" w:cs="Times New Roman"/>
                    </w:rPr>
                    <w:t>检测1次</w:t>
                  </w:r>
                </w:p>
              </w:tc>
            </w:tr>
            <w:tr w14:paraId="4F56C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31" w:type="pct"/>
                  <w:vMerge w:val="continue"/>
                  <w:tcBorders>
                    <w:tl2br w:val="nil"/>
                    <w:tr2bl w:val="nil"/>
                  </w:tcBorders>
                  <w:vAlign w:val="center"/>
                </w:tcPr>
                <w:p w14:paraId="4B24258C">
                  <w:pPr>
                    <w:pStyle w:val="59"/>
                    <w:rPr>
                      <w:rFonts w:cs="Times New Roman"/>
                    </w:rPr>
                  </w:pPr>
                </w:p>
              </w:tc>
              <w:tc>
                <w:tcPr>
                  <w:tcW w:w="448" w:type="pct"/>
                  <w:tcBorders>
                    <w:tl2br w:val="nil"/>
                    <w:tr2bl w:val="nil"/>
                  </w:tcBorders>
                  <w:vAlign w:val="center"/>
                </w:tcPr>
                <w:p w14:paraId="44C14134">
                  <w:pPr>
                    <w:pStyle w:val="59"/>
                    <w:rPr>
                      <w:rFonts w:cs="Times New Roman"/>
                    </w:rPr>
                  </w:pPr>
                  <w:r>
                    <w:rPr>
                      <w:rFonts w:cs="Times New Roman"/>
                    </w:rPr>
                    <w:t>2#</w:t>
                  </w:r>
                </w:p>
              </w:tc>
              <w:tc>
                <w:tcPr>
                  <w:tcW w:w="1208" w:type="pct"/>
                  <w:tcBorders>
                    <w:tl2br w:val="nil"/>
                    <w:tr2bl w:val="nil"/>
                  </w:tcBorders>
                  <w:vAlign w:val="center"/>
                </w:tcPr>
                <w:p w14:paraId="44EF3D75">
                  <w:pPr>
                    <w:pStyle w:val="59"/>
                    <w:rPr>
                      <w:rFonts w:cs="Times New Roman"/>
                    </w:rPr>
                  </w:pPr>
                  <w:r>
                    <w:rPr>
                      <w:rFonts w:hint="eastAsia" w:cs="Times New Roman"/>
                    </w:rPr>
                    <w:t>工程河段终点上游100m处</w:t>
                  </w:r>
                </w:p>
              </w:tc>
              <w:tc>
                <w:tcPr>
                  <w:tcW w:w="1875" w:type="pct"/>
                  <w:vMerge w:val="continue"/>
                  <w:tcBorders>
                    <w:tl2br w:val="nil"/>
                    <w:tr2bl w:val="nil"/>
                  </w:tcBorders>
                </w:tcPr>
                <w:p w14:paraId="29159BFB">
                  <w:pPr>
                    <w:pStyle w:val="59"/>
                    <w:rPr>
                      <w:rFonts w:cs="Times New Roman"/>
                    </w:rPr>
                  </w:pPr>
                </w:p>
              </w:tc>
              <w:tc>
                <w:tcPr>
                  <w:tcW w:w="837" w:type="pct"/>
                  <w:vMerge w:val="continue"/>
                  <w:tcBorders>
                    <w:tl2br w:val="nil"/>
                    <w:tr2bl w:val="nil"/>
                  </w:tcBorders>
                </w:tcPr>
                <w:p w14:paraId="3D0DA3EE">
                  <w:pPr>
                    <w:pStyle w:val="59"/>
                    <w:rPr>
                      <w:rFonts w:cs="Times New Roman"/>
                    </w:rPr>
                  </w:pPr>
                </w:p>
              </w:tc>
            </w:tr>
          </w:tbl>
          <w:p w14:paraId="4E2B4155">
            <w:pPr>
              <w:spacing w:before="156" w:beforeLines="50" w:line="360" w:lineRule="auto"/>
              <w:ind w:firstLine="480" w:firstLineChars="200"/>
            </w:pPr>
            <w:r>
              <w:rPr>
                <w:rFonts w:hint="eastAsia"/>
              </w:rPr>
              <w:t>本次监测共设土壤点位1个、底泥（沉积物）点位2个。土壤点设于工程河段中段K0+300处，位于工程占地区域内，距工程起点、终点分别约300m、384m，处于治理河段中部，可代表工程占地区土壤的理化性状；本项目为线性工程，占地规模小、沿程土壤类型一致，设1个土壤点可满足现状调查需要。底泥点分设于工程河段上、下游两端：1#点位于工程起点下游100m（K0+100）处，即丁坝及河道砂砾石开挖段，为清淤量集中、扰动最强的部位；2#点位于工程终点上游100m（K0+584.2）处，处于治理河段下游末端。两点间距约484m，覆盖了本项目河道砂砾石开挖及清淤的主要河段，可反映工程河段沿程淤积物的性状变化。2#点特意布设在共和电站取水口拦河坝上游侧，避开了拦河坝下游的减水河段，所采样品为工程河段真实淤积物，不受坝下水量减少、流速降低引起的沉积差异影响，布点具有针对性。综上，本次土壤及底泥监测点位布设与工程布置、施工扰动范围相对应，具有代表性。</w:t>
            </w:r>
          </w:p>
          <w:p w14:paraId="6C763D75">
            <w:pPr>
              <w:spacing w:before="156" w:beforeLines="50" w:line="360" w:lineRule="auto"/>
              <w:ind w:firstLine="482" w:firstLineChars="200"/>
              <w:rPr>
                <w:b/>
              </w:rPr>
            </w:pPr>
            <w:r>
              <w:rPr>
                <w:rFonts w:hint="eastAsia"/>
                <w:b/>
              </w:rPr>
              <w:t>2、评价标准</w:t>
            </w:r>
          </w:p>
          <w:p w14:paraId="0F209AB5">
            <w:pPr>
              <w:pStyle w:val="106"/>
            </w:pPr>
            <w:r>
              <w:rPr>
                <w:rFonts w:hint="eastAsia"/>
              </w:rPr>
              <w:t>土壤执行《环境影响评价技术导则—土壤环境（试行）》（HJ964-2018）附录D中相关标准；沉积物</w:t>
            </w:r>
            <w:r>
              <w:rPr>
                <w:rFonts w:hint="eastAsia"/>
                <w:lang w:val="zh-CN"/>
              </w:rPr>
              <w:t>执行</w:t>
            </w:r>
            <w:r>
              <w:rPr>
                <w:rFonts w:hint="eastAsia"/>
              </w:rPr>
              <w:t>《土壤环境质量 农用地土壤污染风险管控标准（试行）》（GB15618-2018）表1中相关标准。</w:t>
            </w:r>
          </w:p>
          <w:p w14:paraId="70DBC620">
            <w:pPr>
              <w:spacing w:line="360" w:lineRule="auto"/>
              <w:ind w:firstLine="482" w:firstLineChars="200"/>
              <w:rPr>
                <w:b/>
              </w:rPr>
            </w:pPr>
            <w:r>
              <w:rPr>
                <w:rFonts w:hint="eastAsia"/>
                <w:b/>
              </w:rPr>
              <w:t>3、评价结果</w:t>
            </w:r>
          </w:p>
          <w:p w14:paraId="3A4CB88E">
            <w:pPr>
              <w:spacing w:line="360" w:lineRule="auto"/>
              <w:ind w:firstLine="480" w:firstLineChars="200"/>
            </w:pPr>
            <w:r>
              <w:rPr>
                <w:rFonts w:hint="eastAsia"/>
              </w:rPr>
              <w:t>土壤现状评价结果见下表。</w:t>
            </w:r>
          </w:p>
          <w:p w14:paraId="2C50EE0A">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12</w:t>
            </w:r>
            <w:r>
              <w:rPr>
                <w:rFonts w:cs="Times New Roman"/>
              </w:rPr>
              <w:fldChar w:fldCharType="end"/>
            </w:r>
            <w:r>
              <w:rPr>
                <w:rFonts w:hint="eastAsia" w:cs="Times New Roman"/>
              </w:rPr>
              <w:t xml:space="preserve">  土壤评价结果</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1315"/>
              <w:gridCol w:w="945"/>
              <w:gridCol w:w="945"/>
              <w:gridCol w:w="690"/>
              <w:gridCol w:w="915"/>
              <w:gridCol w:w="2865"/>
              <w:gridCol w:w="1330"/>
            </w:tblGrid>
            <w:tr w14:paraId="12282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tblHeader/>
                <w:jc w:val="center"/>
              </w:trPr>
              <w:tc>
                <w:tcPr>
                  <w:tcW w:w="1315" w:type="dxa"/>
                  <w:vAlign w:val="center"/>
                </w:tcPr>
                <w:p w14:paraId="37C8AFEE">
                  <w:pPr>
                    <w:widowControl/>
                    <w:adjustRightInd w:val="0"/>
                    <w:jc w:val="center"/>
                    <w:rPr>
                      <w:b/>
                      <w:kern w:val="0"/>
                      <w:sz w:val="21"/>
                      <w:szCs w:val="21"/>
                    </w:rPr>
                  </w:pPr>
                  <w:r>
                    <w:rPr>
                      <w:rFonts w:hint="eastAsia"/>
                      <w:b/>
                      <w:kern w:val="0"/>
                      <w:sz w:val="21"/>
                      <w:szCs w:val="21"/>
                    </w:rPr>
                    <w:t>检测点位</w:t>
                  </w:r>
                </w:p>
              </w:tc>
              <w:tc>
                <w:tcPr>
                  <w:tcW w:w="945" w:type="dxa"/>
                  <w:vAlign w:val="center"/>
                </w:tcPr>
                <w:p w14:paraId="2911FD14">
                  <w:pPr>
                    <w:widowControl/>
                    <w:adjustRightInd w:val="0"/>
                    <w:jc w:val="center"/>
                    <w:rPr>
                      <w:b/>
                      <w:kern w:val="0"/>
                      <w:sz w:val="21"/>
                      <w:szCs w:val="21"/>
                    </w:rPr>
                  </w:pPr>
                  <w:r>
                    <w:rPr>
                      <w:rFonts w:hint="eastAsia"/>
                      <w:b/>
                      <w:kern w:val="0"/>
                      <w:sz w:val="21"/>
                      <w:szCs w:val="21"/>
                    </w:rPr>
                    <w:t>采样日期</w:t>
                  </w:r>
                </w:p>
              </w:tc>
              <w:tc>
                <w:tcPr>
                  <w:tcW w:w="945" w:type="dxa"/>
                  <w:vAlign w:val="center"/>
                </w:tcPr>
                <w:p w14:paraId="3226A3E9">
                  <w:pPr>
                    <w:widowControl/>
                    <w:adjustRightInd w:val="0"/>
                    <w:jc w:val="center"/>
                    <w:rPr>
                      <w:b/>
                      <w:kern w:val="0"/>
                      <w:sz w:val="21"/>
                      <w:szCs w:val="21"/>
                    </w:rPr>
                  </w:pPr>
                  <w:r>
                    <w:rPr>
                      <w:rFonts w:hint="eastAsia"/>
                      <w:b/>
                      <w:kern w:val="0"/>
                      <w:sz w:val="21"/>
                      <w:szCs w:val="21"/>
                    </w:rPr>
                    <w:t>检测项目</w:t>
                  </w:r>
                </w:p>
              </w:tc>
              <w:tc>
                <w:tcPr>
                  <w:tcW w:w="690" w:type="dxa"/>
                  <w:vAlign w:val="center"/>
                </w:tcPr>
                <w:p w14:paraId="0F6AEB9A">
                  <w:pPr>
                    <w:widowControl/>
                    <w:adjustRightInd w:val="0"/>
                    <w:jc w:val="center"/>
                    <w:rPr>
                      <w:b/>
                      <w:kern w:val="0"/>
                      <w:sz w:val="21"/>
                      <w:szCs w:val="21"/>
                    </w:rPr>
                  </w:pPr>
                  <w:r>
                    <w:rPr>
                      <w:rFonts w:hint="eastAsia"/>
                      <w:b/>
                      <w:kern w:val="0"/>
                      <w:sz w:val="21"/>
                      <w:szCs w:val="21"/>
                    </w:rPr>
                    <w:t>单位</w:t>
                  </w:r>
                </w:p>
              </w:tc>
              <w:tc>
                <w:tcPr>
                  <w:tcW w:w="915" w:type="dxa"/>
                  <w:vAlign w:val="center"/>
                </w:tcPr>
                <w:p w14:paraId="13DD3124">
                  <w:pPr>
                    <w:widowControl/>
                    <w:adjustRightInd w:val="0"/>
                    <w:jc w:val="center"/>
                    <w:rPr>
                      <w:b/>
                      <w:kern w:val="0"/>
                      <w:sz w:val="21"/>
                      <w:szCs w:val="21"/>
                    </w:rPr>
                  </w:pPr>
                  <w:r>
                    <w:rPr>
                      <w:rFonts w:hint="eastAsia"/>
                      <w:b/>
                      <w:kern w:val="0"/>
                      <w:sz w:val="21"/>
                      <w:szCs w:val="21"/>
                    </w:rPr>
                    <w:t>检测结果</w:t>
                  </w:r>
                </w:p>
              </w:tc>
              <w:tc>
                <w:tcPr>
                  <w:tcW w:w="2865" w:type="dxa"/>
                  <w:vAlign w:val="center"/>
                </w:tcPr>
                <w:p w14:paraId="27B2DC6A">
                  <w:pPr>
                    <w:widowControl/>
                    <w:adjustRightInd w:val="0"/>
                    <w:jc w:val="center"/>
                    <w:rPr>
                      <w:b/>
                      <w:kern w:val="0"/>
                      <w:sz w:val="21"/>
                      <w:szCs w:val="21"/>
                    </w:rPr>
                  </w:pPr>
                  <w:r>
                    <w:rPr>
                      <w:rFonts w:hint="eastAsia"/>
                      <w:b/>
                      <w:kern w:val="0"/>
                      <w:sz w:val="21"/>
                      <w:szCs w:val="21"/>
                    </w:rPr>
                    <w:t>评价标准</w:t>
                  </w:r>
                </w:p>
              </w:tc>
              <w:tc>
                <w:tcPr>
                  <w:tcW w:w="1330" w:type="dxa"/>
                  <w:vAlign w:val="center"/>
                </w:tcPr>
                <w:p w14:paraId="13BE9A0A">
                  <w:pPr>
                    <w:widowControl/>
                    <w:adjustRightInd w:val="0"/>
                    <w:jc w:val="center"/>
                    <w:rPr>
                      <w:b/>
                      <w:kern w:val="0"/>
                      <w:sz w:val="21"/>
                      <w:szCs w:val="21"/>
                    </w:rPr>
                  </w:pPr>
                  <w:r>
                    <w:rPr>
                      <w:rFonts w:hint="eastAsia"/>
                      <w:b/>
                      <w:kern w:val="0"/>
                      <w:sz w:val="21"/>
                      <w:szCs w:val="21"/>
                    </w:rPr>
                    <w:t>评价结果</w:t>
                  </w:r>
                </w:p>
              </w:tc>
            </w:tr>
            <w:tr w14:paraId="14C0D1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1315" w:type="dxa"/>
                  <w:vMerge w:val="restart"/>
                  <w:vAlign w:val="center"/>
                </w:tcPr>
                <w:p w14:paraId="29AE6EA3">
                  <w:pPr>
                    <w:widowControl/>
                    <w:jc w:val="center"/>
                    <w:textAlignment w:val="center"/>
                    <w:rPr>
                      <w:bCs/>
                      <w:sz w:val="21"/>
                      <w:szCs w:val="21"/>
                      <w:lang w:bidi="ar"/>
                    </w:rPr>
                  </w:pPr>
                  <w:r>
                    <w:rPr>
                      <w:bCs/>
                      <w:sz w:val="21"/>
                      <w:szCs w:val="21"/>
                      <w:lang w:bidi="ar"/>
                    </w:rPr>
                    <w:fldChar w:fldCharType="begin"/>
                  </w:r>
                  <w:r>
                    <w:rPr>
                      <w:rFonts w:hint="eastAsia"/>
                      <w:bCs/>
                      <w:sz w:val="21"/>
                      <w:szCs w:val="21"/>
                      <w:lang w:bidi="ar"/>
                    </w:rPr>
                    <w:instrText xml:space="preserve"> REF 土壤1 \h \* MERGEFORMAT</w:instrText>
                  </w:r>
                  <w:r>
                    <w:rPr>
                      <w:bCs/>
                      <w:sz w:val="21"/>
                      <w:szCs w:val="21"/>
                      <w:lang w:bidi="ar"/>
                    </w:rPr>
                    <w:fldChar w:fldCharType="separate"/>
                  </w:r>
                  <w:r>
                    <w:rPr>
                      <w:bCs/>
                      <w:sz w:val="21"/>
                      <w:szCs w:val="21"/>
                      <w:lang w:bidi="ar"/>
                    </w:rPr>
                    <w:t xml:space="preserve">1# </w:t>
                  </w:r>
                  <w:r>
                    <w:rPr>
                      <w:rFonts w:hint="eastAsia"/>
                      <w:bCs/>
                      <w:sz w:val="21"/>
                      <w:szCs w:val="21"/>
                    </w:rPr>
                    <w:t>工程河段K0+300处</w:t>
                  </w:r>
                  <w:r>
                    <w:rPr>
                      <w:bCs/>
                      <w:sz w:val="21"/>
                      <w:szCs w:val="21"/>
                      <w:lang w:bidi="ar"/>
                    </w:rPr>
                    <w:fldChar w:fldCharType="end"/>
                  </w:r>
                </w:p>
              </w:tc>
              <w:tc>
                <w:tcPr>
                  <w:tcW w:w="945" w:type="dxa"/>
                  <w:vMerge w:val="restart"/>
                  <w:vAlign w:val="center"/>
                </w:tcPr>
                <w:p w14:paraId="23D7369D">
                  <w:pPr>
                    <w:widowControl/>
                    <w:jc w:val="center"/>
                    <w:textAlignment w:val="center"/>
                    <w:rPr>
                      <w:bCs/>
                      <w:kern w:val="0"/>
                      <w:sz w:val="21"/>
                      <w:szCs w:val="21"/>
                    </w:rPr>
                  </w:pPr>
                  <w:r>
                    <w:rPr>
                      <w:kern w:val="0"/>
                      <w:sz w:val="21"/>
                      <w:szCs w:val="21"/>
                      <w:lang w:bidi="ar"/>
                    </w:rPr>
                    <w:fldChar w:fldCharType="begin"/>
                  </w:r>
                  <w:r>
                    <w:rPr>
                      <w:rFonts w:hint="eastAsia"/>
                      <w:kern w:val="0"/>
                      <w:sz w:val="21"/>
                      <w:szCs w:val="21"/>
                      <w:lang w:bidi="ar"/>
                    </w:rPr>
                    <w:instrText xml:space="preserve"> REF 日期 \h \* MERGEFORMAT</w:instrText>
                  </w:r>
                  <w:r>
                    <w:rPr>
                      <w:kern w:val="0"/>
                      <w:sz w:val="21"/>
                      <w:szCs w:val="21"/>
                      <w:lang w:bidi="ar"/>
                    </w:rPr>
                    <w:fldChar w:fldCharType="separate"/>
                  </w:r>
                  <w:r>
                    <w:rPr>
                      <w:rFonts w:hint="eastAsia"/>
                      <w:kern w:val="0"/>
                      <w:sz w:val="21"/>
                      <w:szCs w:val="21"/>
                      <w:lang w:bidi="ar"/>
                    </w:rPr>
                    <w:t>6月19日</w:t>
                  </w:r>
                  <w:r>
                    <w:rPr>
                      <w:kern w:val="0"/>
                      <w:sz w:val="21"/>
                      <w:szCs w:val="21"/>
                      <w:lang w:bidi="ar"/>
                    </w:rPr>
                    <w:fldChar w:fldCharType="end"/>
                  </w:r>
                </w:p>
              </w:tc>
              <w:tc>
                <w:tcPr>
                  <w:tcW w:w="945" w:type="dxa"/>
                  <w:vAlign w:val="center"/>
                </w:tcPr>
                <w:p w14:paraId="1256DEE2">
                  <w:pPr>
                    <w:tabs>
                      <w:tab w:val="left" w:pos="1890"/>
                    </w:tabs>
                    <w:jc w:val="center"/>
                    <w:rPr>
                      <w:sz w:val="21"/>
                      <w:szCs w:val="21"/>
                    </w:rPr>
                  </w:pPr>
                  <w:r>
                    <w:rPr>
                      <w:bCs/>
                      <w:sz w:val="21"/>
                      <w:szCs w:val="21"/>
                    </w:rPr>
                    <w:t>pH</w:t>
                  </w:r>
                </w:p>
              </w:tc>
              <w:tc>
                <w:tcPr>
                  <w:tcW w:w="690" w:type="dxa"/>
                  <w:vAlign w:val="center"/>
                </w:tcPr>
                <w:p w14:paraId="29B14045">
                  <w:pPr>
                    <w:widowControl/>
                    <w:adjustRightInd w:val="0"/>
                    <w:jc w:val="center"/>
                    <w:rPr>
                      <w:bCs/>
                      <w:kern w:val="0"/>
                      <w:sz w:val="21"/>
                      <w:szCs w:val="21"/>
                      <w:lang w:bidi="ar"/>
                    </w:rPr>
                  </w:pPr>
                  <w:r>
                    <w:rPr>
                      <w:rFonts w:hint="eastAsia"/>
                      <w:bCs/>
                      <w:kern w:val="0"/>
                      <w:sz w:val="21"/>
                      <w:szCs w:val="21"/>
                    </w:rPr>
                    <w:t>无量纲</w:t>
                  </w:r>
                </w:p>
              </w:tc>
              <w:tc>
                <w:tcPr>
                  <w:tcW w:w="915" w:type="dxa"/>
                  <w:vAlign w:val="center"/>
                </w:tcPr>
                <w:p w14:paraId="0FFB6B70">
                  <w:pPr>
                    <w:widowControl/>
                    <w:jc w:val="center"/>
                    <w:textAlignment w:val="center"/>
                    <w:rPr>
                      <w:kern w:val="0"/>
                      <w:sz w:val="21"/>
                      <w:szCs w:val="21"/>
                      <w:lang w:bidi="ar"/>
                    </w:rPr>
                  </w:pPr>
                  <w:r>
                    <w:rPr>
                      <w:kern w:val="0"/>
                      <w:sz w:val="21"/>
                      <w:szCs w:val="21"/>
                      <w:lang w:bidi="ar"/>
                    </w:rPr>
                    <w:t>7.33</w:t>
                  </w:r>
                </w:p>
              </w:tc>
              <w:tc>
                <w:tcPr>
                  <w:tcW w:w="2865" w:type="dxa"/>
                  <w:vAlign w:val="center"/>
                </w:tcPr>
                <w:p w14:paraId="3B556F65">
                  <w:pPr>
                    <w:pStyle w:val="59"/>
                    <w:rPr>
                      <w:rFonts w:cs="Times New Roman"/>
                    </w:rPr>
                  </w:pPr>
                  <w:r>
                    <w:rPr>
                      <w:rFonts w:cs="Times New Roman"/>
                    </w:rPr>
                    <w:t>5.5≤pH≤8.5</w:t>
                  </w:r>
                </w:p>
              </w:tc>
              <w:tc>
                <w:tcPr>
                  <w:tcW w:w="1330" w:type="dxa"/>
                  <w:vAlign w:val="center"/>
                </w:tcPr>
                <w:p w14:paraId="579F4903">
                  <w:pPr>
                    <w:widowControl/>
                    <w:jc w:val="center"/>
                    <w:textAlignment w:val="center"/>
                    <w:rPr>
                      <w:kern w:val="0"/>
                      <w:sz w:val="21"/>
                      <w:szCs w:val="21"/>
                      <w:lang w:bidi="ar"/>
                    </w:rPr>
                  </w:pPr>
                  <w:r>
                    <w:rPr>
                      <w:rFonts w:hint="eastAsia"/>
                      <w:kern w:val="0"/>
                      <w:sz w:val="21"/>
                      <w:szCs w:val="21"/>
                      <w:lang w:bidi="ar"/>
                    </w:rPr>
                    <w:t>无酸化或碱化</w:t>
                  </w:r>
                </w:p>
              </w:tc>
            </w:tr>
            <w:tr w14:paraId="28D926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1315" w:type="dxa"/>
                  <w:vMerge w:val="continue"/>
                  <w:vAlign w:val="center"/>
                </w:tcPr>
                <w:p w14:paraId="442B6A2B">
                  <w:pPr>
                    <w:widowControl/>
                    <w:jc w:val="center"/>
                    <w:textAlignment w:val="center"/>
                    <w:rPr>
                      <w:sz w:val="21"/>
                      <w:szCs w:val="21"/>
                      <w:lang w:bidi="ar"/>
                    </w:rPr>
                  </w:pPr>
                </w:p>
              </w:tc>
              <w:tc>
                <w:tcPr>
                  <w:tcW w:w="945" w:type="dxa"/>
                  <w:vMerge w:val="continue"/>
                  <w:vAlign w:val="center"/>
                </w:tcPr>
                <w:p w14:paraId="5094C79D">
                  <w:pPr>
                    <w:widowControl/>
                    <w:jc w:val="center"/>
                    <w:textAlignment w:val="center"/>
                    <w:rPr>
                      <w:sz w:val="21"/>
                      <w:szCs w:val="21"/>
                      <w:lang w:bidi="ar"/>
                    </w:rPr>
                  </w:pPr>
                </w:p>
              </w:tc>
              <w:tc>
                <w:tcPr>
                  <w:tcW w:w="945" w:type="dxa"/>
                  <w:vAlign w:val="center"/>
                </w:tcPr>
                <w:p w14:paraId="76BAC3A0">
                  <w:pPr>
                    <w:widowControl/>
                    <w:jc w:val="center"/>
                    <w:textAlignment w:val="center"/>
                    <w:rPr>
                      <w:sz w:val="21"/>
                      <w:szCs w:val="21"/>
                    </w:rPr>
                  </w:pPr>
                  <w:r>
                    <w:rPr>
                      <w:rFonts w:hint="eastAsia"/>
                      <w:kern w:val="0"/>
                      <w:sz w:val="21"/>
                      <w:szCs w:val="21"/>
                      <w:lang w:bidi="ar"/>
                    </w:rPr>
                    <w:t>全盐量</w:t>
                  </w:r>
                </w:p>
              </w:tc>
              <w:tc>
                <w:tcPr>
                  <w:tcW w:w="690" w:type="dxa"/>
                  <w:vAlign w:val="center"/>
                </w:tcPr>
                <w:p w14:paraId="75EFB90C">
                  <w:pPr>
                    <w:adjustRightInd w:val="0"/>
                    <w:jc w:val="center"/>
                    <w:rPr>
                      <w:bCs/>
                      <w:kern w:val="0"/>
                      <w:sz w:val="21"/>
                      <w:szCs w:val="21"/>
                    </w:rPr>
                  </w:pPr>
                  <w:r>
                    <w:rPr>
                      <w:bCs/>
                      <w:sz w:val="21"/>
                      <w:szCs w:val="21"/>
                      <w:lang w:bidi="ar"/>
                    </w:rPr>
                    <w:t>g/kg</w:t>
                  </w:r>
                </w:p>
              </w:tc>
              <w:tc>
                <w:tcPr>
                  <w:tcW w:w="915" w:type="dxa"/>
                  <w:vAlign w:val="center"/>
                </w:tcPr>
                <w:p w14:paraId="089AFF2B">
                  <w:pPr>
                    <w:widowControl/>
                    <w:jc w:val="center"/>
                    <w:textAlignment w:val="center"/>
                    <w:rPr>
                      <w:kern w:val="0"/>
                      <w:sz w:val="21"/>
                      <w:szCs w:val="21"/>
                      <w:lang w:bidi="ar"/>
                    </w:rPr>
                  </w:pPr>
                  <w:r>
                    <w:rPr>
                      <w:kern w:val="0"/>
                      <w:sz w:val="21"/>
                      <w:szCs w:val="21"/>
                      <w:lang w:bidi="ar"/>
                    </w:rPr>
                    <w:t>1.11</w:t>
                  </w:r>
                </w:p>
              </w:tc>
              <w:tc>
                <w:tcPr>
                  <w:tcW w:w="2865" w:type="dxa"/>
                  <w:vAlign w:val="center"/>
                </w:tcPr>
                <w:p w14:paraId="3D3BC733">
                  <w:pPr>
                    <w:pStyle w:val="59"/>
                    <w:rPr>
                      <w:rFonts w:cs="Times New Roman"/>
                    </w:rPr>
                  </w:pPr>
                  <w:r>
                    <w:rPr>
                      <w:rFonts w:hint="eastAsia" w:cs="Times New Roman"/>
                    </w:rPr>
                    <w:t>滨海、半湿润和半干旱地区：1≤土壤含盐量（SSC）&lt;2</w:t>
                  </w:r>
                </w:p>
              </w:tc>
              <w:tc>
                <w:tcPr>
                  <w:tcW w:w="1330" w:type="dxa"/>
                  <w:vAlign w:val="center"/>
                </w:tcPr>
                <w:p w14:paraId="3955BA4E">
                  <w:pPr>
                    <w:widowControl/>
                    <w:jc w:val="center"/>
                    <w:textAlignment w:val="center"/>
                    <w:rPr>
                      <w:kern w:val="0"/>
                      <w:sz w:val="21"/>
                      <w:szCs w:val="21"/>
                      <w:lang w:bidi="ar"/>
                    </w:rPr>
                  </w:pPr>
                  <w:r>
                    <w:rPr>
                      <w:rFonts w:hint="eastAsia"/>
                      <w:kern w:val="0"/>
                      <w:sz w:val="21"/>
                      <w:szCs w:val="21"/>
                      <w:lang w:bidi="ar"/>
                    </w:rPr>
                    <w:t>轻度盐化</w:t>
                  </w:r>
                </w:p>
              </w:tc>
            </w:tr>
          </w:tbl>
          <w:p w14:paraId="2DB2E9A8">
            <w:pPr>
              <w:pStyle w:val="7"/>
              <w:rPr>
                <w:rFonts w:cs="Times New Roman"/>
              </w:rPr>
            </w:pPr>
            <w:r>
              <w:rPr>
                <w:rFonts w:hint="eastAsia" w:cs="Times New Roman"/>
              </w:rPr>
              <w:t xml:space="preserve">表3- </w:t>
            </w:r>
            <w:r>
              <w:rPr>
                <w:rFonts w:cs="Times New Roman"/>
              </w:rPr>
              <w:fldChar w:fldCharType="begin"/>
            </w:r>
            <w:r>
              <w:rPr>
                <w:rFonts w:hint="eastAsia" w:cs="Times New Roman"/>
              </w:rPr>
              <w:instrText xml:space="preserve"> SEQ 表3- \* ARABIC </w:instrText>
            </w:r>
            <w:r>
              <w:rPr>
                <w:rFonts w:cs="Times New Roman"/>
              </w:rPr>
              <w:fldChar w:fldCharType="separate"/>
            </w:r>
            <w:r>
              <w:rPr>
                <w:rFonts w:hint="eastAsia" w:cs="Times New Roman"/>
              </w:rPr>
              <w:t>13</w:t>
            </w:r>
            <w:r>
              <w:rPr>
                <w:rFonts w:cs="Times New Roman"/>
              </w:rPr>
              <w:fldChar w:fldCharType="end"/>
            </w:r>
            <w:r>
              <w:rPr>
                <w:rFonts w:hint="eastAsia" w:cs="Times New Roman"/>
              </w:rPr>
              <w:t xml:space="preserve">  沉积物评价结果</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911"/>
              <w:gridCol w:w="1151"/>
              <w:gridCol w:w="750"/>
              <w:gridCol w:w="1773"/>
              <w:gridCol w:w="1800"/>
              <w:gridCol w:w="1310"/>
              <w:gridCol w:w="1310"/>
            </w:tblGrid>
            <w:tr w14:paraId="1087E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tblHeader/>
                <w:jc w:val="center"/>
              </w:trPr>
              <w:tc>
                <w:tcPr>
                  <w:tcW w:w="911" w:type="dxa"/>
                  <w:vMerge w:val="restart"/>
                  <w:vAlign w:val="center"/>
                </w:tcPr>
                <w:p w14:paraId="43BAA1AE">
                  <w:pPr>
                    <w:pStyle w:val="24"/>
                    <w:adjustRightInd w:val="0"/>
                    <w:spacing w:beforeAutospacing="0" w:afterAutospacing="0"/>
                    <w:jc w:val="center"/>
                    <w:rPr>
                      <w:b/>
                      <w:sz w:val="21"/>
                      <w:szCs w:val="21"/>
                    </w:rPr>
                  </w:pPr>
                  <w:r>
                    <w:rPr>
                      <w:rFonts w:hint="eastAsia"/>
                      <w:b/>
                      <w:sz w:val="21"/>
                      <w:szCs w:val="21"/>
                    </w:rPr>
                    <w:t>采样日期</w:t>
                  </w:r>
                </w:p>
              </w:tc>
              <w:tc>
                <w:tcPr>
                  <w:tcW w:w="1151" w:type="dxa"/>
                  <w:vMerge w:val="restart"/>
                  <w:vAlign w:val="center"/>
                </w:tcPr>
                <w:p w14:paraId="69D96D45">
                  <w:pPr>
                    <w:pStyle w:val="24"/>
                    <w:adjustRightInd w:val="0"/>
                    <w:spacing w:beforeAutospacing="0" w:afterAutospacing="0"/>
                    <w:jc w:val="center"/>
                    <w:rPr>
                      <w:b/>
                      <w:sz w:val="21"/>
                      <w:szCs w:val="21"/>
                    </w:rPr>
                  </w:pPr>
                  <w:r>
                    <w:rPr>
                      <w:rFonts w:hint="eastAsia"/>
                      <w:b/>
                      <w:sz w:val="21"/>
                      <w:szCs w:val="21"/>
                    </w:rPr>
                    <w:t>检测项目</w:t>
                  </w:r>
                </w:p>
              </w:tc>
              <w:tc>
                <w:tcPr>
                  <w:tcW w:w="750" w:type="dxa"/>
                  <w:vMerge w:val="restart"/>
                  <w:vAlign w:val="center"/>
                </w:tcPr>
                <w:p w14:paraId="5541E0D5">
                  <w:pPr>
                    <w:pStyle w:val="24"/>
                    <w:adjustRightInd w:val="0"/>
                    <w:spacing w:beforeAutospacing="0" w:afterAutospacing="0"/>
                    <w:jc w:val="center"/>
                    <w:rPr>
                      <w:b/>
                      <w:sz w:val="21"/>
                      <w:szCs w:val="21"/>
                    </w:rPr>
                  </w:pPr>
                  <w:r>
                    <w:rPr>
                      <w:rFonts w:hint="eastAsia"/>
                      <w:b/>
                      <w:sz w:val="21"/>
                      <w:szCs w:val="21"/>
                    </w:rPr>
                    <w:t>单位</w:t>
                  </w:r>
                </w:p>
              </w:tc>
              <w:tc>
                <w:tcPr>
                  <w:tcW w:w="3573" w:type="dxa"/>
                  <w:gridSpan w:val="2"/>
                  <w:vAlign w:val="center"/>
                </w:tcPr>
                <w:p w14:paraId="5B5B3361">
                  <w:pPr>
                    <w:pStyle w:val="24"/>
                    <w:adjustRightInd w:val="0"/>
                    <w:spacing w:beforeAutospacing="0" w:afterAutospacing="0"/>
                    <w:jc w:val="center"/>
                    <w:rPr>
                      <w:b/>
                      <w:sz w:val="21"/>
                      <w:szCs w:val="21"/>
                    </w:rPr>
                  </w:pPr>
                  <w:r>
                    <w:rPr>
                      <w:rFonts w:hint="eastAsia"/>
                      <w:b/>
                      <w:sz w:val="21"/>
                      <w:szCs w:val="21"/>
                    </w:rPr>
                    <w:t>检测结果</w:t>
                  </w:r>
                </w:p>
              </w:tc>
              <w:tc>
                <w:tcPr>
                  <w:tcW w:w="1310" w:type="dxa"/>
                  <w:vMerge w:val="restart"/>
                  <w:vAlign w:val="center"/>
                </w:tcPr>
                <w:p w14:paraId="54CEEE92">
                  <w:pPr>
                    <w:pStyle w:val="24"/>
                    <w:adjustRightInd w:val="0"/>
                    <w:spacing w:beforeAutospacing="0" w:afterAutospacing="0"/>
                    <w:jc w:val="center"/>
                    <w:rPr>
                      <w:b/>
                      <w:sz w:val="21"/>
                      <w:szCs w:val="21"/>
                    </w:rPr>
                  </w:pPr>
                  <w:r>
                    <w:rPr>
                      <w:rFonts w:hint="eastAsia"/>
                      <w:b/>
                      <w:sz w:val="21"/>
                      <w:szCs w:val="21"/>
                    </w:rPr>
                    <w:t>标准限值</w:t>
                  </w:r>
                </w:p>
              </w:tc>
              <w:tc>
                <w:tcPr>
                  <w:tcW w:w="1310" w:type="dxa"/>
                  <w:vMerge w:val="restart"/>
                  <w:vAlign w:val="center"/>
                </w:tcPr>
                <w:p w14:paraId="21A34B2E">
                  <w:pPr>
                    <w:pStyle w:val="24"/>
                    <w:adjustRightInd w:val="0"/>
                    <w:spacing w:beforeAutospacing="0" w:afterAutospacing="0"/>
                    <w:jc w:val="center"/>
                    <w:rPr>
                      <w:b/>
                      <w:sz w:val="21"/>
                      <w:szCs w:val="21"/>
                    </w:rPr>
                  </w:pPr>
                  <w:r>
                    <w:rPr>
                      <w:rFonts w:hint="eastAsia"/>
                      <w:b/>
                      <w:sz w:val="21"/>
                      <w:szCs w:val="21"/>
                    </w:rPr>
                    <w:t>达标情况</w:t>
                  </w:r>
                </w:p>
              </w:tc>
            </w:tr>
            <w:tr w14:paraId="7730B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tblHeader/>
                <w:jc w:val="center"/>
              </w:trPr>
              <w:tc>
                <w:tcPr>
                  <w:tcW w:w="911" w:type="dxa"/>
                  <w:vMerge w:val="continue"/>
                  <w:vAlign w:val="center"/>
                </w:tcPr>
                <w:p w14:paraId="49763A28">
                  <w:pPr>
                    <w:pStyle w:val="24"/>
                    <w:adjustRightInd w:val="0"/>
                    <w:spacing w:beforeAutospacing="0" w:afterAutospacing="0"/>
                    <w:jc w:val="center"/>
                    <w:rPr>
                      <w:b/>
                      <w:sz w:val="21"/>
                      <w:szCs w:val="21"/>
                    </w:rPr>
                  </w:pPr>
                </w:p>
              </w:tc>
              <w:tc>
                <w:tcPr>
                  <w:tcW w:w="1151" w:type="dxa"/>
                  <w:vMerge w:val="continue"/>
                  <w:vAlign w:val="center"/>
                </w:tcPr>
                <w:p w14:paraId="57A1EF2A">
                  <w:pPr>
                    <w:pStyle w:val="24"/>
                    <w:adjustRightInd w:val="0"/>
                    <w:spacing w:beforeAutospacing="0" w:afterAutospacing="0"/>
                    <w:jc w:val="center"/>
                    <w:rPr>
                      <w:b/>
                      <w:sz w:val="21"/>
                      <w:szCs w:val="21"/>
                    </w:rPr>
                  </w:pPr>
                </w:p>
              </w:tc>
              <w:tc>
                <w:tcPr>
                  <w:tcW w:w="750" w:type="dxa"/>
                  <w:vMerge w:val="continue"/>
                  <w:vAlign w:val="center"/>
                </w:tcPr>
                <w:p w14:paraId="7A6107E7">
                  <w:pPr>
                    <w:pStyle w:val="24"/>
                    <w:adjustRightInd w:val="0"/>
                    <w:spacing w:beforeAutospacing="0" w:afterAutospacing="0"/>
                    <w:jc w:val="center"/>
                    <w:rPr>
                      <w:b/>
                      <w:sz w:val="21"/>
                      <w:szCs w:val="21"/>
                    </w:rPr>
                  </w:pPr>
                </w:p>
              </w:tc>
              <w:tc>
                <w:tcPr>
                  <w:tcW w:w="1773" w:type="dxa"/>
                  <w:vAlign w:val="center"/>
                </w:tcPr>
                <w:p w14:paraId="77792D77">
                  <w:pPr>
                    <w:adjustRightInd w:val="0"/>
                    <w:jc w:val="center"/>
                    <w:rPr>
                      <w:b/>
                      <w:sz w:val="21"/>
                      <w:szCs w:val="21"/>
                    </w:rPr>
                  </w:pPr>
                  <w:r>
                    <w:rPr>
                      <w:b/>
                      <w:sz w:val="21"/>
                      <w:szCs w:val="21"/>
                    </w:rPr>
                    <w:fldChar w:fldCharType="begin"/>
                  </w:r>
                  <w:r>
                    <w:rPr>
                      <w:rFonts w:hint="eastAsia"/>
                      <w:b/>
                      <w:sz w:val="21"/>
                      <w:szCs w:val="21"/>
                    </w:rPr>
                    <w:instrText xml:space="preserve"> REF 沉积物1 \h \* MERGEFORMAT</w:instrText>
                  </w:r>
                  <w:r>
                    <w:rPr>
                      <w:b/>
                      <w:sz w:val="21"/>
                      <w:szCs w:val="21"/>
                    </w:rPr>
                    <w:fldChar w:fldCharType="separate"/>
                  </w:r>
                  <w:r>
                    <w:rPr>
                      <w:rFonts w:hint="eastAsia"/>
                      <w:b/>
                      <w:sz w:val="21"/>
                      <w:szCs w:val="21"/>
                    </w:rPr>
                    <w:t>1# 工程河段起点下游100m处</w:t>
                  </w:r>
                  <w:r>
                    <w:rPr>
                      <w:b/>
                      <w:sz w:val="21"/>
                      <w:szCs w:val="21"/>
                    </w:rPr>
                    <w:fldChar w:fldCharType="end"/>
                  </w:r>
                </w:p>
              </w:tc>
              <w:tc>
                <w:tcPr>
                  <w:tcW w:w="1800" w:type="dxa"/>
                  <w:vAlign w:val="center"/>
                </w:tcPr>
                <w:p w14:paraId="7ED21481">
                  <w:pPr>
                    <w:adjustRightInd w:val="0"/>
                    <w:jc w:val="center"/>
                    <w:rPr>
                      <w:b/>
                      <w:sz w:val="21"/>
                      <w:szCs w:val="21"/>
                    </w:rPr>
                  </w:pPr>
                  <w:r>
                    <w:rPr>
                      <w:b/>
                      <w:sz w:val="21"/>
                      <w:szCs w:val="21"/>
                    </w:rPr>
                    <w:fldChar w:fldCharType="begin"/>
                  </w:r>
                  <w:r>
                    <w:rPr>
                      <w:rFonts w:hint="eastAsia"/>
                      <w:b/>
                      <w:sz w:val="21"/>
                      <w:szCs w:val="21"/>
                    </w:rPr>
                    <w:instrText xml:space="preserve"> REF 沉积物2 \h \* MERGEFORMAT</w:instrText>
                  </w:r>
                  <w:r>
                    <w:rPr>
                      <w:b/>
                      <w:sz w:val="21"/>
                      <w:szCs w:val="21"/>
                    </w:rPr>
                    <w:fldChar w:fldCharType="separate"/>
                  </w:r>
                  <w:r>
                    <w:rPr>
                      <w:rFonts w:hint="eastAsia"/>
                      <w:b/>
                      <w:sz w:val="21"/>
                      <w:szCs w:val="21"/>
                    </w:rPr>
                    <w:t>2# 工程河段终点上游100m处</w:t>
                  </w:r>
                  <w:r>
                    <w:rPr>
                      <w:b/>
                      <w:sz w:val="21"/>
                      <w:szCs w:val="21"/>
                    </w:rPr>
                    <w:fldChar w:fldCharType="end"/>
                  </w:r>
                </w:p>
              </w:tc>
              <w:tc>
                <w:tcPr>
                  <w:tcW w:w="1310" w:type="dxa"/>
                  <w:vMerge w:val="continue"/>
                  <w:vAlign w:val="center"/>
                </w:tcPr>
                <w:p w14:paraId="5C6996D1">
                  <w:pPr>
                    <w:pStyle w:val="24"/>
                    <w:adjustRightInd w:val="0"/>
                    <w:spacing w:beforeAutospacing="0" w:afterAutospacing="0"/>
                    <w:jc w:val="center"/>
                    <w:rPr>
                      <w:b/>
                      <w:sz w:val="21"/>
                      <w:szCs w:val="21"/>
                    </w:rPr>
                  </w:pPr>
                </w:p>
              </w:tc>
              <w:tc>
                <w:tcPr>
                  <w:tcW w:w="1310" w:type="dxa"/>
                  <w:vMerge w:val="continue"/>
                  <w:vAlign w:val="center"/>
                </w:tcPr>
                <w:p w14:paraId="59CBB6CD">
                  <w:pPr>
                    <w:pStyle w:val="24"/>
                    <w:adjustRightInd w:val="0"/>
                    <w:spacing w:beforeAutospacing="0" w:afterAutospacing="0"/>
                    <w:jc w:val="center"/>
                    <w:rPr>
                      <w:b/>
                      <w:sz w:val="21"/>
                      <w:szCs w:val="21"/>
                    </w:rPr>
                  </w:pPr>
                </w:p>
              </w:tc>
            </w:tr>
            <w:tr w14:paraId="104534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restart"/>
                  <w:vAlign w:val="center"/>
                </w:tcPr>
                <w:p w14:paraId="242A84BE">
                  <w:pPr>
                    <w:pStyle w:val="59"/>
                    <w:rPr>
                      <w:rFonts w:cs="Times New Roman"/>
                    </w:rPr>
                  </w:pPr>
                  <w:r>
                    <w:rPr>
                      <w:rFonts w:cs="Times New Roman"/>
                    </w:rPr>
                    <w:fldChar w:fldCharType="begin"/>
                  </w:r>
                  <w:r>
                    <w:rPr>
                      <w:rFonts w:hint="eastAsia" w:cs="Times New Roman"/>
                    </w:rPr>
                    <w:instrText xml:space="preserve"> REF 日期 \h \* MERGEFORMAT</w:instrText>
                  </w:r>
                  <w:r>
                    <w:rPr>
                      <w:rFonts w:cs="Times New Roman"/>
                    </w:rPr>
                    <w:fldChar w:fldCharType="separate"/>
                  </w:r>
                  <w:r>
                    <w:rPr>
                      <w:rFonts w:hint="eastAsia" w:cs="Times New Roman"/>
                    </w:rPr>
                    <w:t>6月19日</w:t>
                  </w:r>
                  <w:r>
                    <w:rPr>
                      <w:rFonts w:cs="Times New Roman"/>
                    </w:rPr>
                    <w:fldChar w:fldCharType="end"/>
                  </w:r>
                </w:p>
              </w:tc>
              <w:tc>
                <w:tcPr>
                  <w:tcW w:w="1151" w:type="dxa"/>
                  <w:vAlign w:val="center"/>
                </w:tcPr>
                <w:p w14:paraId="0E332FCA">
                  <w:pPr>
                    <w:pStyle w:val="59"/>
                    <w:rPr>
                      <w:rFonts w:cs="Times New Roman"/>
                    </w:rPr>
                  </w:pPr>
                  <w:r>
                    <w:rPr>
                      <w:rFonts w:cs="Times New Roman"/>
                    </w:rPr>
                    <w:t>pH</w:t>
                  </w:r>
                </w:p>
              </w:tc>
              <w:tc>
                <w:tcPr>
                  <w:tcW w:w="750" w:type="dxa"/>
                  <w:vAlign w:val="center"/>
                </w:tcPr>
                <w:p w14:paraId="5CBD05CA">
                  <w:pPr>
                    <w:pStyle w:val="59"/>
                    <w:rPr>
                      <w:rFonts w:cs="Times New Roman"/>
                    </w:rPr>
                  </w:pPr>
                  <w:r>
                    <w:rPr>
                      <w:rFonts w:hint="eastAsia" w:cs="Times New Roman"/>
                    </w:rPr>
                    <w:t>无量纲</w:t>
                  </w:r>
                </w:p>
              </w:tc>
              <w:tc>
                <w:tcPr>
                  <w:tcW w:w="1773" w:type="dxa"/>
                  <w:vAlign w:val="center"/>
                </w:tcPr>
                <w:p w14:paraId="5A93F311">
                  <w:pPr>
                    <w:pStyle w:val="59"/>
                    <w:rPr>
                      <w:rFonts w:cs="Times New Roman"/>
                    </w:rPr>
                  </w:pPr>
                  <w:r>
                    <w:rPr>
                      <w:rFonts w:cs="Times New Roman"/>
                    </w:rPr>
                    <w:t>6.95</w:t>
                  </w:r>
                </w:p>
              </w:tc>
              <w:tc>
                <w:tcPr>
                  <w:tcW w:w="1800" w:type="dxa"/>
                  <w:vAlign w:val="center"/>
                </w:tcPr>
                <w:p w14:paraId="78E0C776">
                  <w:pPr>
                    <w:pStyle w:val="59"/>
                    <w:rPr>
                      <w:rFonts w:cs="Times New Roman"/>
                    </w:rPr>
                  </w:pPr>
                  <w:r>
                    <w:rPr>
                      <w:rFonts w:cs="Times New Roman"/>
                    </w:rPr>
                    <w:t>7.07</w:t>
                  </w:r>
                </w:p>
              </w:tc>
              <w:tc>
                <w:tcPr>
                  <w:tcW w:w="1310" w:type="dxa"/>
                  <w:vAlign w:val="center"/>
                </w:tcPr>
                <w:p w14:paraId="6250F679">
                  <w:pPr>
                    <w:pStyle w:val="59"/>
                    <w:rPr>
                      <w:rFonts w:cs="Times New Roman"/>
                    </w:rPr>
                  </w:pPr>
                  <w:r>
                    <w:rPr>
                      <w:rFonts w:cs="Times New Roman"/>
                    </w:rPr>
                    <w:t>/</w:t>
                  </w:r>
                </w:p>
              </w:tc>
              <w:tc>
                <w:tcPr>
                  <w:tcW w:w="1310" w:type="dxa"/>
                  <w:vAlign w:val="center"/>
                </w:tcPr>
                <w:p w14:paraId="570C5C7E">
                  <w:pPr>
                    <w:pStyle w:val="59"/>
                    <w:rPr>
                      <w:rFonts w:cs="Times New Roman"/>
                    </w:rPr>
                  </w:pPr>
                  <w:r>
                    <w:rPr>
                      <w:rFonts w:cs="Times New Roman"/>
                    </w:rPr>
                    <w:t>/</w:t>
                  </w:r>
                </w:p>
              </w:tc>
            </w:tr>
            <w:tr w14:paraId="30240E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49ED8E1C">
                  <w:pPr>
                    <w:pStyle w:val="59"/>
                    <w:rPr>
                      <w:rFonts w:cs="Times New Roman"/>
                    </w:rPr>
                  </w:pPr>
                </w:p>
              </w:tc>
              <w:tc>
                <w:tcPr>
                  <w:tcW w:w="1151" w:type="dxa"/>
                  <w:vAlign w:val="center"/>
                </w:tcPr>
                <w:p w14:paraId="3971A3E3">
                  <w:pPr>
                    <w:pStyle w:val="59"/>
                    <w:rPr>
                      <w:rFonts w:cs="Times New Roman"/>
                    </w:rPr>
                  </w:pPr>
                  <w:r>
                    <w:rPr>
                      <w:rFonts w:hint="eastAsia" w:cs="Times New Roman"/>
                    </w:rPr>
                    <w:t>镉（总镉）</w:t>
                  </w:r>
                </w:p>
              </w:tc>
              <w:tc>
                <w:tcPr>
                  <w:tcW w:w="750" w:type="dxa"/>
                  <w:vAlign w:val="center"/>
                </w:tcPr>
                <w:p w14:paraId="57A8FB87">
                  <w:pPr>
                    <w:pStyle w:val="59"/>
                    <w:rPr>
                      <w:rFonts w:cs="Times New Roman"/>
                    </w:rPr>
                  </w:pPr>
                  <w:r>
                    <w:rPr>
                      <w:rFonts w:cs="Times New Roman"/>
                    </w:rPr>
                    <w:t>mg/kg</w:t>
                  </w:r>
                </w:p>
              </w:tc>
              <w:tc>
                <w:tcPr>
                  <w:tcW w:w="1773" w:type="dxa"/>
                  <w:vAlign w:val="center"/>
                </w:tcPr>
                <w:p w14:paraId="08C64F80">
                  <w:pPr>
                    <w:pStyle w:val="59"/>
                    <w:rPr>
                      <w:rFonts w:cs="Times New Roman"/>
                    </w:rPr>
                  </w:pPr>
                  <w:r>
                    <w:rPr>
                      <w:rFonts w:cs="Times New Roman"/>
                    </w:rPr>
                    <w:t>0.24</w:t>
                  </w:r>
                </w:p>
              </w:tc>
              <w:tc>
                <w:tcPr>
                  <w:tcW w:w="1800" w:type="dxa"/>
                  <w:vAlign w:val="center"/>
                </w:tcPr>
                <w:p w14:paraId="3AE492BB">
                  <w:pPr>
                    <w:pStyle w:val="59"/>
                    <w:rPr>
                      <w:rFonts w:cs="Times New Roman"/>
                    </w:rPr>
                  </w:pPr>
                  <w:r>
                    <w:rPr>
                      <w:rFonts w:cs="Times New Roman"/>
                    </w:rPr>
                    <w:t>0.19</w:t>
                  </w:r>
                </w:p>
              </w:tc>
              <w:tc>
                <w:tcPr>
                  <w:tcW w:w="1310" w:type="dxa"/>
                  <w:vAlign w:val="center"/>
                </w:tcPr>
                <w:p w14:paraId="6DDDD05F">
                  <w:pPr>
                    <w:pStyle w:val="59"/>
                    <w:rPr>
                      <w:rFonts w:cs="Times New Roman"/>
                    </w:rPr>
                  </w:pPr>
                  <w:r>
                    <w:rPr>
                      <w:rFonts w:cs="Times New Roman"/>
                    </w:rPr>
                    <w:t>0.3</w:t>
                  </w:r>
                </w:p>
              </w:tc>
              <w:tc>
                <w:tcPr>
                  <w:tcW w:w="1310" w:type="dxa"/>
                  <w:vAlign w:val="center"/>
                </w:tcPr>
                <w:p w14:paraId="718FAE71">
                  <w:pPr>
                    <w:pStyle w:val="59"/>
                    <w:rPr>
                      <w:rFonts w:cs="Times New Roman"/>
                    </w:rPr>
                  </w:pPr>
                  <w:r>
                    <w:rPr>
                      <w:rFonts w:hint="eastAsia" w:cs="Times New Roman"/>
                    </w:rPr>
                    <w:t>达标</w:t>
                  </w:r>
                </w:p>
              </w:tc>
            </w:tr>
            <w:tr w14:paraId="578705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724C27AC">
                  <w:pPr>
                    <w:pStyle w:val="59"/>
                    <w:rPr>
                      <w:rFonts w:cs="Times New Roman"/>
                    </w:rPr>
                  </w:pPr>
                </w:p>
              </w:tc>
              <w:tc>
                <w:tcPr>
                  <w:tcW w:w="1151" w:type="dxa"/>
                  <w:vAlign w:val="center"/>
                </w:tcPr>
                <w:p w14:paraId="6E9AEB04">
                  <w:pPr>
                    <w:pStyle w:val="59"/>
                    <w:rPr>
                      <w:rFonts w:cs="Times New Roman"/>
                    </w:rPr>
                  </w:pPr>
                  <w:r>
                    <w:rPr>
                      <w:rFonts w:hint="eastAsia" w:cs="Times New Roman"/>
                    </w:rPr>
                    <w:t>铅（总铅）</w:t>
                  </w:r>
                </w:p>
              </w:tc>
              <w:tc>
                <w:tcPr>
                  <w:tcW w:w="750" w:type="dxa"/>
                  <w:vAlign w:val="center"/>
                </w:tcPr>
                <w:p w14:paraId="4836EA45">
                  <w:pPr>
                    <w:pStyle w:val="59"/>
                    <w:rPr>
                      <w:rFonts w:cs="Times New Roman"/>
                    </w:rPr>
                  </w:pPr>
                  <w:r>
                    <w:rPr>
                      <w:rFonts w:cs="Times New Roman"/>
                    </w:rPr>
                    <w:t>mg/kg</w:t>
                  </w:r>
                </w:p>
              </w:tc>
              <w:tc>
                <w:tcPr>
                  <w:tcW w:w="1773" w:type="dxa"/>
                  <w:vAlign w:val="center"/>
                </w:tcPr>
                <w:p w14:paraId="7DC62F9B">
                  <w:pPr>
                    <w:pStyle w:val="59"/>
                    <w:rPr>
                      <w:rFonts w:cs="Times New Roman"/>
                    </w:rPr>
                  </w:pPr>
                  <w:r>
                    <w:rPr>
                      <w:rFonts w:cs="Times New Roman"/>
                    </w:rPr>
                    <w:t>26</w:t>
                  </w:r>
                </w:p>
              </w:tc>
              <w:tc>
                <w:tcPr>
                  <w:tcW w:w="1800" w:type="dxa"/>
                  <w:vAlign w:val="center"/>
                </w:tcPr>
                <w:p w14:paraId="371D45A5">
                  <w:pPr>
                    <w:pStyle w:val="59"/>
                    <w:rPr>
                      <w:rFonts w:cs="Times New Roman"/>
                    </w:rPr>
                  </w:pPr>
                  <w:r>
                    <w:rPr>
                      <w:rFonts w:cs="Times New Roman"/>
                    </w:rPr>
                    <w:t>31</w:t>
                  </w:r>
                </w:p>
              </w:tc>
              <w:tc>
                <w:tcPr>
                  <w:tcW w:w="1310" w:type="dxa"/>
                  <w:vAlign w:val="center"/>
                </w:tcPr>
                <w:p w14:paraId="790599FD">
                  <w:pPr>
                    <w:pStyle w:val="59"/>
                    <w:rPr>
                      <w:rFonts w:cs="Times New Roman"/>
                    </w:rPr>
                  </w:pPr>
                  <w:r>
                    <w:rPr>
                      <w:rFonts w:cs="Times New Roman"/>
                    </w:rPr>
                    <w:t>120</w:t>
                  </w:r>
                </w:p>
              </w:tc>
              <w:tc>
                <w:tcPr>
                  <w:tcW w:w="1310" w:type="dxa"/>
                  <w:vAlign w:val="center"/>
                </w:tcPr>
                <w:p w14:paraId="66F170F3">
                  <w:pPr>
                    <w:pStyle w:val="59"/>
                    <w:rPr>
                      <w:rFonts w:cs="Times New Roman"/>
                    </w:rPr>
                  </w:pPr>
                  <w:r>
                    <w:rPr>
                      <w:rFonts w:hint="eastAsia" w:cs="Times New Roman"/>
                    </w:rPr>
                    <w:t>达标</w:t>
                  </w:r>
                </w:p>
              </w:tc>
            </w:tr>
            <w:tr w14:paraId="165BB6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71F6560C">
                  <w:pPr>
                    <w:pStyle w:val="59"/>
                    <w:rPr>
                      <w:rFonts w:cs="Times New Roman"/>
                    </w:rPr>
                  </w:pPr>
                </w:p>
              </w:tc>
              <w:tc>
                <w:tcPr>
                  <w:tcW w:w="1151" w:type="dxa"/>
                  <w:vAlign w:val="center"/>
                </w:tcPr>
                <w:p w14:paraId="124FFCA1">
                  <w:pPr>
                    <w:pStyle w:val="59"/>
                    <w:rPr>
                      <w:rFonts w:cs="Times New Roman"/>
                    </w:rPr>
                  </w:pPr>
                  <w:r>
                    <w:rPr>
                      <w:rFonts w:hint="eastAsia" w:cs="Times New Roman"/>
                    </w:rPr>
                    <w:t>铜（总铜）</w:t>
                  </w:r>
                </w:p>
              </w:tc>
              <w:tc>
                <w:tcPr>
                  <w:tcW w:w="750" w:type="dxa"/>
                  <w:vAlign w:val="center"/>
                </w:tcPr>
                <w:p w14:paraId="219B601E">
                  <w:pPr>
                    <w:pStyle w:val="59"/>
                    <w:rPr>
                      <w:rFonts w:cs="Times New Roman"/>
                    </w:rPr>
                  </w:pPr>
                  <w:r>
                    <w:rPr>
                      <w:rFonts w:cs="Times New Roman"/>
                    </w:rPr>
                    <w:t>mg/kg</w:t>
                  </w:r>
                </w:p>
              </w:tc>
              <w:tc>
                <w:tcPr>
                  <w:tcW w:w="1773" w:type="dxa"/>
                  <w:vAlign w:val="center"/>
                </w:tcPr>
                <w:p w14:paraId="60C31824">
                  <w:pPr>
                    <w:pStyle w:val="59"/>
                    <w:rPr>
                      <w:rFonts w:cs="Times New Roman"/>
                    </w:rPr>
                  </w:pPr>
                  <w:r>
                    <w:rPr>
                      <w:rFonts w:cs="Times New Roman"/>
                    </w:rPr>
                    <w:t>16</w:t>
                  </w:r>
                </w:p>
              </w:tc>
              <w:tc>
                <w:tcPr>
                  <w:tcW w:w="1800" w:type="dxa"/>
                  <w:vAlign w:val="center"/>
                </w:tcPr>
                <w:p w14:paraId="37821497">
                  <w:pPr>
                    <w:pStyle w:val="59"/>
                    <w:rPr>
                      <w:rFonts w:cs="Times New Roman"/>
                    </w:rPr>
                  </w:pPr>
                  <w:r>
                    <w:rPr>
                      <w:rFonts w:cs="Times New Roman"/>
                    </w:rPr>
                    <w:t>15</w:t>
                  </w:r>
                </w:p>
              </w:tc>
              <w:tc>
                <w:tcPr>
                  <w:tcW w:w="1310" w:type="dxa"/>
                  <w:vAlign w:val="center"/>
                </w:tcPr>
                <w:p w14:paraId="145CB3D5">
                  <w:pPr>
                    <w:pStyle w:val="59"/>
                    <w:rPr>
                      <w:rFonts w:cs="Times New Roman"/>
                    </w:rPr>
                  </w:pPr>
                  <w:r>
                    <w:rPr>
                      <w:rFonts w:cs="Times New Roman"/>
                    </w:rPr>
                    <w:t>100</w:t>
                  </w:r>
                </w:p>
              </w:tc>
              <w:tc>
                <w:tcPr>
                  <w:tcW w:w="1310" w:type="dxa"/>
                  <w:vAlign w:val="center"/>
                </w:tcPr>
                <w:p w14:paraId="436BB717">
                  <w:pPr>
                    <w:pStyle w:val="59"/>
                    <w:rPr>
                      <w:rFonts w:cs="Times New Roman"/>
                    </w:rPr>
                  </w:pPr>
                  <w:r>
                    <w:rPr>
                      <w:rFonts w:hint="eastAsia" w:cs="Times New Roman"/>
                    </w:rPr>
                    <w:t>达标</w:t>
                  </w:r>
                </w:p>
              </w:tc>
            </w:tr>
            <w:tr w14:paraId="0350C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577497AD">
                  <w:pPr>
                    <w:pStyle w:val="59"/>
                    <w:rPr>
                      <w:rFonts w:cs="Times New Roman"/>
                    </w:rPr>
                  </w:pPr>
                </w:p>
              </w:tc>
              <w:tc>
                <w:tcPr>
                  <w:tcW w:w="1151" w:type="dxa"/>
                  <w:vAlign w:val="center"/>
                </w:tcPr>
                <w:p w14:paraId="2EEB9F84">
                  <w:pPr>
                    <w:pStyle w:val="59"/>
                    <w:rPr>
                      <w:rFonts w:cs="Times New Roman"/>
                    </w:rPr>
                  </w:pPr>
                  <w:r>
                    <w:rPr>
                      <w:rFonts w:hint="eastAsia" w:cs="Times New Roman"/>
                    </w:rPr>
                    <w:t>镍（总镍）</w:t>
                  </w:r>
                </w:p>
              </w:tc>
              <w:tc>
                <w:tcPr>
                  <w:tcW w:w="750" w:type="dxa"/>
                  <w:vAlign w:val="center"/>
                </w:tcPr>
                <w:p w14:paraId="2053525D">
                  <w:pPr>
                    <w:pStyle w:val="59"/>
                    <w:rPr>
                      <w:rFonts w:cs="Times New Roman"/>
                    </w:rPr>
                  </w:pPr>
                  <w:r>
                    <w:rPr>
                      <w:rFonts w:cs="Times New Roman"/>
                    </w:rPr>
                    <w:t>mg/kg</w:t>
                  </w:r>
                </w:p>
              </w:tc>
              <w:tc>
                <w:tcPr>
                  <w:tcW w:w="1773" w:type="dxa"/>
                  <w:vAlign w:val="center"/>
                </w:tcPr>
                <w:p w14:paraId="378B713C">
                  <w:pPr>
                    <w:pStyle w:val="59"/>
                    <w:rPr>
                      <w:rFonts w:cs="Times New Roman"/>
                    </w:rPr>
                  </w:pPr>
                  <w:r>
                    <w:rPr>
                      <w:rFonts w:cs="Times New Roman"/>
                    </w:rPr>
                    <w:t>18</w:t>
                  </w:r>
                </w:p>
              </w:tc>
              <w:tc>
                <w:tcPr>
                  <w:tcW w:w="1800" w:type="dxa"/>
                  <w:vAlign w:val="center"/>
                </w:tcPr>
                <w:p w14:paraId="7B83CE27">
                  <w:pPr>
                    <w:pStyle w:val="59"/>
                    <w:rPr>
                      <w:rFonts w:cs="Times New Roman"/>
                    </w:rPr>
                  </w:pPr>
                  <w:r>
                    <w:rPr>
                      <w:rFonts w:cs="Times New Roman"/>
                    </w:rPr>
                    <w:t>29</w:t>
                  </w:r>
                </w:p>
              </w:tc>
              <w:tc>
                <w:tcPr>
                  <w:tcW w:w="1310" w:type="dxa"/>
                  <w:vAlign w:val="center"/>
                </w:tcPr>
                <w:p w14:paraId="0A88B9B0">
                  <w:pPr>
                    <w:pStyle w:val="59"/>
                    <w:rPr>
                      <w:rFonts w:cs="Times New Roman"/>
                    </w:rPr>
                  </w:pPr>
                  <w:r>
                    <w:rPr>
                      <w:rFonts w:cs="Times New Roman"/>
                    </w:rPr>
                    <w:t>100</w:t>
                  </w:r>
                </w:p>
              </w:tc>
              <w:tc>
                <w:tcPr>
                  <w:tcW w:w="1310" w:type="dxa"/>
                  <w:vAlign w:val="center"/>
                </w:tcPr>
                <w:p w14:paraId="3A4850CE">
                  <w:pPr>
                    <w:pStyle w:val="59"/>
                    <w:rPr>
                      <w:rFonts w:cs="Times New Roman"/>
                    </w:rPr>
                  </w:pPr>
                  <w:r>
                    <w:rPr>
                      <w:rFonts w:hint="eastAsia" w:cs="Times New Roman"/>
                    </w:rPr>
                    <w:t>达标</w:t>
                  </w:r>
                </w:p>
              </w:tc>
            </w:tr>
            <w:tr w14:paraId="174251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4DEFFDDB">
                  <w:pPr>
                    <w:pStyle w:val="59"/>
                    <w:rPr>
                      <w:rFonts w:cs="Times New Roman"/>
                    </w:rPr>
                  </w:pPr>
                </w:p>
              </w:tc>
              <w:tc>
                <w:tcPr>
                  <w:tcW w:w="1151" w:type="dxa"/>
                  <w:vAlign w:val="center"/>
                </w:tcPr>
                <w:p w14:paraId="0AEA8C63">
                  <w:pPr>
                    <w:pStyle w:val="59"/>
                    <w:rPr>
                      <w:rFonts w:cs="Times New Roman"/>
                    </w:rPr>
                  </w:pPr>
                  <w:r>
                    <w:rPr>
                      <w:rFonts w:hint="eastAsia" w:cs="Times New Roman"/>
                    </w:rPr>
                    <w:t>锌（总锌）</w:t>
                  </w:r>
                </w:p>
              </w:tc>
              <w:tc>
                <w:tcPr>
                  <w:tcW w:w="750" w:type="dxa"/>
                  <w:vAlign w:val="center"/>
                </w:tcPr>
                <w:p w14:paraId="63186391">
                  <w:pPr>
                    <w:pStyle w:val="59"/>
                    <w:rPr>
                      <w:rFonts w:cs="Times New Roman"/>
                    </w:rPr>
                  </w:pPr>
                  <w:r>
                    <w:rPr>
                      <w:rFonts w:cs="Times New Roman"/>
                    </w:rPr>
                    <w:t>mg/kg</w:t>
                  </w:r>
                </w:p>
              </w:tc>
              <w:tc>
                <w:tcPr>
                  <w:tcW w:w="1773" w:type="dxa"/>
                  <w:vAlign w:val="center"/>
                </w:tcPr>
                <w:p w14:paraId="39B094F5">
                  <w:pPr>
                    <w:pStyle w:val="59"/>
                    <w:rPr>
                      <w:rFonts w:cs="Times New Roman"/>
                    </w:rPr>
                  </w:pPr>
                  <w:r>
                    <w:rPr>
                      <w:rFonts w:cs="Times New Roman"/>
                    </w:rPr>
                    <w:t>73</w:t>
                  </w:r>
                </w:p>
              </w:tc>
              <w:tc>
                <w:tcPr>
                  <w:tcW w:w="1800" w:type="dxa"/>
                  <w:vAlign w:val="center"/>
                </w:tcPr>
                <w:p w14:paraId="464F4854">
                  <w:pPr>
                    <w:pStyle w:val="59"/>
                    <w:rPr>
                      <w:rFonts w:cs="Times New Roman"/>
                    </w:rPr>
                  </w:pPr>
                  <w:r>
                    <w:rPr>
                      <w:rFonts w:cs="Times New Roman"/>
                    </w:rPr>
                    <w:t>98</w:t>
                  </w:r>
                </w:p>
              </w:tc>
              <w:tc>
                <w:tcPr>
                  <w:tcW w:w="1310" w:type="dxa"/>
                  <w:vAlign w:val="center"/>
                </w:tcPr>
                <w:p w14:paraId="6A96A9BC">
                  <w:pPr>
                    <w:pStyle w:val="59"/>
                    <w:rPr>
                      <w:rFonts w:cs="Times New Roman"/>
                    </w:rPr>
                  </w:pPr>
                  <w:r>
                    <w:rPr>
                      <w:rFonts w:cs="Times New Roman"/>
                    </w:rPr>
                    <w:t>250</w:t>
                  </w:r>
                </w:p>
              </w:tc>
              <w:tc>
                <w:tcPr>
                  <w:tcW w:w="1310" w:type="dxa"/>
                  <w:vAlign w:val="center"/>
                </w:tcPr>
                <w:p w14:paraId="30FA8EBA">
                  <w:pPr>
                    <w:pStyle w:val="59"/>
                    <w:rPr>
                      <w:rFonts w:cs="Times New Roman"/>
                    </w:rPr>
                  </w:pPr>
                  <w:r>
                    <w:rPr>
                      <w:rFonts w:hint="eastAsia" w:cs="Times New Roman"/>
                    </w:rPr>
                    <w:t>达标</w:t>
                  </w:r>
                </w:p>
              </w:tc>
            </w:tr>
            <w:tr w14:paraId="1DD881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664EFC6B">
                  <w:pPr>
                    <w:pStyle w:val="59"/>
                    <w:rPr>
                      <w:rFonts w:cs="Times New Roman"/>
                    </w:rPr>
                  </w:pPr>
                </w:p>
              </w:tc>
              <w:tc>
                <w:tcPr>
                  <w:tcW w:w="1151" w:type="dxa"/>
                  <w:vAlign w:val="center"/>
                </w:tcPr>
                <w:p w14:paraId="7F367B98">
                  <w:pPr>
                    <w:pStyle w:val="59"/>
                    <w:rPr>
                      <w:rFonts w:cs="Times New Roman"/>
                    </w:rPr>
                  </w:pPr>
                  <w:r>
                    <w:rPr>
                      <w:rFonts w:hint="eastAsia" w:cs="Times New Roman"/>
                    </w:rPr>
                    <w:t>铬（总铬）</w:t>
                  </w:r>
                </w:p>
              </w:tc>
              <w:tc>
                <w:tcPr>
                  <w:tcW w:w="750" w:type="dxa"/>
                  <w:vAlign w:val="center"/>
                </w:tcPr>
                <w:p w14:paraId="6830778B">
                  <w:pPr>
                    <w:pStyle w:val="59"/>
                    <w:rPr>
                      <w:rFonts w:cs="Times New Roman"/>
                    </w:rPr>
                  </w:pPr>
                  <w:r>
                    <w:rPr>
                      <w:rFonts w:cs="Times New Roman"/>
                    </w:rPr>
                    <w:t>mg/kg</w:t>
                  </w:r>
                </w:p>
              </w:tc>
              <w:tc>
                <w:tcPr>
                  <w:tcW w:w="1773" w:type="dxa"/>
                  <w:vAlign w:val="center"/>
                </w:tcPr>
                <w:p w14:paraId="2666FD1E">
                  <w:pPr>
                    <w:pStyle w:val="59"/>
                    <w:rPr>
                      <w:rFonts w:cs="Times New Roman"/>
                    </w:rPr>
                  </w:pPr>
                  <w:r>
                    <w:rPr>
                      <w:rFonts w:cs="Times New Roman"/>
                    </w:rPr>
                    <w:t>108</w:t>
                  </w:r>
                </w:p>
              </w:tc>
              <w:tc>
                <w:tcPr>
                  <w:tcW w:w="1800" w:type="dxa"/>
                  <w:vAlign w:val="center"/>
                </w:tcPr>
                <w:p w14:paraId="580937C5">
                  <w:pPr>
                    <w:pStyle w:val="59"/>
                    <w:rPr>
                      <w:rFonts w:cs="Times New Roman"/>
                    </w:rPr>
                  </w:pPr>
                  <w:r>
                    <w:rPr>
                      <w:rFonts w:cs="Times New Roman"/>
                    </w:rPr>
                    <w:t>89</w:t>
                  </w:r>
                </w:p>
              </w:tc>
              <w:tc>
                <w:tcPr>
                  <w:tcW w:w="1310" w:type="dxa"/>
                  <w:vAlign w:val="center"/>
                </w:tcPr>
                <w:p w14:paraId="74AD7288">
                  <w:pPr>
                    <w:pStyle w:val="59"/>
                    <w:rPr>
                      <w:rFonts w:cs="Times New Roman"/>
                    </w:rPr>
                  </w:pPr>
                  <w:r>
                    <w:rPr>
                      <w:rFonts w:cs="Times New Roman"/>
                    </w:rPr>
                    <w:t>200</w:t>
                  </w:r>
                </w:p>
              </w:tc>
              <w:tc>
                <w:tcPr>
                  <w:tcW w:w="1310" w:type="dxa"/>
                  <w:vAlign w:val="center"/>
                </w:tcPr>
                <w:p w14:paraId="3D0FAFD0">
                  <w:pPr>
                    <w:pStyle w:val="59"/>
                    <w:rPr>
                      <w:rFonts w:cs="Times New Roman"/>
                    </w:rPr>
                  </w:pPr>
                  <w:r>
                    <w:rPr>
                      <w:rFonts w:hint="eastAsia" w:cs="Times New Roman"/>
                    </w:rPr>
                    <w:t>达标</w:t>
                  </w:r>
                </w:p>
              </w:tc>
            </w:tr>
            <w:tr w14:paraId="18E40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15E620ED">
                  <w:pPr>
                    <w:pStyle w:val="59"/>
                    <w:rPr>
                      <w:rFonts w:cs="Times New Roman"/>
                    </w:rPr>
                  </w:pPr>
                </w:p>
              </w:tc>
              <w:tc>
                <w:tcPr>
                  <w:tcW w:w="1151" w:type="dxa"/>
                  <w:vAlign w:val="center"/>
                </w:tcPr>
                <w:p w14:paraId="3889DA6C">
                  <w:pPr>
                    <w:pStyle w:val="59"/>
                    <w:rPr>
                      <w:rFonts w:cs="Times New Roman"/>
                    </w:rPr>
                  </w:pPr>
                  <w:r>
                    <w:rPr>
                      <w:rFonts w:hint="eastAsia" w:cs="Times New Roman"/>
                    </w:rPr>
                    <w:t>汞（总汞）</w:t>
                  </w:r>
                </w:p>
              </w:tc>
              <w:tc>
                <w:tcPr>
                  <w:tcW w:w="750" w:type="dxa"/>
                  <w:vAlign w:val="center"/>
                </w:tcPr>
                <w:p w14:paraId="1B8D2F2A">
                  <w:pPr>
                    <w:pStyle w:val="59"/>
                    <w:rPr>
                      <w:rFonts w:cs="Times New Roman"/>
                    </w:rPr>
                  </w:pPr>
                  <w:r>
                    <w:rPr>
                      <w:rFonts w:cs="Times New Roman"/>
                    </w:rPr>
                    <w:t>mg/kg</w:t>
                  </w:r>
                </w:p>
              </w:tc>
              <w:tc>
                <w:tcPr>
                  <w:tcW w:w="1773" w:type="dxa"/>
                  <w:vAlign w:val="center"/>
                </w:tcPr>
                <w:p w14:paraId="12570E24">
                  <w:pPr>
                    <w:pStyle w:val="59"/>
                    <w:rPr>
                      <w:rFonts w:cs="Times New Roman"/>
                    </w:rPr>
                  </w:pPr>
                  <w:r>
                    <w:rPr>
                      <w:rFonts w:cs="Times New Roman"/>
                    </w:rPr>
                    <w:t>0.247</w:t>
                  </w:r>
                </w:p>
              </w:tc>
              <w:tc>
                <w:tcPr>
                  <w:tcW w:w="1800" w:type="dxa"/>
                  <w:vAlign w:val="center"/>
                </w:tcPr>
                <w:p w14:paraId="30C6312D">
                  <w:pPr>
                    <w:pStyle w:val="59"/>
                    <w:rPr>
                      <w:rFonts w:cs="Times New Roman"/>
                    </w:rPr>
                  </w:pPr>
                  <w:r>
                    <w:rPr>
                      <w:rFonts w:cs="Times New Roman"/>
                    </w:rPr>
                    <w:t>0.268</w:t>
                  </w:r>
                </w:p>
              </w:tc>
              <w:tc>
                <w:tcPr>
                  <w:tcW w:w="1310" w:type="dxa"/>
                  <w:vAlign w:val="center"/>
                </w:tcPr>
                <w:p w14:paraId="3E596ABB">
                  <w:pPr>
                    <w:pStyle w:val="59"/>
                    <w:rPr>
                      <w:rFonts w:cs="Times New Roman"/>
                    </w:rPr>
                  </w:pPr>
                  <w:r>
                    <w:rPr>
                      <w:rFonts w:cs="Times New Roman"/>
                    </w:rPr>
                    <w:t>2.4</w:t>
                  </w:r>
                </w:p>
              </w:tc>
              <w:tc>
                <w:tcPr>
                  <w:tcW w:w="1310" w:type="dxa"/>
                  <w:vAlign w:val="center"/>
                </w:tcPr>
                <w:p w14:paraId="07606A8B">
                  <w:pPr>
                    <w:pStyle w:val="59"/>
                    <w:rPr>
                      <w:rFonts w:cs="Times New Roman"/>
                    </w:rPr>
                  </w:pPr>
                  <w:r>
                    <w:rPr>
                      <w:rFonts w:hint="eastAsia" w:cs="Times New Roman"/>
                    </w:rPr>
                    <w:t>达标</w:t>
                  </w:r>
                </w:p>
              </w:tc>
            </w:tr>
            <w:tr w14:paraId="4C1E1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1" w:type="dxa"/>
                  <w:vMerge w:val="continue"/>
                  <w:vAlign w:val="center"/>
                </w:tcPr>
                <w:p w14:paraId="7F98E48A">
                  <w:pPr>
                    <w:pStyle w:val="59"/>
                    <w:rPr>
                      <w:rFonts w:cs="Times New Roman"/>
                    </w:rPr>
                  </w:pPr>
                </w:p>
              </w:tc>
              <w:tc>
                <w:tcPr>
                  <w:tcW w:w="1151" w:type="dxa"/>
                  <w:vAlign w:val="center"/>
                </w:tcPr>
                <w:p w14:paraId="27847C31">
                  <w:pPr>
                    <w:pStyle w:val="59"/>
                    <w:rPr>
                      <w:rFonts w:cs="Times New Roman"/>
                    </w:rPr>
                  </w:pPr>
                  <w:r>
                    <w:rPr>
                      <w:rFonts w:hint="eastAsia" w:cs="Times New Roman"/>
                    </w:rPr>
                    <w:t>砷（总砷）</w:t>
                  </w:r>
                </w:p>
              </w:tc>
              <w:tc>
                <w:tcPr>
                  <w:tcW w:w="750" w:type="dxa"/>
                  <w:vAlign w:val="center"/>
                </w:tcPr>
                <w:p w14:paraId="209D3999">
                  <w:pPr>
                    <w:pStyle w:val="59"/>
                    <w:rPr>
                      <w:rFonts w:cs="Times New Roman"/>
                    </w:rPr>
                  </w:pPr>
                  <w:r>
                    <w:rPr>
                      <w:rFonts w:cs="Times New Roman"/>
                    </w:rPr>
                    <w:t>mg/kg</w:t>
                  </w:r>
                </w:p>
              </w:tc>
              <w:tc>
                <w:tcPr>
                  <w:tcW w:w="1773" w:type="dxa"/>
                  <w:vAlign w:val="center"/>
                </w:tcPr>
                <w:p w14:paraId="4AB7553C">
                  <w:pPr>
                    <w:pStyle w:val="59"/>
                    <w:rPr>
                      <w:rFonts w:cs="Times New Roman"/>
                    </w:rPr>
                  </w:pPr>
                  <w:r>
                    <w:rPr>
                      <w:rFonts w:cs="Times New Roman"/>
                    </w:rPr>
                    <w:t>16.2</w:t>
                  </w:r>
                </w:p>
              </w:tc>
              <w:tc>
                <w:tcPr>
                  <w:tcW w:w="1800" w:type="dxa"/>
                  <w:vAlign w:val="center"/>
                </w:tcPr>
                <w:p w14:paraId="764DB08A">
                  <w:pPr>
                    <w:pStyle w:val="59"/>
                    <w:rPr>
                      <w:rFonts w:cs="Times New Roman"/>
                    </w:rPr>
                  </w:pPr>
                  <w:r>
                    <w:rPr>
                      <w:rFonts w:cs="Times New Roman"/>
                    </w:rPr>
                    <w:t>13.4</w:t>
                  </w:r>
                </w:p>
              </w:tc>
              <w:tc>
                <w:tcPr>
                  <w:tcW w:w="1310" w:type="dxa"/>
                  <w:vAlign w:val="center"/>
                </w:tcPr>
                <w:p w14:paraId="1D7AA4DB">
                  <w:pPr>
                    <w:pStyle w:val="59"/>
                    <w:rPr>
                      <w:rFonts w:cs="Times New Roman"/>
                    </w:rPr>
                  </w:pPr>
                  <w:r>
                    <w:rPr>
                      <w:rFonts w:cs="Times New Roman"/>
                    </w:rPr>
                    <w:t>30</w:t>
                  </w:r>
                </w:p>
              </w:tc>
              <w:tc>
                <w:tcPr>
                  <w:tcW w:w="1310" w:type="dxa"/>
                  <w:vAlign w:val="center"/>
                </w:tcPr>
                <w:p w14:paraId="05132FD1">
                  <w:pPr>
                    <w:pStyle w:val="59"/>
                    <w:rPr>
                      <w:rFonts w:cs="Times New Roman"/>
                    </w:rPr>
                  </w:pPr>
                  <w:r>
                    <w:rPr>
                      <w:rFonts w:hint="eastAsia" w:cs="Times New Roman"/>
                    </w:rPr>
                    <w:t>达标</w:t>
                  </w:r>
                </w:p>
              </w:tc>
            </w:tr>
          </w:tbl>
          <w:p w14:paraId="39A398B4">
            <w:pPr>
              <w:widowControl/>
              <w:spacing w:before="156" w:beforeLines="50" w:line="360" w:lineRule="auto"/>
              <w:ind w:firstLine="480" w:firstLineChars="200"/>
              <w:rPr>
                <w:kern w:val="0"/>
                <w:lang w:bidi="ar"/>
              </w:rPr>
            </w:pPr>
            <w:r>
              <w:rPr>
                <w:rFonts w:hint="eastAsia"/>
              </w:rPr>
              <w:t>结果表明，现状监测期间，项目区域土壤无酸化或碱化，属于轻度盐化情况；工程河段沉积物满足《土壤环境质量 农用地土壤污染风险管控标准（试行）》（GB15618-2018）表1中相关标准。</w:t>
            </w:r>
          </w:p>
          <w:p w14:paraId="5425FE6A">
            <w:pPr>
              <w:pStyle w:val="106"/>
              <w:ind w:firstLine="482"/>
              <w:rPr>
                <w:b/>
                <w:bCs/>
              </w:rPr>
            </w:pPr>
            <w:r>
              <w:rPr>
                <w:rFonts w:hint="eastAsia"/>
                <w:b/>
                <w:bCs/>
              </w:rPr>
              <w:t>六、地下水环境质量现状</w:t>
            </w:r>
          </w:p>
          <w:p w14:paraId="509E1E38">
            <w:pPr>
              <w:spacing w:line="360" w:lineRule="auto"/>
              <w:ind w:firstLine="480" w:firstLineChars="200"/>
              <w:rPr>
                <w:rFonts w:eastAsia="黑体"/>
                <w:b/>
                <w:bCs/>
                <w:sz w:val="30"/>
                <w:szCs w:val="30"/>
              </w:rPr>
            </w:pPr>
            <w:r>
              <w:rPr>
                <w:rFonts w:hint="eastAsia"/>
              </w:rPr>
              <w:t>本项目不存在地下水环境污染途径，根据《建设项目环境影响报告表编制技术指南（生态影响类）（试行）》，可不开展地下水环境质量现状调查。</w:t>
            </w:r>
          </w:p>
        </w:tc>
      </w:tr>
      <w:tr w14:paraId="098E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14:paraId="0558F915">
            <w:pPr>
              <w:pStyle w:val="106"/>
              <w:spacing w:line="240" w:lineRule="auto"/>
              <w:ind w:firstLine="0" w:firstLineChars="0"/>
              <w:rPr>
                <w:b/>
                <w:bCs/>
              </w:rPr>
            </w:pPr>
            <w:bookmarkStart w:id="3" w:name="_Toc21441"/>
            <w:r>
              <w:rPr>
                <w:rFonts w:hint="eastAsia"/>
                <w:b/>
                <w:bCs/>
              </w:rPr>
              <w:t>与项目有关的原有环境污染和生态破坏问题</w:t>
            </w:r>
            <w:bookmarkEnd w:id="3"/>
          </w:p>
        </w:tc>
        <w:tc>
          <w:tcPr>
            <w:tcW w:w="9221" w:type="dxa"/>
            <w:vAlign w:val="center"/>
          </w:tcPr>
          <w:p w14:paraId="41585AC5">
            <w:pPr>
              <w:pStyle w:val="106"/>
            </w:pPr>
            <w:r>
              <w:rPr>
                <w:rFonts w:hint="eastAsia"/>
              </w:rPr>
              <w:t>本项目为新建项目，原有沟道由于年久未经治理，两岸冲刷严重，防洪能力偏低，不满足10年一遇防洪标准，沿沟两岸长期受洪灾的困扰。</w:t>
            </w:r>
          </w:p>
          <w:p w14:paraId="759EFD9F">
            <w:pPr>
              <w:pStyle w:val="106"/>
              <w:rPr>
                <w:color w:val="000000" w:themeColor="text1"/>
                <w14:textFill>
                  <w14:solidFill>
                    <w14:schemeClr w14:val="tx1"/>
                  </w14:solidFill>
                </w14:textFill>
              </w:rPr>
            </w:pPr>
            <w:r>
              <w:rPr>
                <w:rFonts w:hint="eastAsia"/>
              </w:rPr>
              <w:t>总体来看，当地未形成有效的防洪体系，难以防御大洪水，不能适应当前经济发展的需要，急需完善防洪设施，提高沟道防洪能力。</w:t>
            </w:r>
            <w:r>
              <w:rPr>
                <w:rFonts w:hint="eastAsia"/>
                <w:color w:val="000000" w:themeColor="text1"/>
                <w14:textFill>
                  <w14:solidFill>
                    <w14:schemeClr w14:val="tx1"/>
                  </w14:solidFill>
                </w14:textFill>
              </w:rPr>
              <w:t>本项目通过河道内砂砾石开挖并修建沟堤后，沟段过水断面面积将得到较大增加，洪泛期间洪水水位随之下降，重力式堤防将保护两岸耕地、道路不受洪水冲击影响。</w:t>
            </w:r>
          </w:p>
          <w:p w14:paraId="685016C9">
            <w:pPr>
              <w:pStyle w:val="106"/>
              <w:rPr>
                <w:rFonts w:hint="eastAsia"/>
              </w:rPr>
            </w:pPr>
            <w:r>
              <w:rPr>
                <w:rFonts w:hint="eastAsia"/>
              </w:rPr>
              <w:t>本项目为未批先建项目，主体工程于2025年7月开始施工，12月主体工程完工。</w:t>
            </w:r>
          </w:p>
          <w:p w14:paraId="638713DB">
            <w:pPr>
              <w:pStyle w:val="106"/>
            </w:pPr>
            <w:r>
              <w:rPr>
                <w:rFonts w:hint="eastAsia"/>
              </w:rPr>
              <w:t>根据现场踏勘，项目现状如下。</w:t>
            </w:r>
          </w:p>
          <w:p w14:paraId="5011958B">
            <w:pPr>
              <w:pStyle w:val="106"/>
              <w:ind w:firstLine="482"/>
              <w:rPr>
                <w:b/>
                <w:bCs/>
              </w:rPr>
            </w:pPr>
            <w:r>
              <w:rPr>
                <w:rFonts w:hint="eastAsia"/>
                <w:b/>
                <w:bCs/>
              </w:rPr>
              <w:t>1、项目工程现状</w:t>
            </w:r>
          </w:p>
          <w:p w14:paraId="4DA2DF4B">
            <w:pPr>
              <w:pStyle w:val="106"/>
            </w:pPr>
            <w:r>
              <w:rPr>
                <w:rFonts w:hint="eastAsia"/>
              </w:rPr>
              <w:t>工程综合治理海螺沟冰川河河道长684.20m，</w:t>
            </w:r>
            <w:r>
              <w:rPr>
                <w:rFonts w:hint="eastAsia"/>
                <w:bCs/>
              </w:rPr>
              <w:t>新建护脚堤防697.9m（左岸新建贴坡式护脚堤防401.47m、重力式护脚堤防259.71m，右岸新建贴坡式护脚堤防36.72m），右岸新建钢筋混凝土贴坡式护脚173.71m，右岸新建重力式混凝土结构丁坝2座，河道内新建重力式钢筋混凝土结构固床梁4座</w:t>
            </w:r>
            <w:r>
              <w:rPr>
                <w:rFonts w:hint="eastAsia"/>
              </w:rPr>
              <w:t>。综合治理内容具体如下：</w:t>
            </w:r>
          </w:p>
          <w:p w14:paraId="7C5D2C5D">
            <w:pPr>
              <w:pStyle w:val="106"/>
            </w:pPr>
            <w:r>
              <w:rPr>
                <w:rFonts w:hint="eastAsia"/>
                <w:color w:val="000000" w:themeColor="text1"/>
                <w14:textFill>
                  <w14:solidFill>
                    <w14:schemeClr w14:val="tx1"/>
                  </w14:solidFill>
                </w14:textFill>
              </w:rPr>
              <w:t>（1）河道梳理与河床抬升：对淤积堵塞段进行砂砾石开挖整理，</w:t>
            </w:r>
            <w:r>
              <w:rPr>
                <w:rFonts w:hint="eastAsia"/>
              </w:rPr>
              <w:t>同时通过合理回填，人为抬升下切的河床高程；</w:t>
            </w:r>
          </w:p>
          <w:p w14:paraId="1D7BF01C">
            <w:pPr>
              <w:pStyle w:val="106"/>
            </w:pPr>
            <w:r>
              <w:rPr>
                <w:rFonts w:hint="eastAsia"/>
              </w:rPr>
              <w:t>（2）新建两岸堤防、护脚及丁坝：修复并加固被冲毁的河岸堤防，新建护脚，新建2座混凝土丁坝，提高抗冲刷能力，稳定河道边界；</w:t>
            </w:r>
          </w:p>
          <w:p w14:paraId="08215F58">
            <w:pPr>
              <w:pStyle w:val="106"/>
              <w:rPr>
                <w:rFonts w:hint="eastAsia"/>
              </w:rPr>
            </w:pPr>
            <w:r>
              <w:rPr>
                <w:rFonts w:hint="eastAsia"/>
              </w:rPr>
              <w:t>（3）修建固床梁：在河道内间隔布设4座固床梁，有效拦截泥沙运动，控制河床纵坡，防止新一轮下切，增强河床长期稳定性。</w:t>
            </w:r>
          </w:p>
          <w:p w14:paraId="035360D4">
            <w:pPr>
              <w:pStyle w:val="106"/>
              <w:ind w:firstLine="482"/>
              <w:rPr>
                <w:b/>
                <w:bCs/>
              </w:rPr>
            </w:pPr>
            <w:r>
              <w:rPr>
                <w:rFonts w:hint="eastAsia"/>
                <w:b/>
                <w:bCs/>
              </w:rPr>
              <w:t>2、临时占地生态恢复现状</w:t>
            </w:r>
          </w:p>
          <w:p w14:paraId="30B65EC9">
            <w:pPr>
              <w:pStyle w:val="106"/>
            </w:pPr>
            <w:r>
              <w:rPr>
                <w:rFonts w:hint="eastAsia"/>
              </w:rPr>
              <w:t>本项目施工期临时工程占地主要为施工场地占地。</w:t>
            </w:r>
          </w:p>
          <w:p w14:paraId="5F5F2095">
            <w:pPr>
              <w:pStyle w:val="106"/>
            </w:pPr>
            <w:r>
              <w:rPr>
                <w:rFonts w:hint="eastAsia"/>
              </w:rPr>
              <w:t>施工场地占地类型为商服用地，</w:t>
            </w:r>
            <w:r>
              <w:rPr>
                <w:rFonts w:hint="eastAsia"/>
                <w:lang w:val="zh-CN"/>
              </w:rPr>
              <w:t>占用的商服用地主要为左岸施工扰动的海螺沟贡嘎神汤温泉酒店占地，由于海螺沟贡嘎神汤温泉酒店受损被泥石流淹没，目前正在重建，计划于2025年1月至2027年10月建设，海螺沟贡嘎神汤温泉酒店灾后恢复提升工程业主为本项目建设单位子公司，为避免新增临时占地，因此本项目施工期间施工场地布置在该项目场地内，本项目</w:t>
            </w:r>
            <w:r>
              <w:rPr>
                <w:rFonts w:hint="eastAsia"/>
              </w:rPr>
              <w:t>已于</w:t>
            </w:r>
            <w:r>
              <w:rPr>
                <w:rFonts w:hint="eastAsia"/>
                <w:lang w:val="zh-CN"/>
              </w:rPr>
              <w:t>2025年12月完工，因此本项目施工结束后占用的商服用地进行拆除施工临时设施后由海螺沟贡嘎神汤温泉酒店灾后恢复提升工程进行建设，本方案不再对其进行恢复。</w:t>
            </w:r>
          </w:p>
          <w:p w14:paraId="7EFB4B8E">
            <w:pPr>
              <w:pStyle w:val="106"/>
            </w:pPr>
            <w:r>
              <w:rPr>
                <w:rFonts w:hint="eastAsia"/>
              </w:rPr>
              <w:t>综上所述，本项目前期施工期间未发生重大水土流失事故，土石方无乱堆乱弃现象，现场不存在明显的水土流失遗留问题。项目无临时工程需要进行生态恢复，无遗留环境问题。</w:t>
            </w:r>
          </w:p>
        </w:tc>
      </w:tr>
      <w:tr w14:paraId="43FF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4" w:hRule="atLeast"/>
          <w:jc w:val="center"/>
        </w:trPr>
        <w:tc>
          <w:tcPr>
            <w:tcW w:w="534" w:type="dxa"/>
            <w:vAlign w:val="center"/>
          </w:tcPr>
          <w:p w14:paraId="3D87D1AD">
            <w:pPr>
              <w:pStyle w:val="52"/>
              <w:spacing w:line="240" w:lineRule="auto"/>
              <w:jc w:val="center"/>
              <w:rPr>
                <w:bCs/>
                <w:sz w:val="24"/>
                <w:szCs w:val="24"/>
              </w:rPr>
            </w:pPr>
            <w:bookmarkStart w:id="4" w:name="_Toc21364"/>
            <w:r>
              <w:rPr>
                <w:rFonts w:hint="eastAsia"/>
                <w:bCs/>
                <w:kern w:val="0"/>
                <w:sz w:val="24"/>
              </w:rPr>
              <w:t>生态环境保护目标</w:t>
            </w:r>
            <w:bookmarkEnd w:id="4"/>
          </w:p>
        </w:tc>
        <w:tc>
          <w:tcPr>
            <w:tcW w:w="9221" w:type="dxa"/>
          </w:tcPr>
          <w:p w14:paraId="1E83B8B6">
            <w:pPr>
              <w:spacing w:line="360" w:lineRule="auto"/>
              <w:ind w:firstLine="482" w:firstLineChars="200"/>
              <w:rPr>
                <w:b/>
                <w:bCs/>
              </w:rPr>
            </w:pPr>
            <w:r>
              <w:rPr>
                <w:rFonts w:hint="eastAsia"/>
                <w:b/>
                <w:bCs/>
              </w:rPr>
              <w:t>1、生态环境保护目标</w:t>
            </w:r>
          </w:p>
          <w:p w14:paraId="3E51CFF2">
            <w:pPr>
              <w:spacing w:line="360" w:lineRule="auto"/>
              <w:ind w:firstLine="480" w:firstLineChars="200"/>
            </w:pPr>
            <w:r>
              <w:rPr>
                <w:rFonts w:hint="eastAsia"/>
              </w:rPr>
              <w:t>由于项目所在地为磨西镇，周边主要为人类生活区，本工程沿线不涉及自然保护区、世界文化和自然遗产地等特殊生态敏感区，也无风景名胜区、饮用水源保护区、重要湿地、原始森林、珍稀濒危野生动植物天然集中分布区和重要水生生物的自然产卵场、索饵场、越冬场及洄游通道、天然渔场等重要生态敏感区。</w:t>
            </w:r>
          </w:p>
          <w:p w14:paraId="63A348BC">
            <w:pPr>
              <w:spacing w:line="360" w:lineRule="auto"/>
              <w:ind w:firstLine="480" w:firstLineChars="200"/>
            </w:pPr>
            <w:r>
              <w:rPr>
                <w:rFonts w:hint="eastAsia"/>
              </w:rPr>
              <w:t>项目涉及穿越四川海螺沟国家地质公园一般控制区，占地面积1.1093公顷，其中永久占地0.308公顷、临时用地0.8013公顷；涉及穿越四川海螺沟国家森林公园一般游憩区，占地面积1.1093公顷，其中永久占地0.308公顷、临时用地0.8013公顷。</w:t>
            </w:r>
          </w:p>
          <w:p w14:paraId="0A2A3BA0">
            <w:pPr>
              <w:spacing w:line="360" w:lineRule="auto"/>
              <w:jc w:val="center"/>
              <w:rPr>
                <w:rFonts w:eastAsia="黑体"/>
                <w:szCs w:val="20"/>
              </w:rPr>
            </w:pPr>
            <w:r>
              <w:rPr>
                <w:rFonts w:hint="eastAsia" w:eastAsia="黑体"/>
                <w:szCs w:val="20"/>
              </w:rPr>
              <w:t>表3- 18  本项目与四川海螺沟国家地质公园、四川海螺沟国家森林公园位置关系</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985"/>
              <w:gridCol w:w="1559"/>
              <w:gridCol w:w="4261"/>
            </w:tblGrid>
            <w:tr w14:paraId="66FB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0" w:type="dxa"/>
                  <w:vAlign w:val="center"/>
                </w:tcPr>
                <w:p w14:paraId="113E2F1C">
                  <w:pPr>
                    <w:spacing w:line="360" w:lineRule="auto"/>
                    <w:jc w:val="center"/>
                    <w:rPr>
                      <w:sz w:val="21"/>
                      <w:szCs w:val="21"/>
                    </w:rPr>
                  </w:pPr>
                  <w:r>
                    <w:rPr>
                      <w:rFonts w:hint="eastAsia"/>
                      <w:sz w:val="21"/>
                      <w:szCs w:val="21"/>
                    </w:rPr>
                    <w:t>序号</w:t>
                  </w:r>
                </w:p>
              </w:tc>
              <w:tc>
                <w:tcPr>
                  <w:tcW w:w="1985" w:type="dxa"/>
                  <w:vAlign w:val="center"/>
                </w:tcPr>
                <w:p w14:paraId="19A211AD">
                  <w:pPr>
                    <w:spacing w:line="360" w:lineRule="auto"/>
                    <w:jc w:val="center"/>
                    <w:rPr>
                      <w:sz w:val="21"/>
                      <w:szCs w:val="21"/>
                    </w:rPr>
                  </w:pPr>
                  <w:r>
                    <w:rPr>
                      <w:rFonts w:hint="eastAsia"/>
                      <w:sz w:val="21"/>
                      <w:szCs w:val="21"/>
                    </w:rPr>
                    <w:t>保护对象</w:t>
                  </w:r>
                </w:p>
              </w:tc>
              <w:tc>
                <w:tcPr>
                  <w:tcW w:w="1559" w:type="dxa"/>
                  <w:vAlign w:val="center"/>
                </w:tcPr>
                <w:p w14:paraId="798CDEC7">
                  <w:pPr>
                    <w:spacing w:line="360" w:lineRule="auto"/>
                    <w:jc w:val="center"/>
                    <w:rPr>
                      <w:sz w:val="21"/>
                      <w:szCs w:val="21"/>
                    </w:rPr>
                  </w:pPr>
                  <w:r>
                    <w:rPr>
                      <w:rFonts w:hint="eastAsia"/>
                      <w:sz w:val="21"/>
                      <w:szCs w:val="21"/>
                    </w:rPr>
                    <w:t>保护级别</w:t>
                  </w:r>
                </w:p>
              </w:tc>
              <w:tc>
                <w:tcPr>
                  <w:tcW w:w="4261" w:type="dxa"/>
                  <w:vAlign w:val="center"/>
                </w:tcPr>
                <w:p w14:paraId="2C4B7CB1">
                  <w:pPr>
                    <w:spacing w:line="360" w:lineRule="auto"/>
                    <w:jc w:val="center"/>
                    <w:rPr>
                      <w:sz w:val="21"/>
                      <w:szCs w:val="21"/>
                    </w:rPr>
                  </w:pPr>
                  <w:r>
                    <w:rPr>
                      <w:rFonts w:hint="eastAsia"/>
                      <w:sz w:val="21"/>
                      <w:szCs w:val="21"/>
                    </w:rPr>
                    <w:t>与本项目位置关系</w:t>
                  </w:r>
                </w:p>
              </w:tc>
            </w:tr>
            <w:tr w14:paraId="5404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vAlign w:val="center"/>
                </w:tcPr>
                <w:p w14:paraId="5636F556">
                  <w:pPr>
                    <w:spacing w:line="360" w:lineRule="auto"/>
                    <w:jc w:val="center"/>
                    <w:rPr>
                      <w:sz w:val="21"/>
                      <w:szCs w:val="21"/>
                    </w:rPr>
                  </w:pPr>
                  <w:r>
                    <w:rPr>
                      <w:rFonts w:hint="eastAsia"/>
                      <w:sz w:val="21"/>
                      <w:szCs w:val="21"/>
                    </w:rPr>
                    <w:t>1</w:t>
                  </w:r>
                </w:p>
              </w:tc>
              <w:tc>
                <w:tcPr>
                  <w:tcW w:w="1985" w:type="dxa"/>
                  <w:vAlign w:val="center"/>
                </w:tcPr>
                <w:p w14:paraId="156EC354">
                  <w:pPr>
                    <w:spacing w:line="360" w:lineRule="auto"/>
                    <w:jc w:val="center"/>
                    <w:rPr>
                      <w:sz w:val="21"/>
                      <w:szCs w:val="21"/>
                    </w:rPr>
                  </w:pPr>
                  <w:r>
                    <w:rPr>
                      <w:rFonts w:hint="eastAsia"/>
                      <w:sz w:val="21"/>
                      <w:szCs w:val="21"/>
                    </w:rPr>
                    <w:t>四川海螺沟国家地质公园</w:t>
                  </w:r>
                </w:p>
              </w:tc>
              <w:tc>
                <w:tcPr>
                  <w:tcW w:w="1559" w:type="dxa"/>
                  <w:vAlign w:val="center"/>
                </w:tcPr>
                <w:p w14:paraId="5548343F">
                  <w:pPr>
                    <w:spacing w:line="360" w:lineRule="auto"/>
                    <w:jc w:val="center"/>
                    <w:rPr>
                      <w:sz w:val="21"/>
                      <w:szCs w:val="21"/>
                    </w:rPr>
                  </w:pPr>
                  <w:r>
                    <w:rPr>
                      <w:rFonts w:hint="eastAsia"/>
                      <w:sz w:val="21"/>
                      <w:szCs w:val="21"/>
                    </w:rPr>
                    <w:t>国家级</w:t>
                  </w:r>
                </w:p>
              </w:tc>
              <w:tc>
                <w:tcPr>
                  <w:tcW w:w="4261" w:type="dxa"/>
                  <w:vAlign w:val="center"/>
                </w:tcPr>
                <w:p w14:paraId="4E0940B5">
                  <w:pPr>
                    <w:spacing w:line="360" w:lineRule="auto"/>
                    <w:jc w:val="center"/>
                    <w:rPr>
                      <w:sz w:val="21"/>
                      <w:szCs w:val="21"/>
                    </w:rPr>
                  </w:pPr>
                  <w:r>
                    <w:rPr>
                      <w:rFonts w:hint="eastAsia"/>
                      <w:sz w:val="21"/>
                      <w:szCs w:val="21"/>
                    </w:rPr>
                    <w:t>位于地质公园一般控制区，在地质公园内占地1.1093公顷</w:t>
                  </w:r>
                </w:p>
              </w:tc>
            </w:tr>
            <w:tr w14:paraId="22C5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vAlign w:val="center"/>
                </w:tcPr>
                <w:p w14:paraId="4352D4AC">
                  <w:pPr>
                    <w:spacing w:line="360" w:lineRule="auto"/>
                    <w:jc w:val="center"/>
                    <w:rPr>
                      <w:sz w:val="21"/>
                      <w:szCs w:val="21"/>
                    </w:rPr>
                  </w:pPr>
                  <w:r>
                    <w:rPr>
                      <w:rFonts w:hint="eastAsia"/>
                      <w:sz w:val="21"/>
                      <w:szCs w:val="21"/>
                    </w:rPr>
                    <w:t>2</w:t>
                  </w:r>
                </w:p>
              </w:tc>
              <w:tc>
                <w:tcPr>
                  <w:tcW w:w="1985" w:type="dxa"/>
                  <w:vAlign w:val="center"/>
                </w:tcPr>
                <w:p w14:paraId="5BB5A5E5">
                  <w:pPr>
                    <w:spacing w:line="360" w:lineRule="auto"/>
                    <w:jc w:val="center"/>
                    <w:rPr>
                      <w:sz w:val="21"/>
                      <w:szCs w:val="21"/>
                    </w:rPr>
                  </w:pPr>
                  <w:r>
                    <w:rPr>
                      <w:rFonts w:hint="eastAsia"/>
                      <w:sz w:val="21"/>
                      <w:szCs w:val="21"/>
                    </w:rPr>
                    <w:t>四川海螺沟国家森林公园</w:t>
                  </w:r>
                </w:p>
              </w:tc>
              <w:tc>
                <w:tcPr>
                  <w:tcW w:w="1559" w:type="dxa"/>
                  <w:vAlign w:val="center"/>
                </w:tcPr>
                <w:p w14:paraId="62AA331B">
                  <w:pPr>
                    <w:spacing w:line="360" w:lineRule="auto"/>
                    <w:jc w:val="center"/>
                    <w:rPr>
                      <w:sz w:val="21"/>
                      <w:szCs w:val="21"/>
                    </w:rPr>
                  </w:pPr>
                  <w:r>
                    <w:rPr>
                      <w:rFonts w:hint="eastAsia"/>
                      <w:sz w:val="21"/>
                      <w:szCs w:val="21"/>
                    </w:rPr>
                    <w:t>国家级</w:t>
                  </w:r>
                </w:p>
              </w:tc>
              <w:tc>
                <w:tcPr>
                  <w:tcW w:w="4261" w:type="dxa"/>
                  <w:vAlign w:val="center"/>
                </w:tcPr>
                <w:p w14:paraId="367788BF">
                  <w:pPr>
                    <w:spacing w:line="360" w:lineRule="auto"/>
                    <w:jc w:val="center"/>
                    <w:rPr>
                      <w:sz w:val="21"/>
                      <w:szCs w:val="21"/>
                    </w:rPr>
                  </w:pPr>
                  <w:r>
                    <w:rPr>
                      <w:rFonts w:hint="eastAsia"/>
                      <w:sz w:val="21"/>
                      <w:szCs w:val="21"/>
                    </w:rPr>
                    <w:t>位于森林公园一般控制区，在地质公园内占地1.1093公顷</w:t>
                  </w:r>
                </w:p>
              </w:tc>
            </w:tr>
          </w:tbl>
          <w:p w14:paraId="603B18C6">
            <w:pPr>
              <w:keepNext/>
              <w:spacing w:line="360" w:lineRule="auto"/>
            </w:pPr>
            <w:r>
              <w:drawing>
                <wp:inline distT="0" distB="0" distL="114300" distR="114300">
                  <wp:extent cx="5715000" cy="3123565"/>
                  <wp:effectExtent l="0" t="0" r="0" b="635"/>
                  <wp:docPr id="1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715000" cy="3123760"/>
                          </a:xfrm>
                          <a:prstGeom prst="rect">
                            <a:avLst/>
                          </a:prstGeom>
                          <a:noFill/>
                          <a:ln>
                            <a:noFill/>
                          </a:ln>
                        </pic:spPr>
                      </pic:pic>
                    </a:graphicData>
                  </a:graphic>
                </wp:inline>
              </w:drawing>
            </w:r>
          </w:p>
          <w:p w14:paraId="1BCE8636">
            <w:pPr>
              <w:pStyle w:val="7"/>
            </w:pPr>
            <w:r>
              <w:rPr>
                <w:rFonts w:hint="eastAsia"/>
              </w:rPr>
              <w:t xml:space="preserve">图3- </w:t>
            </w:r>
            <w:r>
              <w:fldChar w:fldCharType="begin"/>
            </w:r>
            <w:r>
              <w:instrText xml:space="preserve"> </w:instrText>
            </w:r>
            <w:r>
              <w:rPr>
                <w:rFonts w:hint="eastAsia"/>
              </w:rPr>
              <w:instrText xml:space="preserve">SEQ 图3- \* ARABIC</w:instrText>
            </w:r>
            <w:r>
              <w:instrText xml:space="preserve"> </w:instrText>
            </w:r>
            <w:r>
              <w:fldChar w:fldCharType="separate"/>
            </w:r>
            <w:r>
              <w:rPr>
                <w:rFonts w:hint="eastAsia"/>
              </w:rPr>
              <w:t>3</w:t>
            </w:r>
            <w:r>
              <w:fldChar w:fldCharType="end"/>
            </w:r>
            <w:r>
              <w:rPr>
                <w:rFonts w:hint="eastAsia"/>
              </w:rPr>
              <w:t xml:space="preserve">  </w:t>
            </w:r>
            <w:r>
              <w:t>项目与四川海螺沟森林公园位置关系图</w:t>
            </w:r>
          </w:p>
          <w:p w14:paraId="564B548B">
            <w:pPr>
              <w:keepNext/>
            </w:pPr>
            <w:r>
              <w:drawing>
                <wp:inline distT="0" distB="0" distL="0" distR="0">
                  <wp:extent cx="5718175" cy="3529965"/>
                  <wp:effectExtent l="0" t="0" r="0" b="0"/>
                  <wp:docPr id="2094249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49723" name="图片 1"/>
                          <pic:cNvPicPr>
                            <a:picLocks noChangeAspect="1"/>
                          </pic:cNvPicPr>
                        </pic:nvPicPr>
                        <pic:blipFill>
                          <a:blip r:embed="rId33"/>
                          <a:stretch>
                            <a:fillRect/>
                          </a:stretch>
                        </pic:blipFill>
                        <pic:spPr>
                          <a:xfrm>
                            <a:off x="0" y="0"/>
                            <a:ext cx="5718175" cy="3529965"/>
                          </a:xfrm>
                          <a:prstGeom prst="rect">
                            <a:avLst/>
                          </a:prstGeom>
                        </pic:spPr>
                      </pic:pic>
                    </a:graphicData>
                  </a:graphic>
                </wp:inline>
              </w:drawing>
            </w:r>
          </w:p>
          <w:p w14:paraId="22F74020">
            <w:pPr>
              <w:pStyle w:val="7"/>
            </w:pPr>
            <w:r>
              <w:rPr>
                <w:rFonts w:hint="eastAsia"/>
              </w:rPr>
              <w:t xml:space="preserve">图3- </w:t>
            </w:r>
            <w:r>
              <w:fldChar w:fldCharType="begin"/>
            </w:r>
            <w:r>
              <w:instrText xml:space="preserve"> </w:instrText>
            </w:r>
            <w:r>
              <w:rPr>
                <w:rFonts w:hint="eastAsia"/>
              </w:rPr>
              <w:instrText xml:space="preserve">SEQ 图3- \* ARABIC</w:instrText>
            </w:r>
            <w:r>
              <w:instrText xml:space="preserve"> </w:instrText>
            </w:r>
            <w:r>
              <w:fldChar w:fldCharType="separate"/>
            </w:r>
            <w:r>
              <w:rPr>
                <w:rFonts w:hint="eastAsia"/>
              </w:rPr>
              <w:t>4</w:t>
            </w:r>
            <w:r>
              <w:fldChar w:fldCharType="end"/>
            </w:r>
            <w:r>
              <w:rPr>
                <w:rFonts w:hint="eastAsia"/>
              </w:rPr>
              <w:t xml:space="preserve">  </w:t>
            </w:r>
            <w:r>
              <w:t>项目与四川海螺沟国家地质公园位置关系图</w:t>
            </w:r>
          </w:p>
          <w:p w14:paraId="51E64798">
            <w:pPr>
              <w:spacing w:line="360" w:lineRule="auto"/>
              <w:ind w:firstLine="482" w:firstLineChars="200"/>
              <w:rPr>
                <w:b/>
                <w:bCs/>
              </w:rPr>
            </w:pPr>
            <w:r>
              <w:rPr>
                <w:rFonts w:hint="eastAsia"/>
                <w:b/>
                <w:bCs/>
              </w:rPr>
              <w:t>2、大气、声环境保护目标</w:t>
            </w:r>
          </w:p>
          <w:p w14:paraId="0A55749A">
            <w:pPr>
              <w:spacing w:line="360" w:lineRule="auto"/>
              <w:ind w:firstLine="480" w:firstLineChars="200"/>
            </w:pPr>
            <w:r>
              <w:rPr>
                <w:rFonts w:hint="eastAsia"/>
              </w:rPr>
              <w:t>本项目边界外两侧500m范围内大气环境保护目标、边界外两侧200m范围内声环境保护目标见下表。</w:t>
            </w:r>
          </w:p>
          <w:p w14:paraId="0B66FE62">
            <w:pPr>
              <w:pStyle w:val="7"/>
              <w:rPr>
                <w:rFonts w:cs="Times New Roman"/>
              </w:rPr>
            </w:pPr>
            <w:r>
              <w:rPr>
                <w:rFonts w:hint="eastAsia" w:cs="Times New Roman"/>
              </w:rPr>
              <w:t>表3- 19  主要大气、声环境保护目标</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54"/>
              <w:gridCol w:w="1527"/>
              <w:gridCol w:w="704"/>
              <w:gridCol w:w="814"/>
              <w:gridCol w:w="1016"/>
              <w:gridCol w:w="1484"/>
              <w:gridCol w:w="1392"/>
              <w:gridCol w:w="1414"/>
            </w:tblGrid>
            <w:tr w14:paraId="67300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63" w:type="pct"/>
                  <w:tcBorders>
                    <w:tl2br w:val="nil"/>
                    <w:tr2bl w:val="nil"/>
                  </w:tcBorders>
                  <w:vAlign w:val="center"/>
                </w:tcPr>
                <w:p w14:paraId="09399F31">
                  <w:pPr>
                    <w:jc w:val="center"/>
                    <w:rPr>
                      <w:b/>
                      <w:bCs/>
                      <w:sz w:val="21"/>
                      <w:szCs w:val="21"/>
                    </w:rPr>
                  </w:pPr>
                  <w:r>
                    <w:rPr>
                      <w:rFonts w:hint="eastAsia"/>
                      <w:b/>
                      <w:bCs/>
                      <w:sz w:val="21"/>
                      <w:szCs w:val="21"/>
                    </w:rPr>
                    <w:t>序号</w:t>
                  </w:r>
                </w:p>
              </w:tc>
              <w:tc>
                <w:tcPr>
                  <w:tcW w:w="847" w:type="pct"/>
                  <w:tcBorders>
                    <w:tl2br w:val="nil"/>
                    <w:tr2bl w:val="nil"/>
                  </w:tcBorders>
                  <w:vAlign w:val="center"/>
                </w:tcPr>
                <w:p w14:paraId="029CC703">
                  <w:pPr>
                    <w:jc w:val="center"/>
                    <w:rPr>
                      <w:b/>
                      <w:bCs/>
                      <w:sz w:val="21"/>
                      <w:szCs w:val="21"/>
                    </w:rPr>
                  </w:pPr>
                  <w:r>
                    <w:rPr>
                      <w:rFonts w:hint="eastAsia"/>
                      <w:b/>
                      <w:bCs/>
                      <w:sz w:val="21"/>
                      <w:szCs w:val="21"/>
                    </w:rPr>
                    <w:t>名称</w:t>
                  </w:r>
                </w:p>
              </w:tc>
              <w:tc>
                <w:tcPr>
                  <w:tcW w:w="391" w:type="pct"/>
                  <w:tcBorders>
                    <w:tl2br w:val="nil"/>
                    <w:tr2bl w:val="nil"/>
                  </w:tcBorders>
                  <w:vAlign w:val="center"/>
                </w:tcPr>
                <w:p w14:paraId="538B7802">
                  <w:pPr>
                    <w:jc w:val="center"/>
                    <w:rPr>
                      <w:b/>
                      <w:bCs/>
                      <w:sz w:val="21"/>
                      <w:szCs w:val="21"/>
                    </w:rPr>
                  </w:pPr>
                  <w:r>
                    <w:rPr>
                      <w:rFonts w:hint="eastAsia"/>
                      <w:b/>
                      <w:bCs/>
                      <w:sz w:val="21"/>
                      <w:szCs w:val="21"/>
                    </w:rPr>
                    <w:t>方位</w:t>
                  </w:r>
                </w:p>
              </w:tc>
              <w:tc>
                <w:tcPr>
                  <w:tcW w:w="452" w:type="pct"/>
                  <w:tcBorders>
                    <w:tl2br w:val="nil"/>
                    <w:tr2bl w:val="nil"/>
                  </w:tcBorders>
                  <w:vAlign w:val="center"/>
                </w:tcPr>
                <w:p w14:paraId="2887CE3B">
                  <w:pPr>
                    <w:jc w:val="center"/>
                    <w:rPr>
                      <w:b/>
                      <w:bCs/>
                      <w:sz w:val="21"/>
                      <w:szCs w:val="21"/>
                    </w:rPr>
                  </w:pPr>
                  <w:r>
                    <w:rPr>
                      <w:rFonts w:hint="eastAsia"/>
                      <w:b/>
                      <w:bCs/>
                      <w:sz w:val="21"/>
                      <w:szCs w:val="21"/>
                    </w:rPr>
                    <w:t>距离</w:t>
                  </w:r>
                </w:p>
              </w:tc>
              <w:tc>
                <w:tcPr>
                  <w:tcW w:w="564" w:type="pct"/>
                  <w:tcBorders>
                    <w:tl2br w:val="nil"/>
                    <w:tr2bl w:val="nil"/>
                  </w:tcBorders>
                </w:tcPr>
                <w:p w14:paraId="7CFF6E51">
                  <w:pPr>
                    <w:jc w:val="center"/>
                    <w:rPr>
                      <w:b/>
                      <w:bCs/>
                      <w:sz w:val="21"/>
                      <w:szCs w:val="21"/>
                    </w:rPr>
                  </w:pPr>
                  <w:r>
                    <w:rPr>
                      <w:rFonts w:hint="eastAsia"/>
                      <w:b/>
                      <w:bCs/>
                      <w:sz w:val="21"/>
                      <w:szCs w:val="21"/>
                    </w:rPr>
                    <w:t>高差</w:t>
                  </w:r>
                </w:p>
              </w:tc>
              <w:tc>
                <w:tcPr>
                  <w:tcW w:w="823" w:type="pct"/>
                  <w:tcBorders>
                    <w:tl2br w:val="nil"/>
                    <w:tr2bl w:val="nil"/>
                  </w:tcBorders>
                  <w:vAlign w:val="center"/>
                </w:tcPr>
                <w:p w14:paraId="6E38252A">
                  <w:pPr>
                    <w:jc w:val="center"/>
                    <w:rPr>
                      <w:b/>
                      <w:bCs/>
                      <w:sz w:val="21"/>
                      <w:szCs w:val="21"/>
                    </w:rPr>
                  </w:pPr>
                  <w:r>
                    <w:rPr>
                      <w:rFonts w:hint="eastAsia"/>
                      <w:b/>
                      <w:bCs/>
                      <w:sz w:val="21"/>
                      <w:szCs w:val="21"/>
                    </w:rPr>
                    <w:t>规模</w:t>
                  </w:r>
                </w:p>
              </w:tc>
              <w:tc>
                <w:tcPr>
                  <w:tcW w:w="772" w:type="pct"/>
                  <w:tcBorders>
                    <w:tl2br w:val="nil"/>
                    <w:tr2bl w:val="nil"/>
                  </w:tcBorders>
                  <w:vAlign w:val="center"/>
                </w:tcPr>
                <w:p w14:paraId="7AF6B351">
                  <w:pPr>
                    <w:jc w:val="center"/>
                    <w:rPr>
                      <w:b/>
                      <w:bCs/>
                      <w:sz w:val="21"/>
                      <w:szCs w:val="21"/>
                    </w:rPr>
                  </w:pPr>
                  <w:r>
                    <w:rPr>
                      <w:rFonts w:hint="eastAsia"/>
                      <w:b/>
                      <w:bCs/>
                      <w:sz w:val="21"/>
                      <w:szCs w:val="21"/>
                    </w:rPr>
                    <w:t>性质</w:t>
                  </w:r>
                </w:p>
              </w:tc>
              <w:tc>
                <w:tcPr>
                  <w:tcW w:w="784" w:type="pct"/>
                  <w:tcBorders>
                    <w:tl2br w:val="nil"/>
                    <w:tr2bl w:val="nil"/>
                  </w:tcBorders>
                  <w:vAlign w:val="center"/>
                </w:tcPr>
                <w:p w14:paraId="654A1C64">
                  <w:pPr>
                    <w:jc w:val="center"/>
                    <w:rPr>
                      <w:b/>
                      <w:bCs/>
                      <w:sz w:val="21"/>
                      <w:szCs w:val="21"/>
                    </w:rPr>
                  </w:pPr>
                  <w:r>
                    <w:rPr>
                      <w:rFonts w:hint="eastAsia"/>
                      <w:b/>
                      <w:bCs/>
                      <w:sz w:val="21"/>
                      <w:szCs w:val="21"/>
                    </w:rPr>
                    <w:t>保护级别</w:t>
                  </w:r>
                </w:p>
              </w:tc>
            </w:tr>
            <w:tr w14:paraId="584AB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vAlign w:val="center"/>
                </w:tcPr>
                <w:p w14:paraId="39682AEE">
                  <w:pPr>
                    <w:widowControl/>
                    <w:jc w:val="center"/>
                    <w:rPr>
                      <w:sz w:val="21"/>
                      <w:szCs w:val="21"/>
                    </w:rPr>
                  </w:pPr>
                  <w:r>
                    <w:rPr>
                      <w:sz w:val="21"/>
                      <w:szCs w:val="21"/>
                    </w:rPr>
                    <w:t>1</w:t>
                  </w:r>
                </w:p>
              </w:tc>
              <w:tc>
                <w:tcPr>
                  <w:tcW w:w="847" w:type="pct"/>
                  <w:tcBorders>
                    <w:tl2br w:val="nil"/>
                    <w:tr2bl w:val="nil"/>
                  </w:tcBorders>
                  <w:vAlign w:val="center"/>
                </w:tcPr>
                <w:p w14:paraId="6C43BC1B">
                  <w:pPr>
                    <w:spacing w:line="300" w:lineRule="exact"/>
                    <w:jc w:val="center"/>
                    <w:rPr>
                      <w:sz w:val="21"/>
                      <w:szCs w:val="21"/>
                    </w:rPr>
                  </w:pPr>
                  <w:r>
                    <w:rPr>
                      <w:rFonts w:hint="eastAsia"/>
                      <w:sz w:val="21"/>
                      <w:szCs w:val="21"/>
                    </w:rPr>
                    <w:t>***居民区1</w:t>
                  </w:r>
                </w:p>
              </w:tc>
              <w:tc>
                <w:tcPr>
                  <w:tcW w:w="391" w:type="pct"/>
                  <w:tcBorders>
                    <w:tl2br w:val="nil"/>
                    <w:tr2bl w:val="nil"/>
                  </w:tcBorders>
                  <w:vAlign w:val="center"/>
                </w:tcPr>
                <w:p w14:paraId="7D945B3B">
                  <w:pPr>
                    <w:pStyle w:val="40"/>
                    <w:rPr>
                      <w:rFonts w:cs="Times New Roman"/>
                    </w:rPr>
                  </w:pPr>
                  <w:r>
                    <w:rPr>
                      <w:rFonts w:hint="eastAsia" w:cs="Times New Roman"/>
                    </w:rPr>
                    <w:t>西</w:t>
                  </w:r>
                </w:p>
              </w:tc>
              <w:tc>
                <w:tcPr>
                  <w:tcW w:w="452" w:type="pct"/>
                  <w:tcBorders>
                    <w:tl2br w:val="nil"/>
                    <w:tr2bl w:val="nil"/>
                  </w:tcBorders>
                  <w:vAlign w:val="center"/>
                </w:tcPr>
                <w:p w14:paraId="3F7CD75A">
                  <w:pPr>
                    <w:pStyle w:val="40"/>
                    <w:rPr>
                      <w:rFonts w:cs="Times New Roman"/>
                    </w:rPr>
                  </w:pPr>
                  <w:r>
                    <w:rPr>
                      <w:rFonts w:cs="Times New Roman"/>
                    </w:rPr>
                    <w:t>138m</w:t>
                  </w:r>
                </w:p>
              </w:tc>
              <w:tc>
                <w:tcPr>
                  <w:tcW w:w="564" w:type="pct"/>
                  <w:tcBorders>
                    <w:tl2br w:val="nil"/>
                    <w:tr2bl w:val="nil"/>
                  </w:tcBorders>
                  <w:vAlign w:val="center"/>
                </w:tcPr>
                <w:p w14:paraId="335E6758">
                  <w:pPr>
                    <w:pStyle w:val="40"/>
                    <w:rPr>
                      <w:rFonts w:cs="Times New Roman"/>
                    </w:rPr>
                  </w:pPr>
                  <w:r>
                    <w:rPr>
                      <w:rFonts w:hint="eastAsia" w:cs="Times New Roman"/>
                    </w:rPr>
                    <w:t>54</w:t>
                  </w:r>
                  <w:r>
                    <w:rPr>
                      <w:rFonts w:cs="Times New Roman"/>
                    </w:rPr>
                    <w:t>m</w:t>
                  </w:r>
                </w:p>
              </w:tc>
              <w:tc>
                <w:tcPr>
                  <w:tcW w:w="823" w:type="pct"/>
                  <w:tcBorders>
                    <w:tl2br w:val="nil"/>
                    <w:tr2bl w:val="nil"/>
                  </w:tcBorders>
                  <w:vAlign w:val="center"/>
                </w:tcPr>
                <w:p w14:paraId="47AF7808">
                  <w:pPr>
                    <w:pStyle w:val="40"/>
                    <w:rPr>
                      <w:rFonts w:cs="Times New Roman"/>
                    </w:rPr>
                  </w:pPr>
                  <w:r>
                    <w:rPr>
                      <w:rFonts w:hint="eastAsia" w:cs="Times New Roman"/>
                    </w:rPr>
                    <w:t>40户，120人</w:t>
                  </w:r>
                </w:p>
              </w:tc>
              <w:tc>
                <w:tcPr>
                  <w:tcW w:w="772" w:type="pct"/>
                  <w:tcBorders>
                    <w:tl2br w:val="nil"/>
                    <w:tr2bl w:val="nil"/>
                  </w:tcBorders>
                  <w:vAlign w:val="center"/>
                </w:tcPr>
                <w:p w14:paraId="319C9550">
                  <w:pPr>
                    <w:widowControl/>
                    <w:jc w:val="center"/>
                    <w:rPr>
                      <w:sz w:val="21"/>
                      <w:szCs w:val="21"/>
                    </w:rPr>
                  </w:pPr>
                  <w:r>
                    <w:rPr>
                      <w:rFonts w:hint="eastAsia"/>
                      <w:sz w:val="21"/>
                      <w:szCs w:val="21"/>
                    </w:rPr>
                    <w:t>居民</w:t>
                  </w:r>
                </w:p>
              </w:tc>
              <w:tc>
                <w:tcPr>
                  <w:tcW w:w="784" w:type="pct"/>
                  <w:vMerge w:val="restart"/>
                  <w:tcBorders>
                    <w:tl2br w:val="nil"/>
                    <w:tr2bl w:val="nil"/>
                  </w:tcBorders>
                  <w:vAlign w:val="center"/>
                </w:tcPr>
                <w:p w14:paraId="5F18DFB3">
                  <w:pPr>
                    <w:widowControl/>
                    <w:jc w:val="center"/>
                    <w:rPr>
                      <w:sz w:val="21"/>
                      <w:szCs w:val="21"/>
                    </w:rPr>
                  </w:pPr>
                  <w:r>
                    <w:rPr>
                      <w:rFonts w:hint="eastAsia"/>
                      <w:sz w:val="21"/>
                      <w:szCs w:val="21"/>
                    </w:rPr>
                    <w:t>《环境空气质量标准》（GB3095-2026）二级标准；《声环境质量标准》（GB3096-2008）2类标准</w:t>
                  </w:r>
                </w:p>
              </w:tc>
            </w:tr>
            <w:tr w14:paraId="6D8FF0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3" w:type="pct"/>
                  <w:tcBorders>
                    <w:tl2br w:val="nil"/>
                    <w:tr2bl w:val="nil"/>
                  </w:tcBorders>
                  <w:vAlign w:val="center"/>
                </w:tcPr>
                <w:p w14:paraId="44F62190">
                  <w:pPr>
                    <w:widowControl/>
                    <w:jc w:val="center"/>
                    <w:rPr>
                      <w:sz w:val="21"/>
                      <w:szCs w:val="21"/>
                    </w:rPr>
                  </w:pPr>
                  <w:r>
                    <w:rPr>
                      <w:sz w:val="21"/>
                      <w:szCs w:val="21"/>
                    </w:rPr>
                    <w:t>2</w:t>
                  </w:r>
                </w:p>
              </w:tc>
              <w:tc>
                <w:tcPr>
                  <w:tcW w:w="847" w:type="pct"/>
                  <w:tcBorders>
                    <w:tl2br w:val="nil"/>
                    <w:tr2bl w:val="nil"/>
                  </w:tcBorders>
                  <w:vAlign w:val="center"/>
                </w:tcPr>
                <w:p w14:paraId="3172599F">
                  <w:pPr>
                    <w:spacing w:line="300" w:lineRule="exact"/>
                    <w:jc w:val="center"/>
                    <w:rPr>
                      <w:sz w:val="21"/>
                      <w:szCs w:val="21"/>
                    </w:rPr>
                  </w:pPr>
                  <w:r>
                    <w:rPr>
                      <w:rFonts w:hint="eastAsia"/>
                      <w:sz w:val="21"/>
                      <w:szCs w:val="21"/>
                    </w:rPr>
                    <w:t>***居民区2</w:t>
                  </w:r>
                </w:p>
              </w:tc>
              <w:tc>
                <w:tcPr>
                  <w:tcW w:w="391" w:type="pct"/>
                  <w:tcBorders>
                    <w:tl2br w:val="nil"/>
                    <w:tr2bl w:val="nil"/>
                  </w:tcBorders>
                  <w:vAlign w:val="center"/>
                </w:tcPr>
                <w:p w14:paraId="0AE4E71B">
                  <w:pPr>
                    <w:pStyle w:val="40"/>
                    <w:rPr>
                      <w:rFonts w:cs="Times New Roman"/>
                    </w:rPr>
                  </w:pPr>
                  <w:r>
                    <w:rPr>
                      <w:rFonts w:hint="eastAsia" w:cs="Times New Roman"/>
                    </w:rPr>
                    <w:t>西北</w:t>
                  </w:r>
                </w:p>
              </w:tc>
              <w:tc>
                <w:tcPr>
                  <w:tcW w:w="452" w:type="pct"/>
                  <w:tcBorders>
                    <w:tl2br w:val="nil"/>
                    <w:tr2bl w:val="nil"/>
                  </w:tcBorders>
                  <w:vAlign w:val="center"/>
                </w:tcPr>
                <w:p w14:paraId="0A82AF15">
                  <w:pPr>
                    <w:pStyle w:val="40"/>
                    <w:rPr>
                      <w:rFonts w:cs="Times New Roman"/>
                    </w:rPr>
                  </w:pPr>
                  <w:r>
                    <w:rPr>
                      <w:rFonts w:cs="Times New Roman"/>
                    </w:rPr>
                    <w:t>63m</w:t>
                  </w:r>
                </w:p>
              </w:tc>
              <w:tc>
                <w:tcPr>
                  <w:tcW w:w="564" w:type="pct"/>
                  <w:tcBorders>
                    <w:tl2br w:val="nil"/>
                    <w:tr2bl w:val="nil"/>
                  </w:tcBorders>
                  <w:vAlign w:val="center"/>
                </w:tcPr>
                <w:p w14:paraId="52837BEA">
                  <w:pPr>
                    <w:pStyle w:val="40"/>
                    <w:rPr>
                      <w:rFonts w:cs="Times New Roman"/>
                    </w:rPr>
                  </w:pPr>
                  <w:r>
                    <w:rPr>
                      <w:rFonts w:hint="eastAsia" w:cs="Times New Roman"/>
                    </w:rPr>
                    <w:t>62</w:t>
                  </w:r>
                  <w:r>
                    <w:rPr>
                      <w:rFonts w:cs="Times New Roman"/>
                    </w:rPr>
                    <w:t>m</w:t>
                  </w:r>
                </w:p>
              </w:tc>
              <w:tc>
                <w:tcPr>
                  <w:tcW w:w="823" w:type="pct"/>
                  <w:tcBorders>
                    <w:tl2br w:val="nil"/>
                    <w:tr2bl w:val="nil"/>
                  </w:tcBorders>
                  <w:vAlign w:val="center"/>
                </w:tcPr>
                <w:p w14:paraId="19359E32">
                  <w:pPr>
                    <w:pStyle w:val="40"/>
                    <w:rPr>
                      <w:rFonts w:cs="Times New Roman"/>
                    </w:rPr>
                  </w:pPr>
                  <w:r>
                    <w:rPr>
                      <w:rFonts w:hint="eastAsia" w:cs="Times New Roman"/>
                    </w:rPr>
                    <w:t>6户，18人</w:t>
                  </w:r>
                </w:p>
              </w:tc>
              <w:tc>
                <w:tcPr>
                  <w:tcW w:w="772" w:type="pct"/>
                  <w:tcBorders>
                    <w:tl2br w:val="nil"/>
                    <w:tr2bl w:val="nil"/>
                  </w:tcBorders>
                  <w:vAlign w:val="center"/>
                </w:tcPr>
                <w:p w14:paraId="3902A401">
                  <w:pPr>
                    <w:widowControl/>
                    <w:jc w:val="center"/>
                    <w:rPr>
                      <w:sz w:val="21"/>
                      <w:szCs w:val="21"/>
                    </w:rPr>
                  </w:pPr>
                  <w:r>
                    <w:rPr>
                      <w:rFonts w:hint="eastAsia"/>
                      <w:sz w:val="21"/>
                      <w:szCs w:val="21"/>
                    </w:rPr>
                    <w:t>居民</w:t>
                  </w:r>
                </w:p>
              </w:tc>
              <w:tc>
                <w:tcPr>
                  <w:tcW w:w="784" w:type="pct"/>
                  <w:vMerge w:val="continue"/>
                  <w:tcBorders>
                    <w:tl2br w:val="nil"/>
                    <w:tr2bl w:val="nil"/>
                  </w:tcBorders>
                  <w:vAlign w:val="center"/>
                </w:tcPr>
                <w:p w14:paraId="355A8AEA">
                  <w:pPr>
                    <w:widowControl/>
                    <w:jc w:val="center"/>
                    <w:rPr>
                      <w:sz w:val="21"/>
                      <w:szCs w:val="21"/>
                    </w:rPr>
                  </w:pPr>
                </w:p>
              </w:tc>
            </w:tr>
            <w:tr w14:paraId="3928D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vAlign w:val="center"/>
                </w:tcPr>
                <w:p w14:paraId="460E0342">
                  <w:pPr>
                    <w:widowControl/>
                    <w:jc w:val="center"/>
                    <w:rPr>
                      <w:sz w:val="21"/>
                      <w:szCs w:val="21"/>
                    </w:rPr>
                  </w:pPr>
                  <w:r>
                    <w:rPr>
                      <w:sz w:val="21"/>
                      <w:szCs w:val="21"/>
                    </w:rPr>
                    <w:t>3</w:t>
                  </w:r>
                </w:p>
              </w:tc>
              <w:tc>
                <w:tcPr>
                  <w:tcW w:w="847" w:type="pct"/>
                  <w:tcBorders>
                    <w:tl2br w:val="nil"/>
                    <w:tr2bl w:val="nil"/>
                  </w:tcBorders>
                  <w:vAlign w:val="center"/>
                </w:tcPr>
                <w:p w14:paraId="229FE78D">
                  <w:pPr>
                    <w:spacing w:line="300" w:lineRule="exact"/>
                    <w:jc w:val="center"/>
                    <w:rPr>
                      <w:sz w:val="21"/>
                      <w:szCs w:val="21"/>
                    </w:rPr>
                  </w:pPr>
                  <w:r>
                    <w:rPr>
                      <w:rFonts w:hint="eastAsia"/>
                      <w:sz w:val="21"/>
                      <w:szCs w:val="21"/>
                    </w:rPr>
                    <w:t>***散户居民</w:t>
                  </w:r>
                </w:p>
              </w:tc>
              <w:tc>
                <w:tcPr>
                  <w:tcW w:w="391" w:type="pct"/>
                  <w:tcBorders>
                    <w:tl2br w:val="nil"/>
                    <w:tr2bl w:val="nil"/>
                  </w:tcBorders>
                  <w:vAlign w:val="center"/>
                </w:tcPr>
                <w:p w14:paraId="6B82C744">
                  <w:pPr>
                    <w:pStyle w:val="40"/>
                    <w:rPr>
                      <w:rFonts w:cs="Times New Roman"/>
                    </w:rPr>
                  </w:pPr>
                  <w:r>
                    <w:rPr>
                      <w:rFonts w:hint="eastAsia" w:cs="Times New Roman"/>
                    </w:rPr>
                    <w:t>东北</w:t>
                  </w:r>
                </w:p>
              </w:tc>
              <w:tc>
                <w:tcPr>
                  <w:tcW w:w="452" w:type="pct"/>
                  <w:tcBorders>
                    <w:tl2br w:val="nil"/>
                    <w:tr2bl w:val="nil"/>
                  </w:tcBorders>
                  <w:vAlign w:val="center"/>
                </w:tcPr>
                <w:p w14:paraId="13235AA4">
                  <w:pPr>
                    <w:pStyle w:val="40"/>
                    <w:rPr>
                      <w:rFonts w:cs="Times New Roman"/>
                    </w:rPr>
                  </w:pPr>
                  <w:r>
                    <w:rPr>
                      <w:rFonts w:cs="Times New Roman"/>
                    </w:rPr>
                    <w:t>107m</w:t>
                  </w:r>
                </w:p>
              </w:tc>
              <w:tc>
                <w:tcPr>
                  <w:tcW w:w="564" w:type="pct"/>
                  <w:tcBorders>
                    <w:tl2br w:val="nil"/>
                    <w:tr2bl w:val="nil"/>
                  </w:tcBorders>
                  <w:vAlign w:val="center"/>
                </w:tcPr>
                <w:p w14:paraId="4E58FE73">
                  <w:pPr>
                    <w:pStyle w:val="40"/>
                    <w:rPr>
                      <w:rFonts w:cs="Times New Roman"/>
                    </w:rPr>
                  </w:pPr>
                  <w:r>
                    <w:rPr>
                      <w:rFonts w:hint="eastAsia" w:cs="Times New Roman"/>
                    </w:rPr>
                    <w:t>72</w:t>
                  </w:r>
                  <w:r>
                    <w:rPr>
                      <w:rFonts w:cs="Times New Roman"/>
                    </w:rPr>
                    <w:t>m</w:t>
                  </w:r>
                </w:p>
              </w:tc>
              <w:tc>
                <w:tcPr>
                  <w:tcW w:w="823" w:type="pct"/>
                  <w:tcBorders>
                    <w:tl2br w:val="nil"/>
                    <w:tr2bl w:val="nil"/>
                  </w:tcBorders>
                  <w:vAlign w:val="center"/>
                </w:tcPr>
                <w:p w14:paraId="47265672">
                  <w:pPr>
                    <w:pStyle w:val="40"/>
                    <w:rPr>
                      <w:rFonts w:cs="Times New Roman"/>
                    </w:rPr>
                  </w:pPr>
                  <w:r>
                    <w:rPr>
                      <w:rFonts w:hint="eastAsia" w:cs="Times New Roman"/>
                    </w:rPr>
                    <w:t>5户，15人</w:t>
                  </w:r>
                </w:p>
              </w:tc>
              <w:tc>
                <w:tcPr>
                  <w:tcW w:w="772" w:type="pct"/>
                  <w:tcBorders>
                    <w:tl2br w:val="nil"/>
                    <w:tr2bl w:val="nil"/>
                  </w:tcBorders>
                  <w:vAlign w:val="center"/>
                </w:tcPr>
                <w:p w14:paraId="24CF36FF">
                  <w:pPr>
                    <w:widowControl/>
                    <w:jc w:val="center"/>
                    <w:rPr>
                      <w:sz w:val="21"/>
                      <w:szCs w:val="21"/>
                    </w:rPr>
                  </w:pPr>
                  <w:r>
                    <w:rPr>
                      <w:rFonts w:hint="eastAsia"/>
                      <w:sz w:val="21"/>
                      <w:szCs w:val="21"/>
                    </w:rPr>
                    <w:t>居民</w:t>
                  </w:r>
                </w:p>
              </w:tc>
              <w:tc>
                <w:tcPr>
                  <w:tcW w:w="784" w:type="pct"/>
                  <w:vMerge w:val="continue"/>
                  <w:tcBorders>
                    <w:tl2br w:val="nil"/>
                    <w:tr2bl w:val="nil"/>
                  </w:tcBorders>
                  <w:vAlign w:val="center"/>
                </w:tcPr>
                <w:p w14:paraId="3C7D9779">
                  <w:pPr>
                    <w:widowControl/>
                    <w:jc w:val="center"/>
                    <w:rPr>
                      <w:sz w:val="21"/>
                      <w:szCs w:val="21"/>
                    </w:rPr>
                  </w:pPr>
                </w:p>
              </w:tc>
            </w:tr>
            <w:tr w14:paraId="3FBEAC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vAlign w:val="center"/>
                </w:tcPr>
                <w:p w14:paraId="6EE7A03A">
                  <w:pPr>
                    <w:widowControl/>
                    <w:jc w:val="center"/>
                    <w:rPr>
                      <w:sz w:val="21"/>
                      <w:szCs w:val="21"/>
                    </w:rPr>
                  </w:pPr>
                  <w:r>
                    <w:rPr>
                      <w:sz w:val="21"/>
                      <w:szCs w:val="21"/>
                    </w:rPr>
                    <w:t>4</w:t>
                  </w:r>
                </w:p>
              </w:tc>
              <w:tc>
                <w:tcPr>
                  <w:tcW w:w="847" w:type="pct"/>
                  <w:tcBorders>
                    <w:tl2br w:val="nil"/>
                    <w:tr2bl w:val="nil"/>
                  </w:tcBorders>
                  <w:vAlign w:val="center"/>
                </w:tcPr>
                <w:p w14:paraId="46FAC5BC">
                  <w:pPr>
                    <w:spacing w:line="300" w:lineRule="exact"/>
                    <w:jc w:val="center"/>
                    <w:rPr>
                      <w:sz w:val="21"/>
                      <w:szCs w:val="21"/>
                    </w:rPr>
                  </w:pPr>
                  <w:r>
                    <w:rPr>
                      <w:rFonts w:hint="eastAsia"/>
                      <w:sz w:val="21"/>
                      <w:szCs w:val="21"/>
                    </w:rPr>
                    <w:t>***居民区</w:t>
                  </w:r>
                </w:p>
              </w:tc>
              <w:tc>
                <w:tcPr>
                  <w:tcW w:w="391" w:type="pct"/>
                  <w:tcBorders>
                    <w:tl2br w:val="nil"/>
                    <w:tr2bl w:val="nil"/>
                  </w:tcBorders>
                  <w:vAlign w:val="center"/>
                </w:tcPr>
                <w:p w14:paraId="1D809018">
                  <w:pPr>
                    <w:pStyle w:val="40"/>
                    <w:rPr>
                      <w:rFonts w:cs="Times New Roman"/>
                    </w:rPr>
                  </w:pPr>
                  <w:r>
                    <w:rPr>
                      <w:rFonts w:hint="eastAsia" w:cs="Times New Roman"/>
                    </w:rPr>
                    <w:t>东</w:t>
                  </w:r>
                </w:p>
              </w:tc>
              <w:tc>
                <w:tcPr>
                  <w:tcW w:w="452" w:type="pct"/>
                  <w:tcBorders>
                    <w:tl2br w:val="nil"/>
                    <w:tr2bl w:val="nil"/>
                  </w:tcBorders>
                  <w:vAlign w:val="center"/>
                </w:tcPr>
                <w:p w14:paraId="6824B78B">
                  <w:pPr>
                    <w:pStyle w:val="40"/>
                    <w:rPr>
                      <w:rFonts w:cs="Times New Roman"/>
                    </w:rPr>
                  </w:pPr>
                  <w:r>
                    <w:rPr>
                      <w:rFonts w:cs="Times New Roman"/>
                    </w:rPr>
                    <w:t>59m</w:t>
                  </w:r>
                </w:p>
              </w:tc>
              <w:tc>
                <w:tcPr>
                  <w:tcW w:w="564" w:type="pct"/>
                  <w:tcBorders>
                    <w:tl2br w:val="nil"/>
                    <w:tr2bl w:val="nil"/>
                  </w:tcBorders>
                  <w:vAlign w:val="center"/>
                </w:tcPr>
                <w:p w14:paraId="63A22CA1">
                  <w:pPr>
                    <w:pStyle w:val="40"/>
                    <w:rPr>
                      <w:rFonts w:cs="Times New Roman"/>
                    </w:rPr>
                  </w:pPr>
                  <w:r>
                    <w:rPr>
                      <w:rFonts w:cs="Times New Roman"/>
                    </w:rPr>
                    <w:t>59m</w:t>
                  </w:r>
                </w:p>
              </w:tc>
              <w:tc>
                <w:tcPr>
                  <w:tcW w:w="823" w:type="pct"/>
                  <w:tcBorders>
                    <w:tl2br w:val="nil"/>
                    <w:tr2bl w:val="nil"/>
                  </w:tcBorders>
                  <w:vAlign w:val="center"/>
                </w:tcPr>
                <w:p w14:paraId="5F971439">
                  <w:pPr>
                    <w:pStyle w:val="40"/>
                    <w:rPr>
                      <w:rFonts w:cs="Times New Roman"/>
                    </w:rPr>
                  </w:pPr>
                  <w:r>
                    <w:rPr>
                      <w:rFonts w:hint="eastAsia" w:cs="Times New Roman"/>
                    </w:rPr>
                    <w:t>18户，54人</w:t>
                  </w:r>
                </w:p>
              </w:tc>
              <w:tc>
                <w:tcPr>
                  <w:tcW w:w="772" w:type="pct"/>
                  <w:tcBorders>
                    <w:tl2br w:val="nil"/>
                    <w:tr2bl w:val="nil"/>
                  </w:tcBorders>
                  <w:vAlign w:val="center"/>
                </w:tcPr>
                <w:p w14:paraId="41EFB296">
                  <w:pPr>
                    <w:widowControl/>
                    <w:jc w:val="center"/>
                    <w:rPr>
                      <w:sz w:val="21"/>
                      <w:szCs w:val="21"/>
                    </w:rPr>
                  </w:pPr>
                  <w:r>
                    <w:rPr>
                      <w:rFonts w:hint="eastAsia"/>
                      <w:sz w:val="21"/>
                      <w:szCs w:val="21"/>
                    </w:rPr>
                    <w:t>居民</w:t>
                  </w:r>
                </w:p>
              </w:tc>
              <w:tc>
                <w:tcPr>
                  <w:tcW w:w="784" w:type="pct"/>
                  <w:vMerge w:val="continue"/>
                  <w:tcBorders>
                    <w:tl2br w:val="nil"/>
                    <w:tr2bl w:val="nil"/>
                  </w:tcBorders>
                  <w:vAlign w:val="center"/>
                </w:tcPr>
                <w:p w14:paraId="23A30334">
                  <w:pPr>
                    <w:widowControl/>
                    <w:jc w:val="center"/>
                    <w:rPr>
                      <w:sz w:val="21"/>
                      <w:szCs w:val="21"/>
                    </w:rPr>
                  </w:pPr>
                </w:p>
              </w:tc>
            </w:tr>
            <w:tr w14:paraId="6B69E4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vAlign w:val="center"/>
                </w:tcPr>
                <w:p w14:paraId="10DEE182">
                  <w:pPr>
                    <w:widowControl/>
                    <w:jc w:val="center"/>
                    <w:rPr>
                      <w:sz w:val="21"/>
                      <w:szCs w:val="21"/>
                    </w:rPr>
                  </w:pPr>
                  <w:r>
                    <w:rPr>
                      <w:sz w:val="21"/>
                      <w:szCs w:val="21"/>
                    </w:rPr>
                    <w:t>5</w:t>
                  </w:r>
                </w:p>
              </w:tc>
              <w:tc>
                <w:tcPr>
                  <w:tcW w:w="847" w:type="pct"/>
                  <w:tcBorders>
                    <w:tl2br w:val="nil"/>
                    <w:tr2bl w:val="nil"/>
                  </w:tcBorders>
                  <w:vAlign w:val="center"/>
                </w:tcPr>
                <w:p w14:paraId="517DF870">
                  <w:pPr>
                    <w:spacing w:line="300" w:lineRule="exact"/>
                    <w:jc w:val="center"/>
                    <w:rPr>
                      <w:sz w:val="21"/>
                      <w:szCs w:val="21"/>
                    </w:rPr>
                  </w:pPr>
                  <w:r>
                    <w:rPr>
                      <w:rFonts w:hint="eastAsia"/>
                      <w:sz w:val="21"/>
                      <w:szCs w:val="21"/>
                    </w:rPr>
                    <w:t>***居民区</w:t>
                  </w:r>
                </w:p>
              </w:tc>
              <w:tc>
                <w:tcPr>
                  <w:tcW w:w="391" w:type="pct"/>
                  <w:tcBorders>
                    <w:tl2br w:val="nil"/>
                    <w:tr2bl w:val="nil"/>
                  </w:tcBorders>
                  <w:vAlign w:val="center"/>
                </w:tcPr>
                <w:p w14:paraId="68B0D413">
                  <w:pPr>
                    <w:pStyle w:val="40"/>
                    <w:rPr>
                      <w:rFonts w:cs="Times New Roman"/>
                    </w:rPr>
                  </w:pPr>
                  <w:r>
                    <w:rPr>
                      <w:rFonts w:hint="eastAsia" w:cs="Times New Roman"/>
                    </w:rPr>
                    <w:t>东南</w:t>
                  </w:r>
                </w:p>
              </w:tc>
              <w:tc>
                <w:tcPr>
                  <w:tcW w:w="452" w:type="pct"/>
                  <w:tcBorders>
                    <w:tl2br w:val="nil"/>
                    <w:tr2bl w:val="nil"/>
                  </w:tcBorders>
                  <w:vAlign w:val="center"/>
                </w:tcPr>
                <w:p w14:paraId="62C4D29D">
                  <w:pPr>
                    <w:pStyle w:val="40"/>
                    <w:rPr>
                      <w:rFonts w:cs="Times New Roman"/>
                    </w:rPr>
                  </w:pPr>
                  <w:r>
                    <w:rPr>
                      <w:rFonts w:hint="eastAsia" w:cs="Times New Roman"/>
                    </w:rPr>
                    <w:t>紧邻</w:t>
                  </w:r>
                </w:p>
              </w:tc>
              <w:tc>
                <w:tcPr>
                  <w:tcW w:w="564" w:type="pct"/>
                  <w:tcBorders>
                    <w:tl2br w:val="nil"/>
                    <w:tr2bl w:val="nil"/>
                  </w:tcBorders>
                  <w:vAlign w:val="center"/>
                </w:tcPr>
                <w:p w14:paraId="33D0B896">
                  <w:pPr>
                    <w:pStyle w:val="40"/>
                    <w:rPr>
                      <w:rFonts w:cs="Times New Roman"/>
                    </w:rPr>
                  </w:pPr>
                  <w:r>
                    <w:rPr>
                      <w:rFonts w:hint="eastAsia" w:cs="Times New Roman"/>
                    </w:rPr>
                    <w:t>3</w:t>
                  </w:r>
                  <w:bookmarkStart w:id="19" w:name="_GoBack"/>
                  <w:bookmarkEnd w:id="19"/>
                  <w:r>
                    <w:rPr>
                      <w:rFonts w:hint="eastAsia" w:cs="Times New Roman"/>
                    </w:rPr>
                    <w:t>2</w:t>
                  </w:r>
                  <w:r>
                    <w:rPr>
                      <w:rFonts w:cs="Times New Roman"/>
                    </w:rPr>
                    <w:t>m</w:t>
                  </w:r>
                </w:p>
              </w:tc>
              <w:tc>
                <w:tcPr>
                  <w:tcW w:w="823" w:type="pct"/>
                  <w:tcBorders>
                    <w:tl2br w:val="nil"/>
                    <w:tr2bl w:val="nil"/>
                  </w:tcBorders>
                  <w:vAlign w:val="center"/>
                </w:tcPr>
                <w:p w14:paraId="69462D61">
                  <w:pPr>
                    <w:pStyle w:val="40"/>
                    <w:rPr>
                      <w:rFonts w:cs="Times New Roman"/>
                    </w:rPr>
                  </w:pPr>
                  <w:r>
                    <w:rPr>
                      <w:rFonts w:hint="eastAsia" w:cs="Times New Roman"/>
                    </w:rPr>
                    <w:t>9户，27人</w:t>
                  </w:r>
                </w:p>
              </w:tc>
              <w:tc>
                <w:tcPr>
                  <w:tcW w:w="772" w:type="pct"/>
                  <w:tcBorders>
                    <w:tl2br w:val="nil"/>
                    <w:tr2bl w:val="nil"/>
                  </w:tcBorders>
                  <w:vAlign w:val="center"/>
                </w:tcPr>
                <w:p w14:paraId="4447C8BE">
                  <w:pPr>
                    <w:widowControl/>
                    <w:jc w:val="center"/>
                    <w:rPr>
                      <w:sz w:val="21"/>
                      <w:szCs w:val="21"/>
                    </w:rPr>
                  </w:pPr>
                  <w:r>
                    <w:rPr>
                      <w:rFonts w:hint="eastAsia"/>
                      <w:sz w:val="21"/>
                      <w:szCs w:val="21"/>
                    </w:rPr>
                    <w:t>居民</w:t>
                  </w:r>
                </w:p>
              </w:tc>
              <w:tc>
                <w:tcPr>
                  <w:tcW w:w="784" w:type="pct"/>
                  <w:vMerge w:val="continue"/>
                  <w:tcBorders>
                    <w:tl2br w:val="nil"/>
                    <w:tr2bl w:val="nil"/>
                  </w:tcBorders>
                  <w:vAlign w:val="center"/>
                </w:tcPr>
                <w:p w14:paraId="10ECE716">
                  <w:pPr>
                    <w:widowControl/>
                    <w:jc w:val="center"/>
                    <w:rPr>
                      <w:sz w:val="21"/>
                      <w:szCs w:val="21"/>
                    </w:rPr>
                  </w:pPr>
                </w:p>
              </w:tc>
            </w:tr>
          </w:tbl>
          <w:p w14:paraId="58607A42">
            <w:pPr>
              <w:spacing w:before="156" w:beforeLines="50" w:line="360" w:lineRule="auto"/>
              <w:ind w:firstLine="482" w:firstLineChars="200"/>
              <w:rPr>
                <w:b/>
                <w:bCs/>
              </w:rPr>
            </w:pPr>
            <w:r>
              <w:rPr>
                <w:rFonts w:hint="eastAsia"/>
                <w:b/>
                <w:bCs/>
              </w:rPr>
              <w:t>3、地表水环境保护目标</w:t>
            </w:r>
          </w:p>
          <w:p w14:paraId="083F1477">
            <w:pPr>
              <w:spacing w:line="360" w:lineRule="auto"/>
              <w:ind w:firstLine="480" w:firstLineChars="200"/>
            </w:pPr>
            <w:r>
              <w:rPr>
                <w:rFonts w:hint="eastAsia"/>
              </w:rPr>
              <w:t>本项目地表水环境保护目标见下表。</w:t>
            </w:r>
          </w:p>
          <w:p w14:paraId="7700CE94">
            <w:pPr>
              <w:pStyle w:val="7"/>
              <w:rPr>
                <w:rFonts w:cs="Times New Roman"/>
              </w:rPr>
            </w:pPr>
            <w:r>
              <w:rPr>
                <w:rFonts w:hint="eastAsia" w:cs="Times New Roman"/>
              </w:rPr>
              <w:t>表3- 20  项目地表水环境保护目标</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50"/>
              <w:gridCol w:w="900"/>
              <w:gridCol w:w="1462"/>
              <w:gridCol w:w="975"/>
              <w:gridCol w:w="688"/>
              <w:gridCol w:w="1540"/>
              <w:gridCol w:w="2590"/>
            </w:tblGrid>
            <w:tr w14:paraId="2CBEAE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blHeader/>
                <w:jc w:val="center"/>
              </w:trPr>
              <w:tc>
                <w:tcPr>
                  <w:tcW w:w="850" w:type="dxa"/>
                  <w:tcBorders>
                    <w:tl2br w:val="nil"/>
                    <w:tr2bl w:val="nil"/>
                  </w:tcBorders>
                  <w:vAlign w:val="center"/>
                </w:tcPr>
                <w:p w14:paraId="7501EA31">
                  <w:pPr>
                    <w:jc w:val="center"/>
                    <w:rPr>
                      <w:b/>
                      <w:bCs/>
                      <w:sz w:val="21"/>
                      <w:szCs w:val="21"/>
                    </w:rPr>
                  </w:pPr>
                  <w:r>
                    <w:rPr>
                      <w:rFonts w:hint="eastAsia"/>
                      <w:b/>
                      <w:bCs/>
                      <w:sz w:val="21"/>
                      <w:szCs w:val="21"/>
                    </w:rPr>
                    <w:t>环境要素</w:t>
                  </w:r>
                </w:p>
              </w:tc>
              <w:tc>
                <w:tcPr>
                  <w:tcW w:w="900" w:type="dxa"/>
                  <w:tcBorders>
                    <w:tl2br w:val="nil"/>
                    <w:tr2bl w:val="nil"/>
                  </w:tcBorders>
                  <w:vAlign w:val="center"/>
                </w:tcPr>
                <w:p w14:paraId="65823F54">
                  <w:pPr>
                    <w:jc w:val="center"/>
                    <w:rPr>
                      <w:b/>
                      <w:bCs/>
                      <w:sz w:val="21"/>
                      <w:szCs w:val="21"/>
                    </w:rPr>
                  </w:pPr>
                  <w:r>
                    <w:rPr>
                      <w:rFonts w:hint="eastAsia"/>
                      <w:b/>
                      <w:bCs/>
                      <w:sz w:val="21"/>
                      <w:szCs w:val="21"/>
                    </w:rPr>
                    <w:t>名称</w:t>
                  </w:r>
                </w:p>
              </w:tc>
              <w:tc>
                <w:tcPr>
                  <w:tcW w:w="1462" w:type="dxa"/>
                  <w:tcBorders>
                    <w:tl2br w:val="nil"/>
                    <w:tr2bl w:val="nil"/>
                  </w:tcBorders>
                  <w:vAlign w:val="center"/>
                </w:tcPr>
                <w:p w14:paraId="50C45826">
                  <w:pPr>
                    <w:jc w:val="center"/>
                    <w:rPr>
                      <w:b/>
                      <w:bCs/>
                      <w:sz w:val="21"/>
                      <w:szCs w:val="21"/>
                    </w:rPr>
                  </w:pPr>
                  <w:r>
                    <w:rPr>
                      <w:rFonts w:hint="eastAsia"/>
                      <w:b/>
                      <w:bCs/>
                      <w:sz w:val="21"/>
                      <w:szCs w:val="21"/>
                    </w:rPr>
                    <w:t>方位</w:t>
                  </w:r>
                </w:p>
              </w:tc>
              <w:tc>
                <w:tcPr>
                  <w:tcW w:w="975" w:type="dxa"/>
                  <w:tcBorders>
                    <w:tl2br w:val="nil"/>
                    <w:tr2bl w:val="nil"/>
                  </w:tcBorders>
                  <w:vAlign w:val="center"/>
                </w:tcPr>
                <w:p w14:paraId="17769375">
                  <w:pPr>
                    <w:jc w:val="center"/>
                    <w:rPr>
                      <w:b/>
                      <w:bCs/>
                      <w:sz w:val="21"/>
                      <w:szCs w:val="21"/>
                    </w:rPr>
                  </w:pPr>
                  <w:r>
                    <w:rPr>
                      <w:rFonts w:hint="eastAsia"/>
                      <w:b/>
                      <w:bCs/>
                      <w:sz w:val="21"/>
                      <w:szCs w:val="21"/>
                    </w:rPr>
                    <w:t>距离</w:t>
                  </w:r>
                </w:p>
              </w:tc>
              <w:tc>
                <w:tcPr>
                  <w:tcW w:w="688" w:type="dxa"/>
                  <w:tcBorders>
                    <w:tl2br w:val="nil"/>
                    <w:tr2bl w:val="nil"/>
                  </w:tcBorders>
                  <w:vAlign w:val="center"/>
                </w:tcPr>
                <w:p w14:paraId="3B03A753">
                  <w:pPr>
                    <w:jc w:val="center"/>
                    <w:rPr>
                      <w:b/>
                      <w:bCs/>
                      <w:sz w:val="21"/>
                      <w:szCs w:val="21"/>
                    </w:rPr>
                  </w:pPr>
                  <w:r>
                    <w:rPr>
                      <w:rFonts w:hint="eastAsia"/>
                      <w:b/>
                      <w:bCs/>
                      <w:sz w:val="21"/>
                      <w:szCs w:val="21"/>
                    </w:rPr>
                    <w:t>规模</w:t>
                  </w:r>
                </w:p>
              </w:tc>
              <w:tc>
                <w:tcPr>
                  <w:tcW w:w="1540" w:type="dxa"/>
                  <w:tcBorders>
                    <w:tl2br w:val="nil"/>
                    <w:tr2bl w:val="nil"/>
                  </w:tcBorders>
                  <w:vAlign w:val="center"/>
                </w:tcPr>
                <w:p w14:paraId="1637015B">
                  <w:pPr>
                    <w:jc w:val="center"/>
                    <w:rPr>
                      <w:b/>
                      <w:bCs/>
                      <w:sz w:val="21"/>
                      <w:szCs w:val="21"/>
                    </w:rPr>
                  </w:pPr>
                  <w:r>
                    <w:rPr>
                      <w:rFonts w:hint="eastAsia"/>
                      <w:b/>
                      <w:bCs/>
                      <w:sz w:val="21"/>
                      <w:szCs w:val="21"/>
                    </w:rPr>
                    <w:t>主要功能</w:t>
                  </w:r>
                </w:p>
              </w:tc>
              <w:tc>
                <w:tcPr>
                  <w:tcW w:w="2590" w:type="dxa"/>
                  <w:tcBorders>
                    <w:tl2br w:val="nil"/>
                    <w:tr2bl w:val="nil"/>
                  </w:tcBorders>
                  <w:vAlign w:val="center"/>
                </w:tcPr>
                <w:p w14:paraId="573BD09B">
                  <w:pPr>
                    <w:jc w:val="center"/>
                    <w:rPr>
                      <w:b/>
                      <w:bCs/>
                      <w:sz w:val="21"/>
                      <w:szCs w:val="21"/>
                    </w:rPr>
                  </w:pPr>
                  <w:r>
                    <w:rPr>
                      <w:rFonts w:hint="eastAsia"/>
                      <w:b/>
                      <w:bCs/>
                      <w:sz w:val="21"/>
                      <w:szCs w:val="21"/>
                    </w:rPr>
                    <w:t>保护要求</w:t>
                  </w:r>
                </w:p>
              </w:tc>
            </w:tr>
            <w:tr w14:paraId="7AAE5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0" w:type="dxa"/>
                  <w:vMerge w:val="restart"/>
                  <w:tcBorders>
                    <w:tl2br w:val="nil"/>
                    <w:tr2bl w:val="nil"/>
                  </w:tcBorders>
                  <w:vAlign w:val="center"/>
                </w:tcPr>
                <w:p w14:paraId="2A302605">
                  <w:pPr>
                    <w:widowControl/>
                    <w:jc w:val="center"/>
                    <w:rPr>
                      <w:sz w:val="21"/>
                      <w:szCs w:val="21"/>
                    </w:rPr>
                  </w:pPr>
                  <w:r>
                    <w:rPr>
                      <w:rFonts w:hint="eastAsia"/>
                      <w:sz w:val="21"/>
                      <w:szCs w:val="21"/>
                    </w:rPr>
                    <w:t>地表水</w:t>
                  </w:r>
                </w:p>
              </w:tc>
              <w:tc>
                <w:tcPr>
                  <w:tcW w:w="900" w:type="dxa"/>
                  <w:tcBorders>
                    <w:tl2br w:val="nil"/>
                    <w:tr2bl w:val="nil"/>
                  </w:tcBorders>
                  <w:vAlign w:val="center"/>
                </w:tcPr>
                <w:p w14:paraId="142F53F4">
                  <w:pPr>
                    <w:widowControl/>
                    <w:jc w:val="center"/>
                    <w:rPr>
                      <w:sz w:val="21"/>
                      <w:szCs w:val="21"/>
                    </w:rPr>
                  </w:pPr>
                  <w:r>
                    <w:rPr>
                      <w:rFonts w:hint="eastAsia"/>
                      <w:sz w:val="21"/>
                      <w:szCs w:val="21"/>
                    </w:rPr>
                    <w:t>海螺沟</w:t>
                  </w:r>
                </w:p>
              </w:tc>
              <w:tc>
                <w:tcPr>
                  <w:tcW w:w="1462" w:type="dxa"/>
                  <w:tcBorders>
                    <w:tl2br w:val="nil"/>
                    <w:tr2bl w:val="nil"/>
                  </w:tcBorders>
                  <w:vAlign w:val="center"/>
                </w:tcPr>
                <w:p w14:paraId="76B46BB6">
                  <w:pPr>
                    <w:widowControl/>
                    <w:jc w:val="center"/>
                    <w:rPr>
                      <w:sz w:val="21"/>
                      <w:szCs w:val="21"/>
                    </w:rPr>
                  </w:pPr>
                  <w:r>
                    <w:rPr>
                      <w:rFonts w:hint="eastAsia"/>
                      <w:sz w:val="21"/>
                      <w:szCs w:val="21"/>
                    </w:rPr>
                    <w:t>项目工程位置</w:t>
                  </w:r>
                </w:p>
              </w:tc>
              <w:tc>
                <w:tcPr>
                  <w:tcW w:w="975" w:type="dxa"/>
                  <w:tcBorders>
                    <w:tl2br w:val="nil"/>
                    <w:tr2bl w:val="nil"/>
                  </w:tcBorders>
                  <w:vAlign w:val="center"/>
                </w:tcPr>
                <w:p w14:paraId="02952E8A">
                  <w:pPr>
                    <w:widowControl/>
                    <w:jc w:val="center"/>
                    <w:rPr>
                      <w:sz w:val="21"/>
                      <w:szCs w:val="21"/>
                    </w:rPr>
                  </w:pPr>
                  <w:r>
                    <w:rPr>
                      <w:sz w:val="21"/>
                      <w:szCs w:val="21"/>
                    </w:rPr>
                    <w:t>/</w:t>
                  </w:r>
                </w:p>
              </w:tc>
              <w:tc>
                <w:tcPr>
                  <w:tcW w:w="688" w:type="dxa"/>
                  <w:tcBorders>
                    <w:tl2br w:val="nil"/>
                    <w:tr2bl w:val="nil"/>
                  </w:tcBorders>
                  <w:vAlign w:val="center"/>
                </w:tcPr>
                <w:p w14:paraId="30271CB4">
                  <w:pPr>
                    <w:widowControl/>
                    <w:jc w:val="center"/>
                    <w:rPr>
                      <w:spacing w:val="8"/>
                      <w:sz w:val="21"/>
                      <w:szCs w:val="21"/>
                    </w:rPr>
                  </w:pPr>
                  <w:r>
                    <w:rPr>
                      <w:rFonts w:hint="eastAsia"/>
                      <w:spacing w:val="8"/>
                      <w:sz w:val="21"/>
                      <w:szCs w:val="21"/>
                    </w:rPr>
                    <w:t>小河</w:t>
                  </w:r>
                </w:p>
              </w:tc>
              <w:tc>
                <w:tcPr>
                  <w:tcW w:w="1540" w:type="dxa"/>
                  <w:tcBorders>
                    <w:tl2br w:val="nil"/>
                    <w:tr2bl w:val="nil"/>
                  </w:tcBorders>
                  <w:vAlign w:val="center"/>
                </w:tcPr>
                <w:p w14:paraId="6785048D">
                  <w:pPr>
                    <w:widowControl/>
                    <w:jc w:val="center"/>
                    <w:rPr>
                      <w:spacing w:val="8"/>
                      <w:sz w:val="21"/>
                      <w:szCs w:val="21"/>
                    </w:rPr>
                  </w:pPr>
                  <w:r>
                    <w:rPr>
                      <w:rFonts w:hint="eastAsia"/>
                      <w:spacing w:val="8"/>
                      <w:sz w:val="21"/>
                      <w:szCs w:val="21"/>
                    </w:rPr>
                    <w:t>行洪</w:t>
                  </w:r>
                </w:p>
              </w:tc>
              <w:tc>
                <w:tcPr>
                  <w:tcW w:w="2590" w:type="dxa"/>
                  <w:vMerge w:val="restart"/>
                  <w:tcBorders>
                    <w:tl2br w:val="nil"/>
                    <w:tr2bl w:val="nil"/>
                  </w:tcBorders>
                  <w:vAlign w:val="center"/>
                </w:tcPr>
                <w:p w14:paraId="750C79EC">
                  <w:pPr>
                    <w:widowControl/>
                    <w:jc w:val="center"/>
                    <w:rPr>
                      <w:spacing w:val="8"/>
                      <w:sz w:val="21"/>
                      <w:szCs w:val="21"/>
                    </w:rPr>
                  </w:pPr>
                  <w:r>
                    <w:rPr>
                      <w:rFonts w:hint="eastAsia"/>
                      <w:sz w:val="21"/>
                      <w:szCs w:val="21"/>
                    </w:rPr>
                    <w:t>《地表水环境质量标准》（GB3838-2002）Ⅲ类标准</w:t>
                  </w:r>
                </w:p>
              </w:tc>
            </w:tr>
            <w:tr w14:paraId="7BB6FC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0" w:type="dxa"/>
                  <w:vMerge w:val="continue"/>
                  <w:tcBorders>
                    <w:tl2br w:val="nil"/>
                    <w:tr2bl w:val="nil"/>
                  </w:tcBorders>
                  <w:vAlign w:val="center"/>
                </w:tcPr>
                <w:p w14:paraId="0D688AA9">
                  <w:pPr>
                    <w:widowControl/>
                    <w:jc w:val="center"/>
                    <w:rPr>
                      <w:sz w:val="21"/>
                      <w:szCs w:val="21"/>
                    </w:rPr>
                  </w:pPr>
                </w:p>
              </w:tc>
              <w:tc>
                <w:tcPr>
                  <w:tcW w:w="900" w:type="dxa"/>
                  <w:tcBorders>
                    <w:tl2br w:val="nil"/>
                    <w:tr2bl w:val="nil"/>
                  </w:tcBorders>
                  <w:vAlign w:val="center"/>
                </w:tcPr>
                <w:p w14:paraId="7E9C3442">
                  <w:pPr>
                    <w:widowControl/>
                    <w:jc w:val="center"/>
                    <w:rPr>
                      <w:sz w:val="21"/>
                      <w:szCs w:val="21"/>
                    </w:rPr>
                  </w:pPr>
                  <w:r>
                    <w:rPr>
                      <w:rFonts w:hint="eastAsia"/>
                      <w:sz w:val="21"/>
                      <w:szCs w:val="21"/>
                    </w:rPr>
                    <w:t>磨西河</w:t>
                  </w:r>
                </w:p>
              </w:tc>
              <w:tc>
                <w:tcPr>
                  <w:tcW w:w="1462" w:type="dxa"/>
                  <w:tcBorders>
                    <w:tl2br w:val="nil"/>
                    <w:tr2bl w:val="nil"/>
                  </w:tcBorders>
                  <w:vAlign w:val="center"/>
                </w:tcPr>
                <w:p w14:paraId="498DB107">
                  <w:pPr>
                    <w:widowControl/>
                    <w:jc w:val="center"/>
                    <w:rPr>
                      <w:sz w:val="21"/>
                      <w:szCs w:val="21"/>
                    </w:rPr>
                  </w:pPr>
                  <w:r>
                    <w:rPr>
                      <w:rFonts w:hint="eastAsia"/>
                      <w:sz w:val="21"/>
                      <w:szCs w:val="21"/>
                    </w:rPr>
                    <w:t>东北</w:t>
                  </w:r>
                </w:p>
              </w:tc>
              <w:tc>
                <w:tcPr>
                  <w:tcW w:w="975" w:type="dxa"/>
                  <w:tcBorders>
                    <w:tl2br w:val="nil"/>
                    <w:tr2bl w:val="nil"/>
                  </w:tcBorders>
                  <w:vAlign w:val="center"/>
                </w:tcPr>
                <w:p w14:paraId="5BCD267E">
                  <w:pPr>
                    <w:widowControl/>
                    <w:jc w:val="center"/>
                    <w:rPr>
                      <w:sz w:val="21"/>
                      <w:szCs w:val="21"/>
                    </w:rPr>
                  </w:pPr>
                  <w:r>
                    <w:rPr>
                      <w:sz w:val="21"/>
                      <w:szCs w:val="21"/>
                    </w:rPr>
                    <w:t>2.55km</w:t>
                  </w:r>
                </w:p>
              </w:tc>
              <w:tc>
                <w:tcPr>
                  <w:tcW w:w="688" w:type="dxa"/>
                  <w:tcBorders>
                    <w:tl2br w:val="nil"/>
                    <w:tr2bl w:val="nil"/>
                  </w:tcBorders>
                  <w:vAlign w:val="center"/>
                </w:tcPr>
                <w:p w14:paraId="684A9E84">
                  <w:pPr>
                    <w:widowControl/>
                    <w:jc w:val="center"/>
                    <w:rPr>
                      <w:spacing w:val="8"/>
                      <w:sz w:val="21"/>
                      <w:szCs w:val="21"/>
                    </w:rPr>
                  </w:pPr>
                  <w:r>
                    <w:rPr>
                      <w:rFonts w:hint="eastAsia"/>
                      <w:spacing w:val="8"/>
                      <w:sz w:val="21"/>
                      <w:szCs w:val="21"/>
                    </w:rPr>
                    <w:t>小河</w:t>
                  </w:r>
                </w:p>
              </w:tc>
              <w:tc>
                <w:tcPr>
                  <w:tcW w:w="1540" w:type="dxa"/>
                  <w:tcBorders>
                    <w:tl2br w:val="nil"/>
                    <w:tr2bl w:val="nil"/>
                  </w:tcBorders>
                  <w:vAlign w:val="center"/>
                </w:tcPr>
                <w:p w14:paraId="11B019A1">
                  <w:pPr>
                    <w:widowControl/>
                    <w:jc w:val="center"/>
                    <w:rPr>
                      <w:spacing w:val="8"/>
                      <w:sz w:val="21"/>
                      <w:szCs w:val="21"/>
                    </w:rPr>
                  </w:pPr>
                  <w:r>
                    <w:rPr>
                      <w:rFonts w:hint="eastAsia"/>
                      <w:spacing w:val="8"/>
                      <w:sz w:val="21"/>
                      <w:szCs w:val="21"/>
                    </w:rPr>
                    <w:t>纳污、行洪</w:t>
                  </w:r>
                </w:p>
              </w:tc>
              <w:tc>
                <w:tcPr>
                  <w:tcW w:w="2590" w:type="dxa"/>
                  <w:vMerge w:val="continue"/>
                  <w:tcBorders>
                    <w:tl2br w:val="nil"/>
                    <w:tr2bl w:val="nil"/>
                  </w:tcBorders>
                  <w:vAlign w:val="center"/>
                </w:tcPr>
                <w:p w14:paraId="2BD3E9A4">
                  <w:pPr>
                    <w:widowControl/>
                    <w:jc w:val="center"/>
                    <w:rPr>
                      <w:sz w:val="21"/>
                      <w:szCs w:val="21"/>
                    </w:rPr>
                  </w:pPr>
                </w:p>
              </w:tc>
            </w:tr>
            <w:tr w14:paraId="67EC1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0" w:type="dxa"/>
                  <w:vMerge w:val="continue"/>
                  <w:tcBorders>
                    <w:tl2br w:val="nil"/>
                    <w:tr2bl w:val="nil"/>
                  </w:tcBorders>
                  <w:vAlign w:val="center"/>
                </w:tcPr>
                <w:p w14:paraId="35F78AD3">
                  <w:pPr>
                    <w:widowControl/>
                    <w:jc w:val="center"/>
                    <w:rPr>
                      <w:sz w:val="21"/>
                      <w:szCs w:val="21"/>
                    </w:rPr>
                  </w:pPr>
                </w:p>
              </w:tc>
              <w:tc>
                <w:tcPr>
                  <w:tcW w:w="900" w:type="dxa"/>
                  <w:tcBorders>
                    <w:tl2br w:val="nil"/>
                    <w:tr2bl w:val="nil"/>
                  </w:tcBorders>
                  <w:vAlign w:val="center"/>
                </w:tcPr>
                <w:p w14:paraId="74959265">
                  <w:pPr>
                    <w:widowControl/>
                    <w:jc w:val="center"/>
                    <w:rPr>
                      <w:sz w:val="21"/>
                      <w:szCs w:val="21"/>
                    </w:rPr>
                  </w:pPr>
                  <w:r>
                    <w:rPr>
                      <w:rFonts w:hint="eastAsia"/>
                      <w:sz w:val="21"/>
                      <w:szCs w:val="21"/>
                    </w:rPr>
                    <w:t>大渡河</w:t>
                  </w:r>
                </w:p>
              </w:tc>
              <w:tc>
                <w:tcPr>
                  <w:tcW w:w="1462" w:type="dxa"/>
                  <w:tcBorders>
                    <w:tl2br w:val="nil"/>
                    <w:tr2bl w:val="nil"/>
                  </w:tcBorders>
                  <w:vAlign w:val="center"/>
                </w:tcPr>
                <w:p w14:paraId="291E336A">
                  <w:pPr>
                    <w:widowControl/>
                    <w:jc w:val="center"/>
                    <w:rPr>
                      <w:sz w:val="21"/>
                      <w:szCs w:val="21"/>
                    </w:rPr>
                  </w:pPr>
                  <w:r>
                    <w:rPr>
                      <w:rFonts w:hint="eastAsia"/>
                      <w:sz w:val="21"/>
                      <w:szCs w:val="21"/>
                    </w:rPr>
                    <w:t>东侧</w:t>
                  </w:r>
                </w:p>
              </w:tc>
              <w:tc>
                <w:tcPr>
                  <w:tcW w:w="975" w:type="dxa"/>
                  <w:tcBorders>
                    <w:tl2br w:val="nil"/>
                    <w:tr2bl w:val="nil"/>
                  </w:tcBorders>
                  <w:vAlign w:val="center"/>
                </w:tcPr>
                <w:p w14:paraId="06A733C4">
                  <w:pPr>
                    <w:widowControl/>
                    <w:jc w:val="center"/>
                    <w:rPr>
                      <w:sz w:val="21"/>
                      <w:szCs w:val="21"/>
                    </w:rPr>
                  </w:pPr>
                  <w:r>
                    <w:rPr>
                      <w:sz w:val="21"/>
                      <w:szCs w:val="21"/>
                    </w:rPr>
                    <w:t>5.18km</w:t>
                  </w:r>
                </w:p>
              </w:tc>
              <w:tc>
                <w:tcPr>
                  <w:tcW w:w="688" w:type="dxa"/>
                  <w:tcBorders>
                    <w:tl2br w:val="nil"/>
                    <w:tr2bl w:val="nil"/>
                  </w:tcBorders>
                  <w:vAlign w:val="center"/>
                </w:tcPr>
                <w:p w14:paraId="577999E7">
                  <w:pPr>
                    <w:widowControl/>
                    <w:jc w:val="center"/>
                    <w:rPr>
                      <w:sz w:val="21"/>
                      <w:szCs w:val="21"/>
                    </w:rPr>
                  </w:pPr>
                  <w:r>
                    <w:rPr>
                      <w:rFonts w:hint="eastAsia"/>
                      <w:spacing w:val="8"/>
                      <w:sz w:val="21"/>
                      <w:szCs w:val="21"/>
                    </w:rPr>
                    <w:t>大河</w:t>
                  </w:r>
                </w:p>
              </w:tc>
              <w:tc>
                <w:tcPr>
                  <w:tcW w:w="1540" w:type="dxa"/>
                  <w:tcBorders>
                    <w:tl2br w:val="nil"/>
                    <w:tr2bl w:val="nil"/>
                  </w:tcBorders>
                  <w:vAlign w:val="center"/>
                </w:tcPr>
                <w:p w14:paraId="6F12197E">
                  <w:pPr>
                    <w:widowControl/>
                    <w:jc w:val="center"/>
                    <w:rPr>
                      <w:spacing w:val="8"/>
                      <w:sz w:val="21"/>
                      <w:szCs w:val="21"/>
                    </w:rPr>
                  </w:pPr>
                  <w:r>
                    <w:rPr>
                      <w:rFonts w:hint="eastAsia"/>
                      <w:spacing w:val="8"/>
                      <w:sz w:val="21"/>
                      <w:szCs w:val="21"/>
                    </w:rPr>
                    <w:t>纳污、行洪</w:t>
                  </w:r>
                </w:p>
              </w:tc>
              <w:tc>
                <w:tcPr>
                  <w:tcW w:w="2590" w:type="dxa"/>
                  <w:vMerge w:val="continue"/>
                  <w:tcBorders>
                    <w:tl2br w:val="nil"/>
                    <w:tr2bl w:val="nil"/>
                  </w:tcBorders>
                  <w:vAlign w:val="center"/>
                </w:tcPr>
                <w:p w14:paraId="2468EA2A">
                  <w:pPr>
                    <w:widowControl/>
                    <w:jc w:val="center"/>
                    <w:rPr>
                      <w:spacing w:val="8"/>
                      <w:sz w:val="21"/>
                      <w:szCs w:val="21"/>
                    </w:rPr>
                  </w:pPr>
                </w:p>
              </w:tc>
            </w:tr>
          </w:tbl>
          <w:p w14:paraId="68124DDB">
            <w:pPr>
              <w:spacing w:before="156" w:beforeLines="50" w:line="360" w:lineRule="auto"/>
              <w:ind w:firstLine="482" w:firstLineChars="200"/>
              <w:rPr>
                <w:b/>
                <w:bCs/>
              </w:rPr>
            </w:pPr>
            <w:r>
              <w:rPr>
                <w:rFonts w:hint="eastAsia"/>
                <w:b/>
                <w:bCs/>
              </w:rPr>
              <w:t>4、施工期环境保护目标</w:t>
            </w:r>
          </w:p>
          <w:p w14:paraId="2141CBD0">
            <w:pPr>
              <w:spacing w:line="360" w:lineRule="auto"/>
              <w:ind w:firstLine="480" w:firstLineChars="200"/>
            </w:pPr>
            <w:r>
              <w:rPr>
                <w:rFonts w:hint="eastAsia"/>
              </w:rPr>
              <w:t>本项目临时工程主要为施工场地，施工期施工场地周边环境保护目标见下表。</w:t>
            </w:r>
          </w:p>
          <w:p w14:paraId="7434AAB3">
            <w:pPr>
              <w:pStyle w:val="7"/>
              <w:rPr>
                <w:rFonts w:cs="Times New Roman"/>
              </w:rPr>
            </w:pPr>
            <w:r>
              <w:rPr>
                <w:rFonts w:hint="eastAsia" w:cs="Times New Roman"/>
              </w:rPr>
              <w:t>表3- 21  项目施工期施工场地周边主要环境保护目标</w:t>
            </w:r>
          </w:p>
          <w:tbl>
            <w:tblPr>
              <w:tblStyle w:val="28"/>
              <w:tblW w:w="4996" w:type="pct"/>
              <w:tblInd w:w="6"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23" w:type="dxa"/>
                <w:bottom w:w="0" w:type="dxa"/>
                <w:right w:w="23" w:type="dxa"/>
              </w:tblCellMar>
            </w:tblPr>
            <w:tblGrid>
              <w:gridCol w:w="694"/>
              <w:gridCol w:w="1525"/>
              <w:gridCol w:w="729"/>
              <w:gridCol w:w="831"/>
              <w:gridCol w:w="1087"/>
              <w:gridCol w:w="853"/>
              <w:gridCol w:w="3279"/>
            </w:tblGrid>
            <w:tr w14:paraId="2CBD18D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c>
                <w:tcPr>
                  <w:tcW w:w="385" w:type="pct"/>
                  <w:tcBorders>
                    <w:tl2br w:val="nil"/>
                    <w:tr2bl w:val="nil"/>
                  </w:tcBorders>
                  <w:vAlign w:val="center"/>
                </w:tcPr>
                <w:p w14:paraId="23858173">
                  <w:pPr>
                    <w:pStyle w:val="84"/>
                    <w:rPr>
                      <w:b/>
                      <w:bCs/>
                    </w:rPr>
                  </w:pPr>
                  <w:r>
                    <w:rPr>
                      <w:rFonts w:hint="eastAsia"/>
                      <w:b/>
                      <w:bCs/>
                    </w:rPr>
                    <w:t>保护</w:t>
                  </w:r>
                </w:p>
                <w:p w14:paraId="53C3EC52">
                  <w:pPr>
                    <w:pStyle w:val="84"/>
                    <w:rPr>
                      <w:b/>
                      <w:bCs/>
                    </w:rPr>
                  </w:pPr>
                  <w:r>
                    <w:rPr>
                      <w:rFonts w:hint="eastAsia"/>
                      <w:b/>
                      <w:bCs/>
                    </w:rPr>
                    <w:t>类别</w:t>
                  </w:r>
                </w:p>
              </w:tc>
              <w:tc>
                <w:tcPr>
                  <w:tcW w:w="847" w:type="pct"/>
                  <w:tcBorders>
                    <w:tl2br w:val="nil"/>
                    <w:tr2bl w:val="nil"/>
                  </w:tcBorders>
                  <w:vAlign w:val="center"/>
                </w:tcPr>
                <w:p w14:paraId="1E4DF3F0">
                  <w:pPr>
                    <w:pStyle w:val="84"/>
                    <w:rPr>
                      <w:b/>
                      <w:bCs/>
                    </w:rPr>
                  </w:pPr>
                  <w:r>
                    <w:rPr>
                      <w:rFonts w:hint="eastAsia"/>
                      <w:b/>
                      <w:bCs/>
                    </w:rPr>
                    <w:t>临时工程及涉及敏感区</w:t>
                  </w:r>
                </w:p>
              </w:tc>
              <w:tc>
                <w:tcPr>
                  <w:tcW w:w="405" w:type="pct"/>
                  <w:tcBorders>
                    <w:tl2br w:val="nil"/>
                    <w:tr2bl w:val="nil"/>
                  </w:tcBorders>
                  <w:vAlign w:val="center"/>
                </w:tcPr>
                <w:p w14:paraId="2F93F21D">
                  <w:pPr>
                    <w:pStyle w:val="84"/>
                    <w:rPr>
                      <w:b/>
                      <w:bCs/>
                    </w:rPr>
                  </w:pPr>
                  <w:r>
                    <w:rPr>
                      <w:rFonts w:hint="eastAsia"/>
                      <w:b/>
                      <w:bCs/>
                    </w:rPr>
                    <w:t>方位</w:t>
                  </w:r>
                </w:p>
              </w:tc>
              <w:tc>
                <w:tcPr>
                  <w:tcW w:w="462" w:type="pct"/>
                  <w:tcBorders>
                    <w:tl2br w:val="nil"/>
                    <w:tr2bl w:val="nil"/>
                  </w:tcBorders>
                  <w:vAlign w:val="center"/>
                </w:tcPr>
                <w:p w14:paraId="59BC17A7">
                  <w:pPr>
                    <w:pStyle w:val="84"/>
                    <w:rPr>
                      <w:b/>
                      <w:bCs/>
                    </w:rPr>
                  </w:pPr>
                  <w:r>
                    <w:rPr>
                      <w:rFonts w:hint="eastAsia"/>
                      <w:b/>
                      <w:bCs/>
                    </w:rPr>
                    <w:t>距离</w:t>
                  </w:r>
                </w:p>
              </w:tc>
              <w:tc>
                <w:tcPr>
                  <w:tcW w:w="604" w:type="pct"/>
                  <w:tcBorders>
                    <w:tl2br w:val="nil"/>
                    <w:tr2bl w:val="nil"/>
                  </w:tcBorders>
                  <w:vAlign w:val="center"/>
                </w:tcPr>
                <w:p w14:paraId="1FE448B2">
                  <w:pPr>
                    <w:pStyle w:val="84"/>
                    <w:rPr>
                      <w:b/>
                      <w:bCs/>
                    </w:rPr>
                  </w:pPr>
                  <w:r>
                    <w:rPr>
                      <w:rFonts w:hint="eastAsia"/>
                      <w:b/>
                      <w:bCs/>
                    </w:rPr>
                    <w:t>规模</w:t>
                  </w:r>
                </w:p>
              </w:tc>
              <w:tc>
                <w:tcPr>
                  <w:tcW w:w="472" w:type="pct"/>
                  <w:tcBorders>
                    <w:tl2br w:val="nil"/>
                    <w:tr2bl w:val="nil"/>
                  </w:tcBorders>
                  <w:vAlign w:val="center"/>
                </w:tcPr>
                <w:p w14:paraId="13C5A524">
                  <w:pPr>
                    <w:pStyle w:val="84"/>
                    <w:rPr>
                      <w:b/>
                      <w:bCs/>
                    </w:rPr>
                  </w:pPr>
                  <w:r>
                    <w:rPr>
                      <w:rFonts w:hint="eastAsia"/>
                      <w:b/>
                      <w:bCs/>
                    </w:rPr>
                    <w:t>性质/功能</w:t>
                  </w:r>
                </w:p>
              </w:tc>
              <w:tc>
                <w:tcPr>
                  <w:tcW w:w="1822" w:type="pct"/>
                  <w:tcBorders>
                    <w:tl2br w:val="nil"/>
                    <w:tr2bl w:val="nil"/>
                  </w:tcBorders>
                  <w:vAlign w:val="center"/>
                </w:tcPr>
                <w:p w14:paraId="205D0CB4">
                  <w:pPr>
                    <w:pStyle w:val="84"/>
                    <w:rPr>
                      <w:b/>
                      <w:bCs/>
                    </w:rPr>
                  </w:pPr>
                  <w:r>
                    <w:rPr>
                      <w:rFonts w:hint="eastAsia"/>
                      <w:b/>
                      <w:bCs/>
                    </w:rPr>
                    <w:t>保护级别</w:t>
                  </w:r>
                </w:p>
              </w:tc>
            </w:tr>
            <w:tr w14:paraId="5DAE60C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3" w:type="dxa"/>
                  <w:bottom w:w="0" w:type="dxa"/>
                  <w:right w:w="23" w:type="dxa"/>
                </w:tblCellMar>
              </w:tblPrEx>
              <w:trPr>
                <w:trHeight w:val="567" w:hRule="atLeast"/>
              </w:trPr>
              <w:tc>
                <w:tcPr>
                  <w:tcW w:w="385" w:type="pct"/>
                  <w:vMerge w:val="restart"/>
                  <w:tcBorders>
                    <w:tl2br w:val="nil"/>
                    <w:tr2bl w:val="nil"/>
                  </w:tcBorders>
                  <w:vAlign w:val="center"/>
                </w:tcPr>
                <w:p w14:paraId="6D6E42C5">
                  <w:pPr>
                    <w:pStyle w:val="84"/>
                  </w:pPr>
                  <w:r>
                    <w:rPr>
                      <w:rFonts w:hint="eastAsia"/>
                    </w:rPr>
                    <w:t>大气环境、声环境</w:t>
                  </w:r>
                </w:p>
              </w:tc>
              <w:tc>
                <w:tcPr>
                  <w:tcW w:w="847" w:type="pct"/>
                  <w:tcBorders>
                    <w:tl2br w:val="nil"/>
                    <w:tr2bl w:val="nil"/>
                  </w:tcBorders>
                  <w:vAlign w:val="center"/>
                </w:tcPr>
                <w:p w14:paraId="3A0483E4">
                  <w:pPr>
                    <w:pStyle w:val="84"/>
                  </w:pPr>
                  <w:r>
                    <w:rPr>
                      <w:rFonts w:hint="eastAsia"/>
                    </w:rPr>
                    <w:t>***村居民区</w:t>
                  </w:r>
                </w:p>
              </w:tc>
              <w:tc>
                <w:tcPr>
                  <w:tcW w:w="405" w:type="pct"/>
                  <w:tcBorders>
                    <w:tl2br w:val="nil"/>
                    <w:tr2bl w:val="nil"/>
                  </w:tcBorders>
                  <w:vAlign w:val="center"/>
                </w:tcPr>
                <w:p w14:paraId="5A449346">
                  <w:pPr>
                    <w:pStyle w:val="84"/>
                  </w:pPr>
                  <w:r>
                    <w:rPr>
                      <w:rFonts w:hint="eastAsia"/>
                    </w:rPr>
                    <w:t>东</w:t>
                  </w:r>
                </w:p>
              </w:tc>
              <w:tc>
                <w:tcPr>
                  <w:tcW w:w="462" w:type="pct"/>
                  <w:tcBorders>
                    <w:tl2br w:val="nil"/>
                    <w:tr2bl w:val="nil"/>
                  </w:tcBorders>
                  <w:vAlign w:val="center"/>
                </w:tcPr>
                <w:p w14:paraId="13D2CF48">
                  <w:pPr>
                    <w:pStyle w:val="84"/>
                  </w:pPr>
                  <w:r>
                    <w:t>74m</w:t>
                  </w:r>
                </w:p>
              </w:tc>
              <w:tc>
                <w:tcPr>
                  <w:tcW w:w="604" w:type="pct"/>
                  <w:tcBorders>
                    <w:tl2br w:val="nil"/>
                    <w:tr2bl w:val="nil"/>
                  </w:tcBorders>
                  <w:vAlign w:val="center"/>
                </w:tcPr>
                <w:p w14:paraId="1966B162">
                  <w:pPr>
                    <w:pStyle w:val="40"/>
                    <w:rPr>
                      <w:rFonts w:cs="Times New Roman"/>
                    </w:rPr>
                  </w:pPr>
                  <w:r>
                    <w:rPr>
                      <w:rFonts w:hint="eastAsia" w:cs="Times New Roman"/>
                    </w:rPr>
                    <w:t>5户，15人</w:t>
                  </w:r>
                </w:p>
              </w:tc>
              <w:tc>
                <w:tcPr>
                  <w:tcW w:w="472" w:type="pct"/>
                  <w:tcBorders>
                    <w:tl2br w:val="nil"/>
                    <w:tr2bl w:val="nil"/>
                  </w:tcBorders>
                  <w:vAlign w:val="center"/>
                </w:tcPr>
                <w:p w14:paraId="13AFC73C">
                  <w:pPr>
                    <w:widowControl/>
                    <w:jc w:val="center"/>
                    <w:rPr>
                      <w:sz w:val="21"/>
                      <w:szCs w:val="21"/>
                    </w:rPr>
                  </w:pPr>
                  <w:r>
                    <w:rPr>
                      <w:rFonts w:hint="eastAsia"/>
                      <w:sz w:val="21"/>
                      <w:szCs w:val="21"/>
                    </w:rPr>
                    <w:t>居民</w:t>
                  </w:r>
                </w:p>
              </w:tc>
              <w:tc>
                <w:tcPr>
                  <w:tcW w:w="1822" w:type="pct"/>
                  <w:vMerge w:val="restart"/>
                  <w:tcBorders>
                    <w:tl2br w:val="nil"/>
                    <w:tr2bl w:val="nil"/>
                  </w:tcBorders>
                  <w:vAlign w:val="center"/>
                </w:tcPr>
                <w:p w14:paraId="597AF8F9">
                  <w:pPr>
                    <w:pStyle w:val="84"/>
                  </w:pPr>
                  <w:r>
                    <w:rPr>
                      <w:rFonts w:hint="eastAsia"/>
                    </w:rPr>
                    <w:t>《环境空气质量标准》（GB3095-2026）二级标准；《声环境质量标准》（GB3096-2008）2类标准</w:t>
                  </w:r>
                </w:p>
              </w:tc>
            </w:tr>
            <w:tr w14:paraId="5CAFEDF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3" w:type="dxa"/>
                  <w:bottom w:w="0" w:type="dxa"/>
                  <w:right w:w="23" w:type="dxa"/>
                </w:tblCellMar>
              </w:tblPrEx>
              <w:trPr>
                <w:trHeight w:val="567" w:hRule="atLeast"/>
              </w:trPr>
              <w:tc>
                <w:tcPr>
                  <w:tcW w:w="385" w:type="pct"/>
                  <w:vMerge w:val="continue"/>
                  <w:tcBorders>
                    <w:tl2br w:val="nil"/>
                    <w:tr2bl w:val="nil"/>
                  </w:tcBorders>
                  <w:vAlign w:val="center"/>
                </w:tcPr>
                <w:p w14:paraId="05C41AA6">
                  <w:pPr>
                    <w:pStyle w:val="84"/>
                  </w:pPr>
                </w:p>
              </w:tc>
              <w:tc>
                <w:tcPr>
                  <w:tcW w:w="847" w:type="pct"/>
                  <w:tcBorders>
                    <w:tl2br w:val="nil"/>
                    <w:tr2bl w:val="nil"/>
                  </w:tcBorders>
                  <w:vAlign w:val="center"/>
                </w:tcPr>
                <w:p w14:paraId="4F3F100C">
                  <w:pPr>
                    <w:pStyle w:val="84"/>
                  </w:pPr>
                  <w:r>
                    <w:rPr>
                      <w:rFonts w:hint="eastAsia"/>
                    </w:rPr>
                    <w:t>***街居民区</w:t>
                  </w:r>
                </w:p>
              </w:tc>
              <w:tc>
                <w:tcPr>
                  <w:tcW w:w="405" w:type="pct"/>
                  <w:tcBorders>
                    <w:tl2br w:val="nil"/>
                    <w:tr2bl w:val="nil"/>
                  </w:tcBorders>
                  <w:vAlign w:val="center"/>
                </w:tcPr>
                <w:p w14:paraId="4157699C">
                  <w:pPr>
                    <w:pStyle w:val="84"/>
                  </w:pPr>
                  <w:r>
                    <w:rPr>
                      <w:rFonts w:hint="eastAsia"/>
                    </w:rPr>
                    <w:t>南</w:t>
                  </w:r>
                </w:p>
              </w:tc>
              <w:tc>
                <w:tcPr>
                  <w:tcW w:w="462" w:type="pct"/>
                  <w:tcBorders>
                    <w:tl2br w:val="nil"/>
                    <w:tr2bl w:val="nil"/>
                  </w:tcBorders>
                  <w:vAlign w:val="center"/>
                </w:tcPr>
                <w:p w14:paraId="517B69ED">
                  <w:pPr>
                    <w:pStyle w:val="84"/>
                  </w:pPr>
                  <w:r>
                    <w:t>141m</w:t>
                  </w:r>
                </w:p>
              </w:tc>
              <w:tc>
                <w:tcPr>
                  <w:tcW w:w="604" w:type="pct"/>
                  <w:tcBorders>
                    <w:tl2br w:val="nil"/>
                    <w:tr2bl w:val="nil"/>
                  </w:tcBorders>
                  <w:vAlign w:val="center"/>
                </w:tcPr>
                <w:p w14:paraId="069B844A">
                  <w:pPr>
                    <w:pStyle w:val="40"/>
                    <w:rPr>
                      <w:rFonts w:cs="Times New Roman"/>
                    </w:rPr>
                  </w:pPr>
                  <w:r>
                    <w:rPr>
                      <w:rFonts w:hint="eastAsia" w:cs="Times New Roman"/>
                    </w:rPr>
                    <w:t>9户，27人</w:t>
                  </w:r>
                </w:p>
              </w:tc>
              <w:tc>
                <w:tcPr>
                  <w:tcW w:w="472" w:type="pct"/>
                  <w:tcBorders>
                    <w:tl2br w:val="nil"/>
                    <w:tr2bl w:val="nil"/>
                  </w:tcBorders>
                  <w:vAlign w:val="center"/>
                </w:tcPr>
                <w:p w14:paraId="172EC089">
                  <w:pPr>
                    <w:widowControl/>
                    <w:jc w:val="center"/>
                    <w:rPr>
                      <w:sz w:val="21"/>
                      <w:szCs w:val="21"/>
                    </w:rPr>
                  </w:pPr>
                  <w:r>
                    <w:rPr>
                      <w:rFonts w:hint="eastAsia"/>
                      <w:sz w:val="21"/>
                      <w:szCs w:val="21"/>
                    </w:rPr>
                    <w:t>居民</w:t>
                  </w:r>
                </w:p>
              </w:tc>
              <w:tc>
                <w:tcPr>
                  <w:tcW w:w="1822" w:type="pct"/>
                  <w:vMerge w:val="continue"/>
                  <w:tcBorders>
                    <w:tl2br w:val="nil"/>
                    <w:tr2bl w:val="nil"/>
                  </w:tcBorders>
                  <w:vAlign w:val="center"/>
                </w:tcPr>
                <w:p w14:paraId="779CFD57">
                  <w:pPr>
                    <w:pStyle w:val="84"/>
                  </w:pPr>
                </w:p>
              </w:tc>
            </w:tr>
            <w:tr w14:paraId="0F11219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3" w:type="dxa"/>
                  <w:bottom w:w="0" w:type="dxa"/>
                  <w:right w:w="23" w:type="dxa"/>
                </w:tblCellMar>
              </w:tblPrEx>
              <w:tc>
                <w:tcPr>
                  <w:tcW w:w="385" w:type="pct"/>
                  <w:tcBorders>
                    <w:tl2br w:val="nil"/>
                    <w:tr2bl w:val="nil"/>
                  </w:tcBorders>
                  <w:vAlign w:val="center"/>
                </w:tcPr>
                <w:p w14:paraId="6447E96D">
                  <w:pPr>
                    <w:pStyle w:val="84"/>
                  </w:pPr>
                  <w:r>
                    <w:rPr>
                      <w:rFonts w:hint="eastAsia"/>
                    </w:rPr>
                    <w:t>地表水环境</w:t>
                  </w:r>
                </w:p>
              </w:tc>
              <w:tc>
                <w:tcPr>
                  <w:tcW w:w="847" w:type="pct"/>
                  <w:tcBorders>
                    <w:tl2br w:val="nil"/>
                    <w:tr2bl w:val="nil"/>
                  </w:tcBorders>
                  <w:vAlign w:val="center"/>
                </w:tcPr>
                <w:p w14:paraId="35D2E140">
                  <w:pPr>
                    <w:pStyle w:val="84"/>
                  </w:pPr>
                  <w:r>
                    <w:rPr>
                      <w:rFonts w:hint="eastAsia"/>
                    </w:rPr>
                    <w:t>海螺沟</w:t>
                  </w:r>
                </w:p>
              </w:tc>
              <w:tc>
                <w:tcPr>
                  <w:tcW w:w="405" w:type="pct"/>
                  <w:tcBorders>
                    <w:tl2br w:val="nil"/>
                    <w:tr2bl w:val="nil"/>
                  </w:tcBorders>
                  <w:vAlign w:val="center"/>
                </w:tcPr>
                <w:p w14:paraId="7618283E">
                  <w:pPr>
                    <w:pStyle w:val="84"/>
                  </w:pPr>
                  <w:r>
                    <w:rPr>
                      <w:rFonts w:hint="eastAsia"/>
                    </w:rPr>
                    <w:t>西侧</w:t>
                  </w:r>
                </w:p>
              </w:tc>
              <w:tc>
                <w:tcPr>
                  <w:tcW w:w="462" w:type="pct"/>
                  <w:tcBorders>
                    <w:tl2br w:val="nil"/>
                    <w:tr2bl w:val="nil"/>
                  </w:tcBorders>
                  <w:vAlign w:val="center"/>
                </w:tcPr>
                <w:p w14:paraId="17CCC41E">
                  <w:pPr>
                    <w:pStyle w:val="84"/>
                  </w:pPr>
                  <w:r>
                    <w:rPr>
                      <w:rFonts w:hint="eastAsia"/>
                    </w:rPr>
                    <w:t>紧邻</w:t>
                  </w:r>
                </w:p>
              </w:tc>
              <w:tc>
                <w:tcPr>
                  <w:tcW w:w="604" w:type="pct"/>
                  <w:tcBorders>
                    <w:tl2br w:val="nil"/>
                    <w:tr2bl w:val="nil"/>
                  </w:tcBorders>
                  <w:vAlign w:val="center"/>
                </w:tcPr>
                <w:p w14:paraId="258C7476">
                  <w:pPr>
                    <w:pStyle w:val="84"/>
                  </w:pPr>
                  <w:r>
                    <w:rPr>
                      <w:rFonts w:hint="eastAsia"/>
                    </w:rPr>
                    <w:t>小河</w:t>
                  </w:r>
                </w:p>
              </w:tc>
              <w:tc>
                <w:tcPr>
                  <w:tcW w:w="472" w:type="pct"/>
                  <w:tcBorders>
                    <w:tl2br w:val="nil"/>
                    <w:tr2bl w:val="nil"/>
                  </w:tcBorders>
                  <w:vAlign w:val="center"/>
                </w:tcPr>
                <w:p w14:paraId="185CAA3C">
                  <w:pPr>
                    <w:pStyle w:val="84"/>
                  </w:pPr>
                  <w:r>
                    <w:rPr>
                      <w:rFonts w:hint="eastAsia"/>
                    </w:rPr>
                    <w:t>行洪</w:t>
                  </w:r>
                </w:p>
              </w:tc>
              <w:tc>
                <w:tcPr>
                  <w:tcW w:w="1822" w:type="pct"/>
                  <w:tcBorders>
                    <w:tl2br w:val="nil"/>
                    <w:tr2bl w:val="nil"/>
                  </w:tcBorders>
                  <w:vAlign w:val="center"/>
                </w:tcPr>
                <w:p w14:paraId="35FB91B2">
                  <w:pPr>
                    <w:pStyle w:val="84"/>
                  </w:pPr>
                  <w:r>
                    <w:rPr>
                      <w:rFonts w:hint="eastAsia"/>
                    </w:rPr>
                    <w:t>《地表水环境质量标准》（GB3838-2002）Ⅲ类标准</w:t>
                  </w:r>
                </w:p>
              </w:tc>
            </w:tr>
            <w:tr w14:paraId="718F30D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3" w:type="dxa"/>
                  <w:bottom w:w="0" w:type="dxa"/>
                  <w:right w:w="23" w:type="dxa"/>
                </w:tblCellMar>
              </w:tblPrEx>
              <w:tc>
                <w:tcPr>
                  <w:tcW w:w="385" w:type="pct"/>
                  <w:tcBorders>
                    <w:tl2br w:val="nil"/>
                    <w:tr2bl w:val="nil"/>
                  </w:tcBorders>
                  <w:vAlign w:val="center"/>
                </w:tcPr>
                <w:p w14:paraId="1F42AC72">
                  <w:pPr>
                    <w:pStyle w:val="84"/>
                  </w:pPr>
                  <w:r>
                    <w:rPr>
                      <w:rFonts w:hint="eastAsia"/>
                    </w:rPr>
                    <w:t>生态环境</w:t>
                  </w:r>
                </w:p>
              </w:tc>
              <w:tc>
                <w:tcPr>
                  <w:tcW w:w="2792" w:type="pct"/>
                  <w:gridSpan w:val="5"/>
                  <w:tcBorders>
                    <w:tl2br w:val="nil"/>
                    <w:tr2bl w:val="nil"/>
                  </w:tcBorders>
                  <w:vAlign w:val="center"/>
                </w:tcPr>
                <w:p w14:paraId="5BDE5E4A">
                  <w:pPr>
                    <w:pStyle w:val="84"/>
                  </w:pPr>
                  <w:r>
                    <w:rPr>
                      <w:rFonts w:hint="eastAsia"/>
                    </w:rPr>
                    <w:t>海螺沟、周边农田、林地、陆生植被、野生动物、水生生物评价范围内植被、野生动植物、水生生物</w:t>
                  </w:r>
                </w:p>
              </w:tc>
              <w:tc>
                <w:tcPr>
                  <w:tcW w:w="1822" w:type="pct"/>
                  <w:tcBorders>
                    <w:tl2br w:val="nil"/>
                    <w:tr2bl w:val="nil"/>
                  </w:tcBorders>
                  <w:vAlign w:val="center"/>
                </w:tcPr>
                <w:p w14:paraId="7CD424A8">
                  <w:pPr>
                    <w:pStyle w:val="84"/>
                  </w:pPr>
                  <w:r>
                    <w:rPr>
                      <w:rFonts w:hint="eastAsia"/>
                    </w:rPr>
                    <w:t>以不减少区域内珍稀动植物种类和不破坏生态系统完整性为目标；水土流失以不增加土壤侵蚀度为标准</w:t>
                  </w:r>
                </w:p>
              </w:tc>
            </w:tr>
          </w:tbl>
          <w:p w14:paraId="1D50E8CB">
            <w:pPr>
              <w:spacing w:line="360" w:lineRule="auto"/>
            </w:pPr>
          </w:p>
        </w:tc>
      </w:tr>
      <w:tr w14:paraId="388B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14:paraId="3B1EA53D">
            <w:pPr>
              <w:pStyle w:val="52"/>
              <w:spacing w:line="240" w:lineRule="auto"/>
              <w:jc w:val="center"/>
              <w:rPr>
                <w:bCs/>
                <w:kern w:val="0"/>
                <w:sz w:val="24"/>
              </w:rPr>
            </w:pPr>
            <w:bookmarkStart w:id="5" w:name="_Toc23558"/>
            <w:r>
              <w:rPr>
                <w:rFonts w:hint="eastAsia"/>
                <w:bCs/>
                <w:kern w:val="0"/>
                <w:sz w:val="24"/>
              </w:rPr>
              <w:t>评价标准</w:t>
            </w:r>
            <w:bookmarkEnd w:id="5"/>
          </w:p>
        </w:tc>
        <w:tc>
          <w:tcPr>
            <w:tcW w:w="9221" w:type="dxa"/>
          </w:tcPr>
          <w:p w14:paraId="21B5E0C4">
            <w:pPr>
              <w:adjustRightInd w:val="0"/>
              <w:snapToGrid w:val="0"/>
              <w:spacing w:before="156" w:beforeLines="50" w:line="360" w:lineRule="auto"/>
              <w:ind w:firstLine="482" w:firstLineChars="200"/>
              <w:rPr>
                <w:b/>
              </w:rPr>
            </w:pPr>
            <w:r>
              <w:rPr>
                <w:rFonts w:hint="eastAsia"/>
                <w:b/>
              </w:rPr>
              <w:t>一、环境质量标准</w:t>
            </w:r>
          </w:p>
          <w:p w14:paraId="597C7D3E">
            <w:pPr>
              <w:pStyle w:val="73"/>
              <w:numPr>
                <w:ilvl w:val="0"/>
                <w:numId w:val="0"/>
              </w:numPr>
              <w:spacing w:line="360" w:lineRule="auto"/>
              <w:ind w:firstLine="482" w:firstLineChars="200"/>
              <w:rPr>
                <w:rFonts w:ascii="Times New Roman" w:hAnsi="Times New Roman"/>
                <w:b/>
                <w:bCs/>
              </w:rPr>
            </w:pPr>
            <w:r>
              <w:rPr>
                <w:rFonts w:hint="eastAsia" w:ascii="Times New Roman" w:hAnsi="Times New Roman"/>
                <w:b/>
                <w:bCs/>
              </w:rPr>
              <w:t>1、环境空气</w:t>
            </w:r>
          </w:p>
          <w:p w14:paraId="17DD9CA7">
            <w:pPr>
              <w:adjustRightInd w:val="0"/>
              <w:snapToGrid w:val="0"/>
              <w:spacing w:line="360" w:lineRule="auto"/>
              <w:ind w:firstLine="480" w:firstLineChars="200"/>
            </w:pPr>
            <w:r>
              <w:rPr>
                <w:rFonts w:hint="eastAsia"/>
              </w:rPr>
              <w:t>本项目环境空气执行《环境空气质量标准》（GB 3095-2026）中过渡阶段二级标准，各项污染物浓度限值见下表。</w:t>
            </w:r>
          </w:p>
          <w:p w14:paraId="2BCF6013">
            <w:pPr>
              <w:pStyle w:val="7"/>
              <w:rPr>
                <w:rFonts w:cs="Times New Roman"/>
              </w:rPr>
            </w:pPr>
            <w:r>
              <w:rPr>
                <w:rFonts w:hint="eastAsia" w:cs="Times New Roman"/>
              </w:rPr>
              <w:t>表3- 22  环境空气各项污染物浓度限值（µg/m³）</w:t>
            </w:r>
          </w:p>
          <w:tbl>
            <w:tblPr>
              <w:tblStyle w:val="29"/>
              <w:tblpPr w:leftFromText="180" w:rightFromText="180" w:vertAnchor="text" w:horzAnchor="page" w:tblpX="147" w:tblpY="9"/>
              <w:tblOverlap w:val="never"/>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2452"/>
              <w:gridCol w:w="1445"/>
              <w:gridCol w:w="3280"/>
            </w:tblGrid>
            <w:tr w14:paraId="252B8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tcBorders>
                    <w:tl2br w:val="nil"/>
                    <w:tr2bl w:val="nil"/>
                  </w:tcBorders>
                  <w:vAlign w:val="center"/>
                </w:tcPr>
                <w:p w14:paraId="4DA59597">
                  <w:pPr>
                    <w:pStyle w:val="84"/>
                    <w:rPr>
                      <w:b/>
                      <w:bCs/>
                    </w:rPr>
                  </w:pPr>
                  <w:r>
                    <w:rPr>
                      <w:rFonts w:hint="eastAsia"/>
                      <w:b/>
                      <w:bCs/>
                    </w:rPr>
                    <w:t>执行标准</w:t>
                  </w:r>
                </w:p>
              </w:tc>
              <w:tc>
                <w:tcPr>
                  <w:tcW w:w="2302" w:type="dxa"/>
                  <w:tcBorders>
                    <w:tl2br w:val="nil"/>
                    <w:tr2bl w:val="nil"/>
                  </w:tcBorders>
                  <w:vAlign w:val="center"/>
                </w:tcPr>
                <w:p w14:paraId="64688FC7">
                  <w:pPr>
                    <w:pStyle w:val="84"/>
                    <w:rPr>
                      <w:b/>
                      <w:bCs/>
                    </w:rPr>
                  </w:pPr>
                  <w:r>
                    <w:rPr>
                      <w:rFonts w:hint="eastAsia"/>
                      <w:b/>
                      <w:bCs/>
                    </w:rPr>
                    <w:t>污染因子</w:t>
                  </w:r>
                </w:p>
              </w:tc>
              <w:tc>
                <w:tcPr>
                  <w:tcW w:w="1357" w:type="dxa"/>
                  <w:tcBorders>
                    <w:tl2br w:val="nil"/>
                    <w:tr2bl w:val="nil"/>
                  </w:tcBorders>
                  <w:vAlign w:val="center"/>
                </w:tcPr>
                <w:p w14:paraId="1A60C1E7">
                  <w:pPr>
                    <w:pStyle w:val="84"/>
                    <w:rPr>
                      <w:b/>
                      <w:bCs/>
                    </w:rPr>
                  </w:pPr>
                  <w:r>
                    <w:rPr>
                      <w:rFonts w:hint="eastAsia"/>
                      <w:b/>
                      <w:bCs/>
                    </w:rPr>
                    <w:t>标准限值</w:t>
                  </w:r>
                </w:p>
              </w:tc>
              <w:tc>
                <w:tcPr>
                  <w:tcW w:w="3080" w:type="dxa"/>
                  <w:tcBorders>
                    <w:tl2br w:val="nil"/>
                    <w:tr2bl w:val="nil"/>
                  </w:tcBorders>
                  <w:vAlign w:val="center"/>
                </w:tcPr>
                <w:p w14:paraId="0CFB7105">
                  <w:pPr>
                    <w:pStyle w:val="84"/>
                    <w:rPr>
                      <w:b/>
                      <w:bCs/>
                    </w:rPr>
                  </w:pPr>
                  <w:r>
                    <w:rPr>
                      <w:rFonts w:hint="eastAsia"/>
                      <w:b/>
                      <w:bCs/>
                    </w:rPr>
                    <w:t>备注</w:t>
                  </w:r>
                </w:p>
              </w:tc>
            </w:tr>
            <w:tr w14:paraId="64622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restart"/>
                  <w:tcBorders>
                    <w:tl2br w:val="nil"/>
                    <w:tr2bl w:val="nil"/>
                  </w:tcBorders>
                  <w:vAlign w:val="center"/>
                </w:tcPr>
                <w:p w14:paraId="11BA455A">
                  <w:pPr>
                    <w:pStyle w:val="84"/>
                  </w:pPr>
                  <w:r>
                    <w:rPr>
                      <w:rFonts w:hint="eastAsia"/>
                    </w:rPr>
                    <w:t>《环境空气质量标准》（GB3095-2026）中过渡阶段二级标准</w:t>
                  </w:r>
                </w:p>
              </w:tc>
              <w:tc>
                <w:tcPr>
                  <w:tcW w:w="2302" w:type="dxa"/>
                  <w:vMerge w:val="restart"/>
                  <w:tcBorders>
                    <w:tl2br w:val="nil"/>
                    <w:tr2bl w:val="nil"/>
                  </w:tcBorders>
                  <w:vAlign w:val="center"/>
                </w:tcPr>
                <w:p w14:paraId="320342AC">
                  <w:pPr>
                    <w:pStyle w:val="84"/>
                  </w:pPr>
                  <w:r>
                    <w:t>PM</w:t>
                  </w:r>
                  <w:r>
                    <w:rPr>
                      <w:vertAlign w:val="subscript"/>
                    </w:rPr>
                    <w:t>10</w:t>
                  </w:r>
                </w:p>
              </w:tc>
              <w:tc>
                <w:tcPr>
                  <w:tcW w:w="1357" w:type="dxa"/>
                  <w:tcBorders>
                    <w:tl2br w:val="nil"/>
                    <w:tr2bl w:val="nil"/>
                  </w:tcBorders>
                  <w:vAlign w:val="center"/>
                </w:tcPr>
                <w:p w14:paraId="42218412">
                  <w:pPr>
                    <w:pStyle w:val="84"/>
                  </w:pPr>
                  <w:r>
                    <w:t>120</w:t>
                  </w:r>
                </w:p>
              </w:tc>
              <w:tc>
                <w:tcPr>
                  <w:tcW w:w="3080" w:type="dxa"/>
                  <w:tcBorders>
                    <w:tl2br w:val="nil"/>
                    <w:tr2bl w:val="nil"/>
                  </w:tcBorders>
                  <w:vAlign w:val="center"/>
                </w:tcPr>
                <w:p w14:paraId="1AD47A3D">
                  <w:pPr>
                    <w:pStyle w:val="84"/>
                  </w:pPr>
                  <w:r>
                    <w:rPr>
                      <w:rFonts w:hint="eastAsia"/>
                    </w:rPr>
                    <w:t>24小时平均</w:t>
                  </w:r>
                </w:p>
              </w:tc>
            </w:tr>
            <w:tr w14:paraId="04A1D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24460B00">
                  <w:pPr>
                    <w:pStyle w:val="84"/>
                  </w:pPr>
                </w:p>
              </w:tc>
              <w:tc>
                <w:tcPr>
                  <w:tcW w:w="2302" w:type="dxa"/>
                  <w:vMerge w:val="continue"/>
                  <w:tcBorders>
                    <w:tl2br w:val="nil"/>
                    <w:tr2bl w:val="nil"/>
                  </w:tcBorders>
                  <w:vAlign w:val="center"/>
                </w:tcPr>
                <w:p w14:paraId="2E20D4DF">
                  <w:pPr>
                    <w:pStyle w:val="84"/>
                  </w:pPr>
                </w:p>
              </w:tc>
              <w:tc>
                <w:tcPr>
                  <w:tcW w:w="1357" w:type="dxa"/>
                  <w:tcBorders>
                    <w:tl2br w:val="nil"/>
                    <w:tr2bl w:val="nil"/>
                  </w:tcBorders>
                  <w:vAlign w:val="center"/>
                </w:tcPr>
                <w:p w14:paraId="3C9328A2">
                  <w:pPr>
                    <w:pStyle w:val="84"/>
                  </w:pPr>
                  <w:r>
                    <w:t>60</w:t>
                  </w:r>
                </w:p>
              </w:tc>
              <w:tc>
                <w:tcPr>
                  <w:tcW w:w="3080" w:type="dxa"/>
                  <w:tcBorders>
                    <w:tl2br w:val="nil"/>
                    <w:tr2bl w:val="nil"/>
                  </w:tcBorders>
                  <w:vAlign w:val="center"/>
                </w:tcPr>
                <w:p w14:paraId="748A9C79">
                  <w:pPr>
                    <w:pStyle w:val="84"/>
                  </w:pPr>
                  <w:r>
                    <w:rPr>
                      <w:rFonts w:hint="eastAsia"/>
                    </w:rPr>
                    <w:t>年平均</w:t>
                  </w:r>
                </w:p>
              </w:tc>
            </w:tr>
            <w:tr w14:paraId="0ECCCF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4F7740BE">
                  <w:pPr>
                    <w:pStyle w:val="84"/>
                  </w:pPr>
                </w:p>
              </w:tc>
              <w:tc>
                <w:tcPr>
                  <w:tcW w:w="2302" w:type="dxa"/>
                  <w:vMerge w:val="restart"/>
                  <w:tcBorders>
                    <w:tl2br w:val="nil"/>
                    <w:tr2bl w:val="nil"/>
                  </w:tcBorders>
                  <w:vAlign w:val="center"/>
                </w:tcPr>
                <w:p w14:paraId="2CFB9DE1">
                  <w:pPr>
                    <w:pStyle w:val="84"/>
                  </w:pPr>
                  <w:r>
                    <w:t>Pm²</w:t>
                  </w:r>
                  <w:r>
                    <w:rPr>
                      <w:vertAlign w:val="subscript"/>
                    </w:rPr>
                    <w:t>.5</w:t>
                  </w:r>
                </w:p>
              </w:tc>
              <w:tc>
                <w:tcPr>
                  <w:tcW w:w="1357" w:type="dxa"/>
                  <w:tcBorders>
                    <w:tl2br w:val="nil"/>
                    <w:tr2bl w:val="nil"/>
                  </w:tcBorders>
                  <w:vAlign w:val="center"/>
                </w:tcPr>
                <w:p w14:paraId="4BE486F2">
                  <w:pPr>
                    <w:pStyle w:val="84"/>
                  </w:pPr>
                  <w:r>
                    <w:t>60</w:t>
                  </w:r>
                </w:p>
              </w:tc>
              <w:tc>
                <w:tcPr>
                  <w:tcW w:w="3080" w:type="dxa"/>
                  <w:tcBorders>
                    <w:tl2br w:val="nil"/>
                    <w:tr2bl w:val="nil"/>
                  </w:tcBorders>
                  <w:vAlign w:val="center"/>
                </w:tcPr>
                <w:p w14:paraId="1919D353">
                  <w:pPr>
                    <w:pStyle w:val="84"/>
                  </w:pPr>
                  <w:r>
                    <w:rPr>
                      <w:rFonts w:hint="eastAsia"/>
                    </w:rPr>
                    <w:t>24小时平均</w:t>
                  </w:r>
                </w:p>
              </w:tc>
            </w:tr>
            <w:tr w14:paraId="4B598D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6249CB5D">
                  <w:pPr>
                    <w:pStyle w:val="84"/>
                  </w:pPr>
                </w:p>
              </w:tc>
              <w:tc>
                <w:tcPr>
                  <w:tcW w:w="2302" w:type="dxa"/>
                  <w:vMerge w:val="continue"/>
                  <w:tcBorders>
                    <w:tl2br w:val="nil"/>
                    <w:tr2bl w:val="nil"/>
                  </w:tcBorders>
                  <w:vAlign w:val="center"/>
                </w:tcPr>
                <w:p w14:paraId="440BA2D9">
                  <w:pPr>
                    <w:pStyle w:val="84"/>
                  </w:pPr>
                </w:p>
              </w:tc>
              <w:tc>
                <w:tcPr>
                  <w:tcW w:w="1357" w:type="dxa"/>
                  <w:tcBorders>
                    <w:tl2br w:val="nil"/>
                    <w:tr2bl w:val="nil"/>
                  </w:tcBorders>
                  <w:vAlign w:val="center"/>
                </w:tcPr>
                <w:p w14:paraId="0D734689">
                  <w:pPr>
                    <w:pStyle w:val="84"/>
                  </w:pPr>
                  <w:r>
                    <w:t>30</w:t>
                  </w:r>
                </w:p>
              </w:tc>
              <w:tc>
                <w:tcPr>
                  <w:tcW w:w="3080" w:type="dxa"/>
                  <w:tcBorders>
                    <w:tl2br w:val="nil"/>
                    <w:tr2bl w:val="nil"/>
                  </w:tcBorders>
                  <w:vAlign w:val="center"/>
                </w:tcPr>
                <w:p w14:paraId="1A65B83C">
                  <w:pPr>
                    <w:pStyle w:val="84"/>
                  </w:pPr>
                  <w:r>
                    <w:rPr>
                      <w:rFonts w:hint="eastAsia"/>
                    </w:rPr>
                    <w:t>年平均</w:t>
                  </w:r>
                </w:p>
              </w:tc>
            </w:tr>
            <w:tr w14:paraId="2334D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459DAC79">
                  <w:pPr>
                    <w:pStyle w:val="84"/>
                  </w:pPr>
                </w:p>
              </w:tc>
              <w:tc>
                <w:tcPr>
                  <w:tcW w:w="2302" w:type="dxa"/>
                  <w:vMerge w:val="restart"/>
                  <w:tcBorders>
                    <w:tl2br w:val="nil"/>
                    <w:tr2bl w:val="nil"/>
                  </w:tcBorders>
                  <w:vAlign w:val="center"/>
                </w:tcPr>
                <w:p w14:paraId="4CEE6A62">
                  <w:pPr>
                    <w:pStyle w:val="84"/>
                  </w:pPr>
                  <w:r>
                    <w:t>NO</w:t>
                  </w:r>
                  <w:r>
                    <w:rPr>
                      <w:vertAlign w:val="subscript"/>
                    </w:rPr>
                    <w:t>2</w:t>
                  </w:r>
                </w:p>
              </w:tc>
              <w:tc>
                <w:tcPr>
                  <w:tcW w:w="1357" w:type="dxa"/>
                  <w:tcBorders>
                    <w:tl2br w:val="nil"/>
                    <w:tr2bl w:val="nil"/>
                  </w:tcBorders>
                  <w:vAlign w:val="center"/>
                </w:tcPr>
                <w:p w14:paraId="717415EE">
                  <w:pPr>
                    <w:pStyle w:val="84"/>
                  </w:pPr>
                  <w:r>
                    <w:t>200</w:t>
                  </w:r>
                </w:p>
              </w:tc>
              <w:tc>
                <w:tcPr>
                  <w:tcW w:w="3080" w:type="dxa"/>
                  <w:tcBorders>
                    <w:tl2br w:val="nil"/>
                    <w:tr2bl w:val="nil"/>
                  </w:tcBorders>
                  <w:vAlign w:val="center"/>
                </w:tcPr>
                <w:p w14:paraId="0D7A2D9F">
                  <w:pPr>
                    <w:pStyle w:val="84"/>
                  </w:pPr>
                  <w:r>
                    <w:rPr>
                      <w:rFonts w:hint="eastAsia"/>
                    </w:rPr>
                    <w:t>1小时平均</w:t>
                  </w:r>
                </w:p>
              </w:tc>
            </w:tr>
            <w:tr w14:paraId="66DC1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3E4658F0">
                  <w:pPr>
                    <w:pStyle w:val="84"/>
                  </w:pPr>
                </w:p>
              </w:tc>
              <w:tc>
                <w:tcPr>
                  <w:tcW w:w="2302" w:type="dxa"/>
                  <w:vMerge w:val="continue"/>
                  <w:tcBorders>
                    <w:tl2br w:val="nil"/>
                    <w:tr2bl w:val="nil"/>
                  </w:tcBorders>
                  <w:vAlign w:val="center"/>
                </w:tcPr>
                <w:p w14:paraId="2BCEB865">
                  <w:pPr>
                    <w:pStyle w:val="84"/>
                  </w:pPr>
                </w:p>
              </w:tc>
              <w:tc>
                <w:tcPr>
                  <w:tcW w:w="1357" w:type="dxa"/>
                  <w:tcBorders>
                    <w:tl2br w:val="nil"/>
                    <w:tr2bl w:val="nil"/>
                  </w:tcBorders>
                  <w:vAlign w:val="center"/>
                </w:tcPr>
                <w:p w14:paraId="3484BFED">
                  <w:pPr>
                    <w:pStyle w:val="84"/>
                  </w:pPr>
                  <w:r>
                    <w:t>80</w:t>
                  </w:r>
                </w:p>
              </w:tc>
              <w:tc>
                <w:tcPr>
                  <w:tcW w:w="3080" w:type="dxa"/>
                  <w:tcBorders>
                    <w:tl2br w:val="nil"/>
                    <w:tr2bl w:val="nil"/>
                  </w:tcBorders>
                  <w:vAlign w:val="center"/>
                </w:tcPr>
                <w:p w14:paraId="63C3BAA4">
                  <w:pPr>
                    <w:pStyle w:val="84"/>
                  </w:pPr>
                  <w:r>
                    <w:rPr>
                      <w:rFonts w:hint="eastAsia"/>
                    </w:rPr>
                    <w:t>24小时平均</w:t>
                  </w:r>
                </w:p>
              </w:tc>
            </w:tr>
            <w:tr w14:paraId="1094D2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23ED7A7F">
                  <w:pPr>
                    <w:pStyle w:val="84"/>
                  </w:pPr>
                </w:p>
              </w:tc>
              <w:tc>
                <w:tcPr>
                  <w:tcW w:w="2302" w:type="dxa"/>
                  <w:vMerge w:val="restart"/>
                  <w:tcBorders>
                    <w:tl2br w:val="nil"/>
                    <w:tr2bl w:val="nil"/>
                  </w:tcBorders>
                  <w:vAlign w:val="center"/>
                </w:tcPr>
                <w:p w14:paraId="68812F41">
                  <w:pPr>
                    <w:pStyle w:val="84"/>
                  </w:pPr>
                  <w:r>
                    <w:t>SO</w:t>
                  </w:r>
                  <w:r>
                    <w:rPr>
                      <w:vertAlign w:val="subscript"/>
                    </w:rPr>
                    <w:t>2</w:t>
                  </w:r>
                </w:p>
              </w:tc>
              <w:tc>
                <w:tcPr>
                  <w:tcW w:w="1357" w:type="dxa"/>
                  <w:tcBorders>
                    <w:tl2br w:val="nil"/>
                    <w:tr2bl w:val="nil"/>
                  </w:tcBorders>
                  <w:vAlign w:val="center"/>
                </w:tcPr>
                <w:p w14:paraId="3EFEB7A4">
                  <w:pPr>
                    <w:pStyle w:val="84"/>
                  </w:pPr>
                  <w:r>
                    <w:t>500</w:t>
                  </w:r>
                </w:p>
              </w:tc>
              <w:tc>
                <w:tcPr>
                  <w:tcW w:w="3080" w:type="dxa"/>
                  <w:tcBorders>
                    <w:tl2br w:val="nil"/>
                    <w:tr2bl w:val="nil"/>
                  </w:tcBorders>
                  <w:vAlign w:val="center"/>
                </w:tcPr>
                <w:p w14:paraId="4CD7DF0D">
                  <w:pPr>
                    <w:pStyle w:val="84"/>
                  </w:pPr>
                  <w:r>
                    <w:rPr>
                      <w:rFonts w:hint="eastAsia"/>
                    </w:rPr>
                    <w:t>1小时平均</w:t>
                  </w:r>
                </w:p>
              </w:tc>
            </w:tr>
            <w:tr w14:paraId="043A9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3864538E">
                  <w:pPr>
                    <w:pStyle w:val="84"/>
                  </w:pPr>
                </w:p>
              </w:tc>
              <w:tc>
                <w:tcPr>
                  <w:tcW w:w="2302" w:type="dxa"/>
                  <w:vMerge w:val="continue"/>
                  <w:tcBorders>
                    <w:tl2br w:val="nil"/>
                    <w:tr2bl w:val="nil"/>
                  </w:tcBorders>
                  <w:vAlign w:val="center"/>
                </w:tcPr>
                <w:p w14:paraId="7BE63457">
                  <w:pPr>
                    <w:pStyle w:val="84"/>
                  </w:pPr>
                </w:p>
              </w:tc>
              <w:tc>
                <w:tcPr>
                  <w:tcW w:w="1357" w:type="dxa"/>
                  <w:tcBorders>
                    <w:tl2br w:val="nil"/>
                    <w:tr2bl w:val="nil"/>
                  </w:tcBorders>
                  <w:vAlign w:val="center"/>
                </w:tcPr>
                <w:p w14:paraId="4972F1EE">
                  <w:pPr>
                    <w:pStyle w:val="84"/>
                  </w:pPr>
                  <w:r>
                    <w:t>150</w:t>
                  </w:r>
                </w:p>
              </w:tc>
              <w:tc>
                <w:tcPr>
                  <w:tcW w:w="3080" w:type="dxa"/>
                  <w:tcBorders>
                    <w:tl2br w:val="nil"/>
                    <w:tr2bl w:val="nil"/>
                  </w:tcBorders>
                  <w:vAlign w:val="center"/>
                </w:tcPr>
                <w:p w14:paraId="59B808E8">
                  <w:pPr>
                    <w:pStyle w:val="84"/>
                  </w:pPr>
                  <w:r>
                    <w:rPr>
                      <w:rFonts w:hint="eastAsia"/>
                    </w:rPr>
                    <w:t>24小时平均</w:t>
                  </w:r>
                </w:p>
              </w:tc>
            </w:tr>
            <w:tr w14:paraId="7CC837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56C4A793">
                  <w:pPr>
                    <w:pStyle w:val="84"/>
                  </w:pPr>
                </w:p>
              </w:tc>
              <w:tc>
                <w:tcPr>
                  <w:tcW w:w="2302" w:type="dxa"/>
                  <w:vMerge w:val="restart"/>
                  <w:tcBorders>
                    <w:tl2br w:val="nil"/>
                    <w:tr2bl w:val="nil"/>
                  </w:tcBorders>
                  <w:vAlign w:val="center"/>
                </w:tcPr>
                <w:p w14:paraId="515DA365">
                  <w:pPr>
                    <w:pStyle w:val="84"/>
                  </w:pPr>
                  <w:r>
                    <w:t>CO</w:t>
                  </w:r>
                </w:p>
              </w:tc>
              <w:tc>
                <w:tcPr>
                  <w:tcW w:w="1357" w:type="dxa"/>
                  <w:tcBorders>
                    <w:tl2br w:val="nil"/>
                    <w:tr2bl w:val="nil"/>
                  </w:tcBorders>
                  <w:vAlign w:val="center"/>
                </w:tcPr>
                <w:p w14:paraId="1052303D">
                  <w:pPr>
                    <w:pStyle w:val="84"/>
                  </w:pPr>
                  <w:r>
                    <w:t>10mg/m³</w:t>
                  </w:r>
                </w:p>
              </w:tc>
              <w:tc>
                <w:tcPr>
                  <w:tcW w:w="3080" w:type="dxa"/>
                  <w:tcBorders>
                    <w:tl2br w:val="nil"/>
                    <w:tr2bl w:val="nil"/>
                  </w:tcBorders>
                  <w:vAlign w:val="center"/>
                </w:tcPr>
                <w:p w14:paraId="3C113FC5">
                  <w:pPr>
                    <w:pStyle w:val="84"/>
                  </w:pPr>
                  <w:r>
                    <w:rPr>
                      <w:rFonts w:hint="eastAsia"/>
                    </w:rPr>
                    <w:t>1小时平均</w:t>
                  </w:r>
                </w:p>
              </w:tc>
            </w:tr>
            <w:tr w14:paraId="33E3A7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2804B456">
                  <w:pPr>
                    <w:pStyle w:val="84"/>
                  </w:pPr>
                </w:p>
              </w:tc>
              <w:tc>
                <w:tcPr>
                  <w:tcW w:w="2302" w:type="dxa"/>
                  <w:vMerge w:val="continue"/>
                  <w:tcBorders>
                    <w:tl2br w:val="nil"/>
                    <w:tr2bl w:val="nil"/>
                  </w:tcBorders>
                  <w:vAlign w:val="center"/>
                </w:tcPr>
                <w:p w14:paraId="5787147E">
                  <w:pPr>
                    <w:pStyle w:val="84"/>
                  </w:pPr>
                </w:p>
              </w:tc>
              <w:tc>
                <w:tcPr>
                  <w:tcW w:w="1357" w:type="dxa"/>
                  <w:tcBorders>
                    <w:tl2br w:val="nil"/>
                    <w:tr2bl w:val="nil"/>
                  </w:tcBorders>
                  <w:vAlign w:val="center"/>
                </w:tcPr>
                <w:p w14:paraId="742A0A06">
                  <w:pPr>
                    <w:pStyle w:val="84"/>
                  </w:pPr>
                  <w:r>
                    <w:t>4mg/m³</w:t>
                  </w:r>
                </w:p>
              </w:tc>
              <w:tc>
                <w:tcPr>
                  <w:tcW w:w="3080" w:type="dxa"/>
                  <w:tcBorders>
                    <w:tl2br w:val="nil"/>
                    <w:tr2bl w:val="nil"/>
                  </w:tcBorders>
                  <w:vAlign w:val="center"/>
                </w:tcPr>
                <w:p w14:paraId="0BCF89BC">
                  <w:pPr>
                    <w:pStyle w:val="84"/>
                  </w:pPr>
                  <w:r>
                    <w:rPr>
                      <w:rFonts w:hint="eastAsia"/>
                    </w:rPr>
                    <w:t>24小时平均</w:t>
                  </w:r>
                </w:p>
              </w:tc>
            </w:tr>
            <w:tr w14:paraId="54ACBF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3F8B4DB9">
                  <w:pPr>
                    <w:pStyle w:val="84"/>
                  </w:pPr>
                </w:p>
              </w:tc>
              <w:tc>
                <w:tcPr>
                  <w:tcW w:w="2302" w:type="dxa"/>
                  <w:vMerge w:val="restart"/>
                  <w:tcBorders>
                    <w:tl2br w:val="nil"/>
                    <w:tr2bl w:val="nil"/>
                  </w:tcBorders>
                  <w:vAlign w:val="center"/>
                </w:tcPr>
                <w:p w14:paraId="5E31830E">
                  <w:pPr>
                    <w:pStyle w:val="84"/>
                  </w:pPr>
                  <w:r>
                    <w:t>O</w:t>
                  </w:r>
                  <w:r>
                    <w:rPr>
                      <w:vertAlign w:val="subscript"/>
                    </w:rPr>
                    <w:t>3</w:t>
                  </w:r>
                </w:p>
              </w:tc>
              <w:tc>
                <w:tcPr>
                  <w:tcW w:w="1357" w:type="dxa"/>
                  <w:tcBorders>
                    <w:tl2br w:val="nil"/>
                    <w:tr2bl w:val="nil"/>
                  </w:tcBorders>
                  <w:vAlign w:val="center"/>
                </w:tcPr>
                <w:p w14:paraId="2C7D898D">
                  <w:pPr>
                    <w:pStyle w:val="84"/>
                  </w:pPr>
                  <w:r>
                    <w:t>160</w:t>
                  </w:r>
                </w:p>
              </w:tc>
              <w:tc>
                <w:tcPr>
                  <w:tcW w:w="3080" w:type="dxa"/>
                  <w:tcBorders>
                    <w:tl2br w:val="nil"/>
                    <w:tr2bl w:val="nil"/>
                  </w:tcBorders>
                  <w:vAlign w:val="center"/>
                </w:tcPr>
                <w:p w14:paraId="6712BB6A">
                  <w:pPr>
                    <w:pStyle w:val="84"/>
                  </w:pPr>
                  <w:r>
                    <w:rPr>
                      <w:rFonts w:hint="eastAsia"/>
                    </w:rPr>
                    <w:t>日最大8小时平均</w:t>
                  </w:r>
                </w:p>
              </w:tc>
            </w:tr>
            <w:tr w14:paraId="3570B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023B8438">
                  <w:pPr>
                    <w:pStyle w:val="84"/>
                  </w:pPr>
                </w:p>
              </w:tc>
              <w:tc>
                <w:tcPr>
                  <w:tcW w:w="2302" w:type="dxa"/>
                  <w:vMerge w:val="continue"/>
                  <w:tcBorders>
                    <w:tl2br w:val="nil"/>
                    <w:tr2bl w:val="nil"/>
                  </w:tcBorders>
                  <w:vAlign w:val="center"/>
                </w:tcPr>
                <w:p w14:paraId="404C0F57">
                  <w:pPr>
                    <w:pStyle w:val="84"/>
                  </w:pPr>
                </w:p>
              </w:tc>
              <w:tc>
                <w:tcPr>
                  <w:tcW w:w="1357" w:type="dxa"/>
                  <w:tcBorders>
                    <w:tl2br w:val="nil"/>
                    <w:tr2bl w:val="nil"/>
                  </w:tcBorders>
                  <w:vAlign w:val="center"/>
                </w:tcPr>
                <w:p w14:paraId="40F562E3">
                  <w:pPr>
                    <w:pStyle w:val="84"/>
                  </w:pPr>
                  <w:r>
                    <w:t>200</w:t>
                  </w:r>
                </w:p>
              </w:tc>
              <w:tc>
                <w:tcPr>
                  <w:tcW w:w="3080" w:type="dxa"/>
                  <w:tcBorders>
                    <w:tl2br w:val="nil"/>
                    <w:tr2bl w:val="nil"/>
                  </w:tcBorders>
                  <w:vAlign w:val="center"/>
                </w:tcPr>
                <w:p w14:paraId="20DF669F">
                  <w:pPr>
                    <w:pStyle w:val="84"/>
                  </w:pPr>
                  <w:r>
                    <w:rPr>
                      <w:rFonts w:hint="eastAsia"/>
                    </w:rPr>
                    <w:t>1小时平均</w:t>
                  </w:r>
                </w:p>
              </w:tc>
            </w:tr>
            <w:tr w14:paraId="24CA0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4063F9EB">
                  <w:pPr>
                    <w:pStyle w:val="84"/>
                  </w:pPr>
                </w:p>
              </w:tc>
              <w:tc>
                <w:tcPr>
                  <w:tcW w:w="2302" w:type="dxa"/>
                  <w:vMerge w:val="restart"/>
                  <w:tcBorders>
                    <w:tl2br w:val="nil"/>
                    <w:tr2bl w:val="nil"/>
                  </w:tcBorders>
                  <w:vAlign w:val="center"/>
                </w:tcPr>
                <w:p w14:paraId="56779545">
                  <w:pPr>
                    <w:pStyle w:val="84"/>
                  </w:pPr>
                  <w:r>
                    <w:t>TSP</w:t>
                  </w:r>
                </w:p>
              </w:tc>
              <w:tc>
                <w:tcPr>
                  <w:tcW w:w="1357" w:type="dxa"/>
                  <w:tcBorders>
                    <w:tl2br w:val="nil"/>
                    <w:tr2bl w:val="nil"/>
                  </w:tcBorders>
                  <w:vAlign w:val="center"/>
                </w:tcPr>
                <w:p w14:paraId="44A65D4B">
                  <w:pPr>
                    <w:pStyle w:val="84"/>
                  </w:pPr>
                  <w:r>
                    <w:t>200</w:t>
                  </w:r>
                </w:p>
              </w:tc>
              <w:tc>
                <w:tcPr>
                  <w:tcW w:w="3080" w:type="dxa"/>
                  <w:tcBorders>
                    <w:tl2br w:val="nil"/>
                    <w:tr2bl w:val="nil"/>
                  </w:tcBorders>
                  <w:vAlign w:val="center"/>
                </w:tcPr>
                <w:p w14:paraId="3D55EF4C">
                  <w:pPr>
                    <w:pStyle w:val="84"/>
                  </w:pPr>
                  <w:r>
                    <w:rPr>
                      <w:rFonts w:hint="eastAsia"/>
                    </w:rPr>
                    <w:t>年平均</w:t>
                  </w:r>
                </w:p>
              </w:tc>
            </w:tr>
            <w:tr w14:paraId="6A737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4" w:type="dxa"/>
                  <w:vMerge w:val="continue"/>
                  <w:tcBorders>
                    <w:tl2br w:val="nil"/>
                    <w:tr2bl w:val="nil"/>
                  </w:tcBorders>
                  <w:vAlign w:val="center"/>
                </w:tcPr>
                <w:p w14:paraId="74F1B3F3">
                  <w:pPr>
                    <w:pStyle w:val="84"/>
                  </w:pPr>
                </w:p>
              </w:tc>
              <w:tc>
                <w:tcPr>
                  <w:tcW w:w="2302" w:type="dxa"/>
                  <w:vMerge w:val="continue"/>
                  <w:tcBorders>
                    <w:tl2br w:val="nil"/>
                    <w:tr2bl w:val="nil"/>
                  </w:tcBorders>
                  <w:vAlign w:val="center"/>
                </w:tcPr>
                <w:p w14:paraId="77916530">
                  <w:pPr>
                    <w:pStyle w:val="84"/>
                  </w:pPr>
                </w:p>
              </w:tc>
              <w:tc>
                <w:tcPr>
                  <w:tcW w:w="1357" w:type="dxa"/>
                  <w:tcBorders>
                    <w:tl2br w:val="nil"/>
                    <w:tr2bl w:val="nil"/>
                  </w:tcBorders>
                  <w:vAlign w:val="center"/>
                </w:tcPr>
                <w:p w14:paraId="1FE3E2A4">
                  <w:pPr>
                    <w:pStyle w:val="84"/>
                  </w:pPr>
                  <w:r>
                    <w:t>300</w:t>
                  </w:r>
                </w:p>
              </w:tc>
              <w:tc>
                <w:tcPr>
                  <w:tcW w:w="3080" w:type="dxa"/>
                  <w:tcBorders>
                    <w:tl2br w:val="nil"/>
                    <w:tr2bl w:val="nil"/>
                  </w:tcBorders>
                  <w:vAlign w:val="center"/>
                </w:tcPr>
                <w:p w14:paraId="047A7F54">
                  <w:pPr>
                    <w:pStyle w:val="84"/>
                  </w:pPr>
                  <w:r>
                    <w:rPr>
                      <w:rFonts w:hint="eastAsia"/>
                    </w:rPr>
                    <w:t>24小时平均</w:t>
                  </w:r>
                </w:p>
              </w:tc>
            </w:tr>
          </w:tbl>
          <w:p w14:paraId="6A2332B1">
            <w:pPr>
              <w:pStyle w:val="73"/>
              <w:numPr>
                <w:ilvl w:val="0"/>
                <w:numId w:val="0"/>
              </w:numPr>
              <w:spacing w:before="156" w:beforeLines="50" w:line="360" w:lineRule="auto"/>
              <w:ind w:left="476"/>
              <w:rPr>
                <w:rFonts w:ascii="Times New Roman" w:hAnsi="Times New Roman"/>
                <w:b/>
                <w:bCs/>
              </w:rPr>
            </w:pPr>
            <w:r>
              <w:rPr>
                <w:rFonts w:hint="eastAsia" w:ascii="Times New Roman" w:hAnsi="Times New Roman"/>
                <w:b/>
                <w:bCs/>
              </w:rPr>
              <w:t>2、地表水环境质量标准</w:t>
            </w:r>
          </w:p>
          <w:p w14:paraId="635CA2CA">
            <w:pPr>
              <w:pStyle w:val="88"/>
              <w:spacing w:line="360" w:lineRule="auto"/>
              <w:ind w:firstLine="480"/>
              <w:rPr>
                <w:rFonts w:ascii="Times New Roman" w:hAnsi="Times New Roman"/>
              </w:rPr>
            </w:pPr>
            <w:r>
              <w:rPr>
                <w:rFonts w:hint="eastAsia" w:ascii="Times New Roman" w:hAnsi="Times New Roman"/>
              </w:rPr>
              <w:t>本项目地表水执行《地表水环境质量标准》（GB 3838-2002）中的Ⅲ类标准，详见下表。</w:t>
            </w:r>
          </w:p>
          <w:p w14:paraId="73DE0E33">
            <w:pPr>
              <w:pStyle w:val="7"/>
              <w:rPr>
                <w:rFonts w:cs="Times New Roman"/>
              </w:rPr>
            </w:pPr>
            <w:r>
              <w:rPr>
                <w:rFonts w:hint="eastAsia" w:cs="Times New Roman"/>
              </w:rPr>
              <w:t>表3- 23  《地表水环境质量标准》（GB3838—2002）Ⅲ类标准</w:t>
            </w:r>
          </w:p>
          <w:tbl>
            <w:tblPr>
              <w:tblStyle w:val="2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71"/>
              <w:gridCol w:w="1892"/>
              <w:gridCol w:w="940"/>
              <w:gridCol w:w="940"/>
              <w:gridCol w:w="940"/>
              <w:gridCol w:w="940"/>
              <w:gridCol w:w="940"/>
              <w:gridCol w:w="940"/>
            </w:tblGrid>
            <w:tr w14:paraId="2D34D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3" w:hRule="atLeast"/>
              </w:trPr>
              <w:tc>
                <w:tcPr>
                  <w:tcW w:w="1472" w:type="dxa"/>
                  <w:tcBorders>
                    <w:tl2br w:val="nil"/>
                    <w:tr2bl w:val="nil"/>
                  </w:tcBorders>
                </w:tcPr>
                <w:p w14:paraId="28D3AD2B">
                  <w:pPr>
                    <w:pStyle w:val="46"/>
                    <w:autoSpaceDE/>
                    <w:autoSpaceDN/>
                    <w:snapToGrid w:val="0"/>
                    <w:spacing w:before="0" w:after="0"/>
                    <w:textAlignment w:val="auto"/>
                    <w:rPr>
                      <w:b/>
                      <w:bCs/>
                      <w:sz w:val="21"/>
                    </w:rPr>
                  </w:pPr>
                  <w:r>
                    <w:rPr>
                      <w:rFonts w:hint="eastAsia"/>
                      <w:b/>
                      <w:bCs/>
                      <w:sz w:val="21"/>
                    </w:rPr>
                    <w:t>项目</w:t>
                  </w:r>
                </w:p>
              </w:tc>
              <w:tc>
                <w:tcPr>
                  <w:tcW w:w="1892" w:type="dxa"/>
                  <w:tcBorders>
                    <w:tl2br w:val="nil"/>
                    <w:tr2bl w:val="nil"/>
                  </w:tcBorders>
                </w:tcPr>
                <w:p w14:paraId="5BA72129">
                  <w:pPr>
                    <w:pStyle w:val="46"/>
                    <w:autoSpaceDE/>
                    <w:autoSpaceDN/>
                    <w:snapToGrid w:val="0"/>
                    <w:spacing w:before="0" w:after="0"/>
                    <w:textAlignment w:val="auto"/>
                    <w:rPr>
                      <w:b/>
                      <w:bCs/>
                      <w:sz w:val="21"/>
                    </w:rPr>
                  </w:pPr>
                  <w:r>
                    <w:rPr>
                      <w:rFonts w:hint="eastAsia"/>
                      <w:b/>
                      <w:bCs/>
                      <w:sz w:val="21"/>
                    </w:rPr>
                    <w:t>pH（无量纲）</w:t>
                  </w:r>
                </w:p>
              </w:tc>
              <w:tc>
                <w:tcPr>
                  <w:tcW w:w="940" w:type="dxa"/>
                  <w:tcBorders>
                    <w:tl2br w:val="nil"/>
                    <w:tr2bl w:val="nil"/>
                  </w:tcBorders>
                </w:tcPr>
                <w:p w14:paraId="35B01A3B">
                  <w:pPr>
                    <w:pStyle w:val="46"/>
                    <w:autoSpaceDE/>
                    <w:autoSpaceDN/>
                    <w:snapToGrid w:val="0"/>
                    <w:spacing w:before="0" w:after="0"/>
                    <w:textAlignment w:val="auto"/>
                    <w:rPr>
                      <w:b/>
                      <w:bCs/>
                      <w:sz w:val="21"/>
                    </w:rPr>
                  </w:pPr>
                  <w:r>
                    <w:rPr>
                      <w:b/>
                      <w:bCs/>
                      <w:sz w:val="21"/>
                    </w:rPr>
                    <w:t>COD</w:t>
                  </w:r>
                </w:p>
              </w:tc>
              <w:tc>
                <w:tcPr>
                  <w:tcW w:w="940" w:type="dxa"/>
                  <w:tcBorders>
                    <w:tl2br w:val="nil"/>
                    <w:tr2bl w:val="nil"/>
                  </w:tcBorders>
                </w:tcPr>
                <w:p w14:paraId="3FEB1855">
                  <w:pPr>
                    <w:pStyle w:val="46"/>
                    <w:autoSpaceDE/>
                    <w:autoSpaceDN/>
                    <w:snapToGrid w:val="0"/>
                    <w:spacing w:before="0" w:after="0"/>
                    <w:textAlignment w:val="auto"/>
                    <w:rPr>
                      <w:b/>
                      <w:bCs/>
                      <w:sz w:val="21"/>
                    </w:rPr>
                  </w:pPr>
                  <w:r>
                    <w:rPr>
                      <w:b/>
                      <w:bCs/>
                      <w:sz w:val="21"/>
                    </w:rPr>
                    <w:t>BOD</w:t>
                  </w:r>
                  <w:r>
                    <w:rPr>
                      <w:b/>
                      <w:bCs/>
                      <w:sz w:val="21"/>
                      <w:vertAlign w:val="subscript"/>
                    </w:rPr>
                    <w:t>5</w:t>
                  </w:r>
                </w:p>
              </w:tc>
              <w:tc>
                <w:tcPr>
                  <w:tcW w:w="940" w:type="dxa"/>
                  <w:tcBorders>
                    <w:tl2br w:val="nil"/>
                    <w:tr2bl w:val="nil"/>
                  </w:tcBorders>
                </w:tcPr>
                <w:p w14:paraId="391158FC">
                  <w:pPr>
                    <w:pStyle w:val="46"/>
                    <w:autoSpaceDE/>
                    <w:autoSpaceDN/>
                    <w:snapToGrid w:val="0"/>
                    <w:spacing w:before="0" w:after="0"/>
                    <w:textAlignment w:val="auto"/>
                    <w:rPr>
                      <w:b/>
                      <w:bCs/>
                      <w:sz w:val="21"/>
                    </w:rPr>
                  </w:pPr>
                  <w:r>
                    <w:rPr>
                      <w:rFonts w:hint="eastAsia"/>
                      <w:b/>
                      <w:bCs/>
                      <w:sz w:val="21"/>
                    </w:rPr>
                    <w:t>氨氮</w:t>
                  </w:r>
                </w:p>
              </w:tc>
              <w:tc>
                <w:tcPr>
                  <w:tcW w:w="940" w:type="dxa"/>
                  <w:tcBorders>
                    <w:tl2br w:val="nil"/>
                    <w:tr2bl w:val="nil"/>
                  </w:tcBorders>
                </w:tcPr>
                <w:p w14:paraId="698F88CC">
                  <w:pPr>
                    <w:pStyle w:val="46"/>
                    <w:autoSpaceDE/>
                    <w:autoSpaceDN/>
                    <w:snapToGrid w:val="0"/>
                    <w:spacing w:before="0" w:after="0"/>
                    <w:textAlignment w:val="auto"/>
                    <w:rPr>
                      <w:b/>
                      <w:bCs/>
                      <w:sz w:val="21"/>
                    </w:rPr>
                  </w:pPr>
                  <w:r>
                    <w:rPr>
                      <w:rFonts w:hint="eastAsia"/>
                      <w:b/>
                      <w:bCs/>
                      <w:sz w:val="21"/>
                    </w:rPr>
                    <w:t>总磷</w:t>
                  </w:r>
                </w:p>
              </w:tc>
              <w:tc>
                <w:tcPr>
                  <w:tcW w:w="940" w:type="dxa"/>
                  <w:tcBorders>
                    <w:tl2br w:val="nil"/>
                    <w:tr2bl w:val="nil"/>
                  </w:tcBorders>
                </w:tcPr>
                <w:p w14:paraId="427FDE5D">
                  <w:pPr>
                    <w:pStyle w:val="46"/>
                    <w:autoSpaceDE/>
                    <w:autoSpaceDN/>
                    <w:snapToGrid w:val="0"/>
                    <w:spacing w:before="0" w:after="0"/>
                    <w:textAlignment w:val="auto"/>
                    <w:rPr>
                      <w:b/>
                      <w:bCs/>
                      <w:sz w:val="21"/>
                    </w:rPr>
                  </w:pPr>
                  <w:r>
                    <w:rPr>
                      <w:rFonts w:hint="eastAsia"/>
                      <w:b/>
                      <w:bCs/>
                      <w:sz w:val="21"/>
                    </w:rPr>
                    <w:t>总氮</w:t>
                  </w:r>
                </w:p>
              </w:tc>
              <w:tc>
                <w:tcPr>
                  <w:tcW w:w="940" w:type="dxa"/>
                  <w:tcBorders>
                    <w:tl2br w:val="nil"/>
                    <w:tr2bl w:val="nil"/>
                  </w:tcBorders>
                </w:tcPr>
                <w:p w14:paraId="3E8270F9">
                  <w:pPr>
                    <w:pStyle w:val="46"/>
                    <w:autoSpaceDE/>
                    <w:autoSpaceDN/>
                    <w:snapToGrid w:val="0"/>
                    <w:spacing w:before="0" w:after="0"/>
                    <w:textAlignment w:val="auto"/>
                    <w:rPr>
                      <w:b/>
                      <w:bCs/>
                      <w:sz w:val="21"/>
                    </w:rPr>
                  </w:pPr>
                  <w:r>
                    <w:rPr>
                      <w:rFonts w:hint="eastAsia"/>
                      <w:b/>
                      <w:bCs/>
                      <w:sz w:val="21"/>
                    </w:rPr>
                    <w:t>石油类</w:t>
                  </w:r>
                </w:p>
              </w:tc>
            </w:tr>
            <w:tr w14:paraId="38B715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472" w:type="dxa"/>
                  <w:tcBorders>
                    <w:tl2br w:val="nil"/>
                    <w:tr2bl w:val="nil"/>
                  </w:tcBorders>
                </w:tcPr>
                <w:p w14:paraId="5FFAC387">
                  <w:pPr>
                    <w:pStyle w:val="46"/>
                    <w:autoSpaceDE/>
                    <w:autoSpaceDN/>
                    <w:snapToGrid w:val="0"/>
                    <w:spacing w:before="0" w:after="0"/>
                    <w:textAlignment w:val="auto"/>
                    <w:rPr>
                      <w:sz w:val="21"/>
                    </w:rPr>
                  </w:pPr>
                  <w:r>
                    <w:rPr>
                      <w:rFonts w:hint="eastAsia"/>
                      <w:sz w:val="21"/>
                    </w:rPr>
                    <w:t>标准值</w:t>
                  </w:r>
                </w:p>
              </w:tc>
              <w:tc>
                <w:tcPr>
                  <w:tcW w:w="1892" w:type="dxa"/>
                  <w:tcBorders>
                    <w:tl2br w:val="nil"/>
                    <w:tr2bl w:val="nil"/>
                  </w:tcBorders>
                </w:tcPr>
                <w:p w14:paraId="322C0D60">
                  <w:pPr>
                    <w:pStyle w:val="46"/>
                    <w:autoSpaceDE/>
                    <w:autoSpaceDN/>
                    <w:snapToGrid w:val="0"/>
                    <w:spacing w:before="0" w:after="0"/>
                    <w:textAlignment w:val="auto"/>
                    <w:rPr>
                      <w:sz w:val="21"/>
                    </w:rPr>
                  </w:pPr>
                  <w:r>
                    <w:rPr>
                      <w:sz w:val="21"/>
                    </w:rPr>
                    <w:t>6~9</w:t>
                  </w:r>
                </w:p>
              </w:tc>
              <w:tc>
                <w:tcPr>
                  <w:tcW w:w="940" w:type="dxa"/>
                  <w:tcBorders>
                    <w:tl2br w:val="nil"/>
                    <w:tr2bl w:val="nil"/>
                  </w:tcBorders>
                </w:tcPr>
                <w:p w14:paraId="5F09F4F7">
                  <w:pPr>
                    <w:pStyle w:val="46"/>
                    <w:autoSpaceDE/>
                    <w:autoSpaceDN/>
                    <w:snapToGrid w:val="0"/>
                    <w:spacing w:before="0" w:after="0"/>
                    <w:textAlignment w:val="auto"/>
                    <w:rPr>
                      <w:sz w:val="21"/>
                    </w:rPr>
                  </w:pPr>
                  <w:r>
                    <w:rPr>
                      <w:sz w:val="21"/>
                    </w:rPr>
                    <w:t>≤20</w:t>
                  </w:r>
                </w:p>
              </w:tc>
              <w:tc>
                <w:tcPr>
                  <w:tcW w:w="940" w:type="dxa"/>
                  <w:tcBorders>
                    <w:tl2br w:val="nil"/>
                    <w:tr2bl w:val="nil"/>
                  </w:tcBorders>
                </w:tcPr>
                <w:p w14:paraId="1C078073">
                  <w:pPr>
                    <w:pStyle w:val="46"/>
                    <w:autoSpaceDE/>
                    <w:autoSpaceDN/>
                    <w:snapToGrid w:val="0"/>
                    <w:spacing w:before="0" w:after="0"/>
                    <w:textAlignment w:val="auto"/>
                    <w:rPr>
                      <w:bCs/>
                      <w:sz w:val="21"/>
                    </w:rPr>
                  </w:pPr>
                  <w:r>
                    <w:rPr>
                      <w:sz w:val="21"/>
                    </w:rPr>
                    <w:t>≤4</w:t>
                  </w:r>
                </w:p>
              </w:tc>
              <w:tc>
                <w:tcPr>
                  <w:tcW w:w="940" w:type="dxa"/>
                  <w:tcBorders>
                    <w:tl2br w:val="nil"/>
                    <w:tr2bl w:val="nil"/>
                  </w:tcBorders>
                </w:tcPr>
                <w:p w14:paraId="66D771A6">
                  <w:pPr>
                    <w:pStyle w:val="46"/>
                    <w:autoSpaceDE/>
                    <w:autoSpaceDN/>
                    <w:snapToGrid w:val="0"/>
                    <w:spacing w:before="0" w:after="0"/>
                    <w:textAlignment w:val="auto"/>
                    <w:rPr>
                      <w:sz w:val="21"/>
                    </w:rPr>
                  </w:pPr>
                  <w:r>
                    <w:rPr>
                      <w:sz w:val="21"/>
                    </w:rPr>
                    <w:t>≤1.0</w:t>
                  </w:r>
                </w:p>
              </w:tc>
              <w:tc>
                <w:tcPr>
                  <w:tcW w:w="940" w:type="dxa"/>
                  <w:tcBorders>
                    <w:tl2br w:val="nil"/>
                    <w:tr2bl w:val="nil"/>
                  </w:tcBorders>
                </w:tcPr>
                <w:p w14:paraId="722FDE25">
                  <w:pPr>
                    <w:pStyle w:val="46"/>
                    <w:autoSpaceDE/>
                    <w:autoSpaceDN/>
                    <w:snapToGrid w:val="0"/>
                    <w:spacing w:before="0" w:after="0"/>
                    <w:textAlignment w:val="auto"/>
                    <w:rPr>
                      <w:sz w:val="21"/>
                    </w:rPr>
                  </w:pPr>
                  <w:r>
                    <w:rPr>
                      <w:sz w:val="21"/>
                    </w:rPr>
                    <w:t>≤0.2</w:t>
                  </w:r>
                </w:p>
              </w:tc>
              <w:tc>
                <w:tcPr>
                  <w:tcW w:w="940" w:type="dxa"/>
                  <w:tcBorders>
                    <w:tl2br w:val="nil"/>
                    <w:tr2bl w:val="nil"/>
                  </w:tcBorders>
                </w:tcPr>
                <w:p w14:paraId="316A2069">
                  <w:pPr>
                    <w:pStyle w:val="46"/>
                    <w:autoSpaceDE/>
                    <w:autoSpaceDN/>
                    <w:snapToGrid w:val="0"/>
                    <w:spacing w:before="0" w:after="0"/>
                    <w:textAlignment w:val="auto"/>
                    <w:rPr>
                      <w:sz w:val="21"/>
                    </w:rPr>
                  </w:pPr>
                  <w:r>
                    <w:rPr>
                      <w:sz w:val="21"/>
                    </w:rPr>
                    <w:t>≤1.0</w:t>
                  </w:r>
                </w:p>
              </w:tc>
              <w:tc>
                <w:tcPr>
                  <w:tcW w:w="940" w:type="dxa"/>
                  <w:tcBorders>
                    <w:tl2br w:val="nil"/>
                    <w:tr2bl w:val="nil"/>
                  </w:tcBorders>
                </w:tcPr>
                <w:p w14:paraId="4F6A366F">
                  <w:pPr>
                    <w:pStyle w:val="46"/>
                    <w:autoSpaceDE/>
                    <w:autoSpaceDN/>
                    <w:snapToGrid w:val="0"/>
                    <w:spacing w:before="0" w:after="0"/>
                    <w:textAlignment w:val="auto"/>
                    <w:rPr>
                      <w:bCs/>
                      <w:sz w:val="21"/>
                    </w:rPr>
                  </w:pPr>
                  <w:r>
                    <w:rPr>
                      <w:sz w:val="21"/>
                    </w:rPr>
                    <w:t>≤0.05</w:t>
                  </w:r>
                </w:p>
              </w:tc>
            </w:tr>
          </w:tbl>
          <w:p w14:paraId="62BE7713">
            <w:pPr>
              <w:pStyle w:val="73"/>
              <w:numPr>
                <w:ilvl w:val="0"/>
                <w:numId w:val="0"/>
              </w:numPr>
              <w:spacing w:before="156" w:beforeLines="50" w:line="360" w:lineRule="auto"/>
              <w:ind w:left="476"/>
              <w:rPr>
                <w:rFonts w:ascii="Times New Roman" w:hAnsi="Times New Roman"/>
                <w:b/>
                <w:bCs/>
              </w:rPr>
            </w:pPr>
            <w:r>
              <w:rPr>
                <w:rFonts w:hint="eastAsia" w:ascii="Times New Roman" w:hAnsi="Times New Roman"/>
                <w:b/>
                <w:bCs/>
              </w:rPr>
              <w:t>3、声环境质量标准</w:t>
            </w:r>
          </w:p>
          <w:p w14:paraId="3FEB0ABD">
            <w:pPr>
              <w:pStyle w:val="88"/>
              <w:spacing w:line="360" w:lineRule="auto"/>
              <w:ind w:firstLine="480"/>
              <w:rPr>
                <w:rFonts w:ascii="Times New Roman" w:hAnsi="Times New Roman"/>
              </w:rPr>
            </w:pPr>
            <w:r>
              <w:rPr>
                <w:rFonts w:hint="eastAsia" w:ascii="Times New Roman" w:hAnsi="Times New Roman"/>
              </w:rPr>
              <w:t>区域环境噪声执行《声环境质量标准》（GB3096-2008）中2类标准，具体限值见下表。</w:t>
            </w:r>
          </w:p>
          <w:p w14:paraId="3707D1A6">
            <w:pPr>
              <w:pStyle w:val="7"/>
              <w:rPr>
                <w:rFonts w:cs="Times New Roman"/>
              </w:rPr>
            </w:pPr>
            <w:r>
              <w:rPr>
                <w:rFonts w:hint="eastAsia" w:cs="Times New Roman"/>
              </w:rPr>
              <w:t>表3- 24  《声环境质量标准》   单位：dB（A）</w:t>
            </w:r>
          </w:p>
          <w:tbl>
            <w:tblPr>
              <w:tblStyle w:val="28"/>
              <w:tblW w:w="5000" w:type="pct"/>
              <w:tblInd w:w="3"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3003"/>
              <w:gridCol w:w="3002"/>
              <w:gridCol w:w="3000"/>
            </w:tblGrid>
            <w:tr w14:paraId="40AD6C9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1667" w:type="pct"/>
                  <w:vMerge w:val="restart"/>
                  <w:tcBorders>
                    <w:tl2br w:val="nil"/>
                    <w:tr2bl w:val="nil"/>
                  </w:tcBorders>
                  <w:vAlign w:val="center"/>
                </w:tcPr>
                <w:p w14:paraId="420290BE">
                  <w:pPr>
                    <w:pStyle w:val="105"/>
                    <w:snapToGrid w:val="0"/>
                    <w:jc w:val="center"/>
                    <w:rPr>
                      <w:b/>
                      <w:bCs/>
                      <w:sz w:val="21"/>
                      <w:szCs w:val="21"/>
                    </w:rPr>
                  </w:pPr>
                  <w:r>
                    <w:rPr>
                      <w:rFonts w:hint="eastAsia"/>
                      <w:b/>
                      <w:bCs/>
                      <w:sz w:val="21"/>
                      <w:szCs w:val="21"/>
                    </w:rPr>
                    <w:t>声环境功能区类别</w:t>
                  </w:r>
                </w:p>
              </w:tc>
              <w:tc>
                <w:tcPr>
                  <w:tcW w:w="3333" w:type="pct"/>
                  <w:gridSpan w:val="2"/>
                  <w:tcBorders>
                    <w:tl2br w:val="nil"/>
                    <w:tr2bl w:val="nil"/>
                  </w:tcBorders>
                  <w:vAlign w:val="center"/>
                </w:tcPr>
                <w:p w14:paraId="77778EC7">
                  <w:pPr>
                    <w:pStyle w:val="105"/>
                    <w:snapToGrid w:val="0"/>
                    <w:jc w:val="center"/>
                    <w:rPr>
                      <w:b/>
                      <w:bCs/>
                      <w:sz w:val="21"/>
                      <w:szCs w:val="21"/>
                    </w:rPr>
                  </w:pPr>
                  <w:r>
                    <w:rPr>
                      <w:rFonts w:hint="eastAsia"/>
                      <w:b/>
                      <w:bCs/>
                      <w:sz w:val="21"/>
                      <w:szCs w:val="21"/>
                    </w:rPr>
                    <w:t>标准值</w:t>
                  </w:r>
                </w:p>
              </w:tc>
            </w:tr>
            <w:tr w14:paraId="5D789D1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1667" w:type="pct"/>
                  <w:vMerge w:val="continue"/>
                  <w:tcBorders>
                    <w:tl2br w:val="nil"/>
                    <w:tr2bl w:val="nil"/>
                  </w:tcBorders>
                  <w:vAlign w:val="center"/>
                </w:tcPr>
                <w:p w14:paraId="582CBAD8">
                  <w:pPr>
                    <w:pStyle w:val="105"/>
                    <w:snapToGrid w:val="0"/>
                    <w:jc w:val="center"/>
                    <w:rPr>
                      <w:b/>
                      <w:bCs/>
                      <w:sz w:val="21"/>
                      <w:szCs w:val="21"/>
                    </w:rPr>
                  </w:pPr>
                </w:p>
              </w:tc>
              <w:tc>
                <w:tcPr>
                  <w:tcW w:w="1667" w:type="pct"/>
                  <w:tcBorders>
                    <w:tl2br w:val="nil"/>
                    <w:tr2bl w:val="nil"/>
                  </w:tcBorders>
                  <w:vAlign w:val="center"/>
                </w:tcPr>
                <w:p w14:paraId="4708DB51">
                  <w:pPr>
                    <w:pStyle w:val="105"/>
                    <w:snapToGrid w:val="0"/>
                    <w:jc w:val="center"/>
                    <w:rPr>
                      <w:b/>
                      <w:bCs/>
                      <w:sz w:val="21"/>
                      <w:szCs w:val="21"/>
                    </w:rPr>
                  </w:pPr>
                  <w:r>
                    <w:rPr>
                      <w:rFonts w:hint="eastAsia"/>
                      <w:b/>
                      <w:bCs/>
                      <w:sz w:val="21"/>
                      <w:szCs w:val="21"/>
                    </w:rPr>
                    <w:t>昼间</w:t>
                  </w:r>
                </w:p>
              </w:tc>
              <w:tc>
                <w:tcPr>
                  <w:tcW w:w="1667" w:type="pct"/>
                  <w:tcBorders>
                    <w:tl2br w:val="nil"/>
                    <w:tr2bl w:val="nil"/>
                  </w:tcBorders>
                  <w:vAlign w:val="center"/>
                </w:tcPr>
                <w:p w14:paraId="39D28D04">
                  <w:pPr>
                    <w:pStyle w:val="105"/>
                    <w:snapToGrid w:val="0"/>
                    <w:jc w:val="center"/>
                    <w:rPr>
                      <w:b/>
                      <w:bCs/>
                      <w:sz w:val="21"/>
                      <w:szCs w:val="21"/>
                    </w:rPr>
                  </w:pPr>
                  <w:r>
                    <w:rPr>
                      <w:rFonts w:hint="eastAsia"/>
                      <w:b/>
                      <w:bCs/>
                      <w:sz w:val="21"/>
                      <w:szCs w:val="21"/>
                    </w:rPr>
                    <w:t>夜间</w:t>
                  </w:r>
                </w:p>
              </w:tc>
            </w:tr>
            <w:tr w14:paraId="72861CC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1667" w:type="pct"/>
                  <w:tcBorders>
                    <w:tl2br w:val="nil"/>
                    <w:tr2bl w:val="nil"/>
                  </w:tcBorders>
                  <w:vAlign w:val="center"/>
                </w:tcPr>
                <w:p w14:paraId="772F052B">
                  <w:pPr>
                    <w:pStyle w:val="105"/>
                    <w:snapToGrid w:val="0"/>
                    <w:jc w:val="center"/>
                    <w:rPr>
                      <w:sz w:val="21"/>
                      <w:szCs w:val="21"/>
                    </w:rPr>
                  </w:pPr>
                  <w:r>
                    <w:rPr>
                      <w:rFonts w:hint="eastAsia"/>
                      <w:sz w:val="21"/>
                      <w:szCs w:val="21"/>
                    </w:rPr>
                    <w:t>2类</w:t>
                  </w:r>
                </w:p>
              </w:tc>
              <w:tc>
                <w:tcPr>
                  <w:tcW w:w="1667" w:type="pct"/>
                  <w:tcBorders>
                    <w:tl2br w:val="nil"/>
                    <w:tr2bl w:val="nil"/>
                  </w:tcBorders>
                  <w:vAlign w:val="center"/>
                </w:tcPr>
                <w:p w14:paraId="61E63AF4">
                  <w:pPr>
                    <w:pStyle w:val="105"/>
                    <w:snapToGrid w:val="0"/>
                    <w:jc w:val="center"/>
                    <w:rPr>
                      <w:sz w:val="21"/>
                      <w:szCs w:val="21"/>
                    </w:rPr>
                  </w:pPr>
                  <w:r>
                    <w:rPr>
                      <w:sz w:val="21"/>
                      <w:szCs w:val="21"/>
                    </w:rPr>
                    <w:t>60</w:t>
                  </w:r>
                </w:p>
              </w:tc>
              <w:tc>
                <w:tcPr>
                  <w:tcW w:w="1667" w:type="pct"/>
                  <w:tcBorders>
                    <w:tl2br w:val="nil"/>
                    <w:tr2bl w:val="nil"/>
                  </w:tcBorders>
                  <w:vAlign w:val="center"/>
                </w:tcPr>
                <w:p w14:paraId="5870980D">
                  <w:pPr>
                    <w:pStyle w:val="105"/>
                    <w:snapToGrid w:val="0"/>
                    <w:jc w:val="center"/>
                    <w:rPr>
                      <w:sz w:val="21"/>
                      <w:szCs w:val="21"/>
                    </w:rPr>
                  </w:pPr>
                  <w:r>
                    <w:rPr>
                      <w:sz w:val="21"/>
                      <w:szCs w:val="21"/>
                    </w:rPr>
                    <w:t>50</w:t>
                  </w:r>
                </w:p>
              </w:tc>
            </w:tr>
          </w:tbl>
          <w:p w14:paraId="1E0A5037">
            <w:pPr>
              <w:pStyle w:val="73"/>
              <w:numPr>
                <w:ilvl w:val="0"/>
                <w:numId w:val="0"/>
              </w:numPr>
              <w:spacing w:before="156" w:beforeLines="50" w:line="360" w:lineRule="auto"/>
              <w:ind w:left="476"/>
              <w:rPr>
                <w:rFonts w:ascii="Times New Roman" w:hAnsi="Times New Roman"/>
                <w:b/>
                <w:bCs/>
              </w:rPr>
            </w:pPr>
            <w:r>
              <w:rPr>
                <w:rFonts w:hint="eastAsia" w:ascii="Times New Roman" w:hAnsi="Times New Roman"/>
                <w:b/>
                <w:bCs/>
              </w:rPr>
              <w:t>4、底泥</w:t>
            </w:r>
          </w:p>
          <w:p w14:paraId="0CB40CB3">
            <w:pPr>
              <w:pStyle w:val="73"/>
              <w:numPr>
                <w:ilvl w:val="0"/>
                <w:numId w:val="0"/>
              </w:numPr>
              <w:spacing w:line="360" w:lineRule="auto"/>
              <w:ind w:firstLine="480" w:firstLineChars="200"/>
              <w:rPr>
                <w:rFonts w:ascii="Times New Roman" w:hAnsi="Times New Roman"/>
              </w:rPr>
            </w:pPr>
            <w:r>
              <w:rPr>
                <w:rFonts w:hint="eastAsia" w:ascii="Times New Roman" w:hAnsi="Times New Roman"/>
              </w:rPr>
              <w:t>底泥执行《土壤环境质量 农用地土壤污染风险管控标准（试行）》（GB15618-2018）的要求，详见下表。</w:t>
            </w:r>
          </w:p>
          <w:p w14:paraId="7257E3C6">
            <w:pPr>
              <w:pStyle w:val="7"/>
              <w:rPr>
                <w:rFonts w:cs="Times New Roman"/>
              </w:rPr>
            </w:pPr>
            <w:r>
              <w:rPr>
                <w:rFonts w:hint="eastAsia" w:cs="Times New Roman"/>
              </w:rPr>
              <w:t>表3- 25  土壤环境质量 农用地土壤污染风险管控标准（试行）</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0"/>
              <w:gridCol w:w="714"/>
              <w:gridCol w:w="1174"/>
              <w:gridCol w:w="1371"/>
              <w:gridCol w:w="1644"/>
              <w:gridCol w:w="1644"/>
              <w:gridCol w:w="1718"/>
            </w:tblGrid>
            <w:tr w14:paraId="5DCAD8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restart"/>
                  <w:tcBorders>
                    <w:tl2br w:val="nil"/>
                    <w:tr2bl w:val="nil"/>
                  </w:tcBorders>
                  <w:vAlign w:val="center"/>
                </w:tcPr>
                <w:p w14:paraId="30CA1E56">
                  <w:pPr>
                    <w:pStyle w:val="84"/>
                    <w:rPr>
                      <w:b/>
                      <w:bCs/>
                    </w:rPr>
                  </w:pPr>
                  <w:r>
                    <w:rPr>
                      <w:rFonts w:hint="eastAsia"/>
                      <w:b/>
                      <w:bCs/>
                    </w:rPr>
                    <w:t>序号</w:t>
                  </w:r>
                </w:p>
              </w:tc>
              <w:tc>
                <w:tcPr>
                  <w:tcW w:w="1888" w:type="dxa"/>
                  <w:gridSpan w:val="2"/>
                  <w:vMerge w:val="restart"/>
                  <w:tcBorders>
                    <w:tl2br w:val="nil"/>
                    <w:tr2bl w:val="nil"/>
                  </w:tcBorders>
                  <w:vAlign w:val="center"/>
                </w:tcPr>
                <w:p w14:paraId="54FAA960">
                  <w:pPr>
                    <w:pStyle w:val="84"/>
                    <w:rPr>
                      <w:b/>
                      <w:bCs/>
                    </w:rPr>
                  </w:pPr>
                  <w:r>
                    <w:rPr>
                      <w:rFonts w:hint="eastAsia"/>
                      <w:b/>
                      <w:bCs/>
                    </w:rPr>
                    <w:t>污染物项目</w:t>
                  </w:r>
                </w:p>
              </w:tc>
              <w:tc>
                <w:tcPr>
                  <w:tcW w:w="6377" w:type="dxa"/>
                  <w:gridSpan w:val="4"/>
                  <w:tcBorders>
                    <w:tl2br w:val="nil"/>
                    <w:tr2bl w:val="nil"/>
                  </w:tcBorders>
                  <w:vAlign w:val="center"/>
                </w:tcPr>
                <w:p w14:paraId="2F40A370">
                  <w:pPr>
                    <w:pStyle w:val="84"/>
                    <w:rPr>
                      <w:b/>
                      <w:bCs/>
                    </w:rPr>
                  </w:pPr>
                  <w:r>
                    <w:rPr>
                      <w:rFonts w:hint="eastAsia"/>
                      <w:b/>
                      <w:bCs/>
                    </w:rPr>
                    <w:t>风险筛选值（mg/kg）</w:t>
                  </w:r>
                </w:p>
              </w:tc>
            </w:tr>
            <w:tr w14:paraId="401A8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continue"/>
                  <w:tcBorders>
                    <w:tl2br w:val="nil"/>
                    <w:tr2bl w:val="nil"/>
                  </w:tcBorders>
                  <w:vAlign w:val="center"/>
                </w:tcPr>
                <w:p w14:paraId="49D4240B">
                  <w:pPr>
                    <w:pStyle w:val="84"/>
                    <w:rPr>
                      <w:b/>
                      <w:bCs/>
                    </w:rPr>
                  </w:pPr>
                </w:p>
              </w:tc>
              <w:tc>
                <w:tcPr>
                  <w:tcW w:w="1888" w:type="dxa"/>
                  <w:gridSpan w:val="2"/>
                  <w:vMerge w:val="continue"/>
                  <w:tcBorders>
                    <w:tl2br w:val="nil"/>
                    <w:tr2bl w:val="nil"/>
                  </w:tcBorders>
                  <w:vAlign w:val="center"/>
                </w:tcPr>
                <w:p w14:paraId="6A7790D6">
                  <w:pPr>
                    <w:pStyle w:val="84"/>
                    <w:rPr>
                      <w:b/>
                      <w:bCs/>
                    </w:rPr>
                  </w:pPr>
                </w:p>
              </w:tc>
              <w:tc>
                <w:tcPr>
                  <w:tcW w:w="1371" w:type="dxa"/>
                  <w:tcBorders>
                    <w:tl2br w:val="nil"/>
                    <w:tr2bl w:val="nil"/>
                  </w:tcBorders>
                  <w:vAlign w:val="center"/>
                </w:tcPr>
                <w:p w14:paraId="07FC4F97">
                  <w:pPr>
                    <w:pStyle w:val="84"/>
                    <w:rPr>
                      <w:b/>
                      <w:bCs/>
                    </w:rPr>
                  </w:pPr>
                  <w:r>
                    <w:rPr>
                      <w:b/>
                      <w:bCs/>
                    </w:rPr>
                    <w:t>pH≤5.5</w:t>
                  </w:r>
                </w:p>
              </w:tc>
              <w:tc>
                <w:tcPr>
                  <w:tcW w:w="1644" w:type="dxa"/>
                  <w:tcBorders>
                    <w:tl2br w:val="nil"/>
                    <w:tr2bl w:val="nil"/>
                  </w:tcBorders>
                  <w:vAlign w:val="center"/>
                </w:tcPr>
                <w:p w14:paraId="75861245">
                  <w:pPr>
                    <w:pStyle w:val="84"/>
                    <w:rPr>
                      <w:b/>
                      <w:bCs/>
                    </w:rPr>
                  </w:pPr>
                  <w:r>
                    <w:rPr>
                      <w:rFonts w:hint="eastAsia"/>
                      <w:b/>
                      <w:bCs/>
                    </w:rPr>
                    <w:t>5.5＜pH≤6.5</w:t>
                  </w:r>
                </w:p>
              </w:tc>
              <w:tc>
                <w:tcPr>
                  <w:tcW w:w="1644" w:type="dxa"/>
                  <w:tcBorders>
                    <w:tl2br w:val="nil"/>
                    <w:tr2bl w:val="nil"/>
                  </w:tcBorders>
                  <w:vAlign w:val="center"/>
                </w:tcPr>
                <w:p w14:paraId="3377C6AC">
                  <w:pPr>
                    <w:pStyle w:val="84"/>
                    <w:rPr>
                      <w:b/>
                      <w:bCs/>
                    </w:rPr>
                  </w:pPr>
                  <w:r>
                    <w:rPr>
                      <w:rFonts w:hint="eastAsia"/>
                      <w:b/>
                      <w:bCs/>
                    </w:rPr>
                    <w:t>6.5＜pH≤7.5</w:t>
                  </w:r>
                </w:p>
              </w:tc>
              <w:tc>
                <w:tcPr>
                  <w:tcW w:w="1718" w:type="dxa"/>
                  <w:tcBorders>
                    <w:tl2br w:val="nil"/>
                    <w:tr2bl w:val="nil"/>
                  </w:tcBorders>
                  <w:vAlign w:val="center"/>
                </w:tcPr>
                <w:p w14:paraId="150D73A7">
                  <w:pPr>
                    <w:pStyle w:val="84"/>
                    <w:rPr>
                      <w:b/>
                      <w:bCs/>
                    </w:rPr>
                  </w:pPr>
                  <w:r>
                    <w:rPr>
                      <w:rFonts w:hint="eastAsia"/>
                      <w:b/>
                      <w:bCs/>
                    </w:rPr>
                    <w:t>pH＞7.5</w:t>
                  </w:r>
                </w:p>
              </w:tc>
            </w:tr>
            <w:tr w14:paraId="5E946D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restart"/>
                  <w:tcBorders>
                    <w:tl2br w:val="nil"/>
                    <w:tr2bl w:val="nil"/>
                  </w:tcBorders>
                  <w:vAlign w:val="center"/>
                </w:tcPr>
                <w:p w14:paraId="548E51F7">
                  <w:pPr>
                    <w:pStyle w:val="84"/>
                  </w:pPr>
                  <w:r>
                    <w:t>1</w:t>
                  </w:r>
                </w:p>
              </w:tc>
              <w:tc>
                <w:tcPr>
                  <w:tcW w:w="714" w:type="dxa"/>
                  <w:vMerge w:val="restart"/>
                  <w:tcBorders>
                    <w:tl2br w:val="nil"/>
                    <w:tr2bl w:val="nil"/>
                  </w:tcBorders>
                  <w:vAlign w:val="center"/>
                </w:tcPr>
                <w:p w14:paraId="72EB5309">
                  <w:pPr>
                    <w:pStyle w:val="84"/>
                  </w:pPr>
                  <w:r>
                    <w:rPr>
                      <w:rFonts w:hint="eastAsia"/>
                    </w:rPr>
                    <w:t>镉</w:t>
                  </w:r>
                </w:p>
              </w:tc>
              <w:tc>
                <w:tcPr>
                  <w:tcW w:w="1174" w:type="dxa"/>
                  <w:tcBorders>
                    <w:tl2br w:val="nil"/>
                    <w:tr2bl w:val="nil"/>
                  </w:tcBorders>
                  <w:vAlign w:val="center"/>
                </w:tcPr>
                <w:p w14:paraId="48DD6619">
                  <w:pPr>
                    <w:pStyle w:val="84"/>
                  </w:pPr>
                  <w:r>
                    <w:rPr>
                      <w:rFonts w:hint="eastAsia"/>
                    </w:rPr>
                    <w:t>水田</w:t>
                  </w:r>
                </w:p>
              </w:tc>
              <w:tc>
                <w:tcPr>
                  <w:tcW w:w="1371" w:type="dxa"/>
                  <w:tcBorders>
                    <w:tl2br w:val="nil"/>
                    <w:tr2bl w:val="nil"/>
                  </w:tcBorders>
                  <w:vAlign w:val="center"/>
                </w:tcPr>
                <w:p w14:paraId="70A2A139">
                  <w:pPr>
                    <w:pStyle w:val="84"/>
                  </w:pPr>
                  <w:r>
                    <w:t>0.3</w:t>
                  </w:r>
                </w:p>
              </w:tc>
              <w:tc>
                <w:tcPr>
                  <w:tcW w:w="1644" w:type="dxa"/>
                  <w:tcBorders>
                    <w:tl2br w:val="nil"/>
                    <w:tr2bl w:val="nil"/>
                  </w:tcBorders>
                  <w:vAlign w:val="center"/>
                </w:tcPr>
                <w:p w14:paraId="2A10073D">
                  <w:pPr>
                    <w:pStyle w:val="84"/>
                  </w:pPr>
                  <w:r>
                    <w:t>0.4</w:t>
                  </w:r>
                </w:p>
              </w:tc>
              <w:tc>
                <w:tcPr>
                  <w:tcW w:w="1644" w:type="dxa"/>
                  <w:tcBorders>
                    <w:tl2br w:val="nil"/>
                    <w:tr2bl w:val="nil"/>
                  </w:tcBorders>
                  <w:vAlign w:val="center"/>
                </w:tcPr>
                <w:p w14:paraId="43F268A1">
                  <w:pPr>
                    <w:pStyle w:val="84"/>
                  </w:pPr>
                  <w:r>
                    <w:t>0.6</w:t>
                  </w:r>
                </w:p>
              </w:tc>
              <w:tc>
                <w:tcPr>
                  <w:tcW w:w="1718" w:type="dxa"/>
                  <w:tcBorders>
                    <w:tl2br w:val="nil"/>
                    <w:tr2bl w:val="nil"/>
                  </w:tcBorders>
                  <w:vAlign w:val="center"/>
                </w:tcPr>
                <w:p w14:paraId="45A4CE8A">
                  <w:pPr>
                    <w:pStyle w:val="84"/>
                  </w:pPr>
                  <w:r>
                    <w:t>0.8</w:t>
                  </w:r>
                </w:p>
              </w:tc>
            </w:tr>
            <w:tr w14:paraId="6CE88C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continue"/>
                  <w:tcBorders>
                    <w:tl2br w:val="nil"/>
                    <w:tr2bl w:val="nil"/>
                  </w:tcBorders>
                  <w:vAlign w:val="center"/>
                </w:tcPr>
                <w:p w14:paraId="7F2A9100">
                  <w:pPr>
                    <w:pStyle w:val="84"/>
                  </w:pPr>
                </w:p>
              </w:tc>
              <w:tc>
                <w:tcPr>
                  <w:tcW w:w="714" w:type="dxa"/>
                  <w:vMerge w:val="continue"/>
                  <w:tcBorders>
                    <w:tl2br w:val="nil"/>
                    <w:tr2bl w:val="nil"/>
                  </w:tcBorders>
                  <w:vAlign w:val="center"/>
                </w:tcPr>
                <w:p w14:paraId="1F09B84B">
                  <w:pPr>
                    <w:pStyle w:val="84"/>
                  </w:pPr>
                </w:p>
              </w:tc>
              <w:tc>
                <w:tcPr>
                  <w:tcW w:w="1174" w:type="dxa"/>
                  <w:tcBorders>
                    <w:tl2br w:val="nil"/>
                    <w:tr2bl w:val="nil"/>
                  </w:tcBorders>
                  <w:vAlign w:val="center"/>
                </w:tcPr>
                <w:p w14:paraId="52EFE27F">
                  <w:pPr>
                    <w:pStyle w:val="84"/>
                  </w:pPr>
                  <w:r>
                    <w:rPr>
                      <w:rFonts w:hint="eastAsia"/>
                    </w:rPr>
                    <w:t>其他</w:t>
                  </w:r>
                </w:p>
              </w:tc>
              <w:tc>
                <w:tcPr>
                  <w:tcW w:w="1371" w:type="dxa"/>
                  <w:tcBorders>
                    <w:tl2br w:val="nil"/>
                    <w:tr2bl w:val="nil"/>
                  </w:tcBorders>
                  <w:vAlign w:val="center"/>
                </w:tcPr>
                <w:p w14:paraId="57D10664">
                  <w:pPr>
                    <w:pStyle w:val="84"/>
                  </w:pPr>
                  <w:r>
                    <w:t>0.3</w:t>
                  </w:r>
                </w:p>
              </w:tc>
              <w:tc>
                <w:tcPr>
                  <w:tcW w:w="1644" w:type="dxa"/>
                  <w:tcBorders>
                    <w:tl2br w:val="nil"/>
                    <w:tr2bl w:val="nil"/>
                  </w:tcBorders>
                  <w:vAlign w:val="center"/>
                </w:tcPr>
                <w:p w14:paraId="08EF0585">
                  <w:pPr>
                    <w:pStyle w:val="84"/>
                  </w:pPr>
                  <w:r>
                    <w:t>0.3</w:t>
                  </w:r>
                </w:p>
              </w:tc>
              <w:tc>
                <w:tcPr>
                  <w:tcW w:w="1644" w:type="dxa"/>
                  <w:tcBorders>
                    <w:tl2br w:val="nil"/>
                    <w:tr2bl w:val="nil"/>
                  </w:tcBorders>
                  <w:vAlign w:val="center"/>
                </w:tcPr>
                <w:p w14:paraId="54B374F7">
                  <w:pPr>
                    <w:pStyle w:val="84"/>
                  </w:pPr>
                  <w:r>
                    <w:t>0.3</w:t>
                  </w:r>
                </w:p>
              </w:tc>
              <w:tc>
                <w:tcPr>
                  <w:tcW w:w="1718" w:type="dxa"/>
                  <w:tcBorders>
                    <w:tl2br w:val="nil"/>
                    <w:tr2bl w:val="nil"/>
                  </w:tcBorders>
                  <w:vAlign w:val="center"/>
                </w:tcPr>
                <w:p w14:paraId="039B03AC">
                  <w:pPr>
                    <w:pStyle w:val="84"/>
                  </w:pPr>
                  <w:r>
                    <w:t>0.6</w:t>
                  </w:r>
                </w:p>
              </w:tc>
            </w:tr>
            <w:tr w14:paraId="1A3DD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restart"/>
                  <w:tcBorders>
                    <w:tl2br w:val="nil"/>
                    <w:tr2bl w:val="nil"/>
                  </w:tcBorders>
                  <w:vAlign w:val="center"/>
                </w:tcPr>
                <w:p w14:paraId="30532772">
                  <w:pPr>
                    <w:pStyle w:val="84"/>
                  </w:pPr>
                  <w:r>
                    <w:t>2</w:t>
                  </w:r>
                </w:p>
              </w:tc>
              <w:tc>
                <w:tcPr>
                  <w:tcW w:w="714" w:type="dxa"/>
                  <w:vMerge w:val="restart"/>
                  <w:tcBorders>
                    <w:tl2br w:val="nil"/>
                    <w:tr2bl w:val="nil"/>
                  </w:tcBorders>
                  <w:vAlign w:val="center"/>
                </w:tcPr>
                <w:p w14:paraId="011D1935">
                  <w:pPr>
                    <w:pStyle w:val="84"/>
                  </w:pPr>
                  <w:r>
                    <w:rPr>
                      <w:rFonts w:hint="eastAsia"/>
                    </w:rPr>
                    <w:t>汞</w:t>
                  </w:r>
                </w:p>
              </w:tc>
              <w:tc>
                <w:tcPr>
                  <w:tcW w:w="1174" w:type="dxa"/>
                  <w:tcBorders>
                    <w:tl2br w:val="nil"/>
                    <w:tr2bl w:val="nil"/>
                  </w:tcBorders>
                  <w:vAlign w:val="center"/>
                </w:tcPr>
                <w:p w14:paraId="545CC318">
                  <w:pPr>
                    <w:pStyle w:val="84"/>
                  </w:pPr>
                  <w:r>
                    <w:rPr>
                      <w:rFonts w:hint="eastAsia"/>
                    </w:rPr>
                    <w:t>水田</w:t>
                  </w:r>
                </w:p>
              </w:tc>
              <w:tc>
                <w:tcPr>
                  <w:tcW w:w="1371" w:type="dxa"/>
                  <w:tcBorders>
                    <w:tl2br w:val="nil"/>
                    <w:tr2bl w:val="nil"/>
                  </w:tcBorders>
                  <w:vAlign w:val="center"/>
                </w:tcPr>
                <w:p w14:paraId="05B55C72">
                  <w:pPr>
                    <w:pStyle w:val="84"/>
                  </w:pPr>
                  <w:r>
                    <w:t>0.5</w:t>
                  </w:r>
                </w:p>
              </w:tc>
              <w:tc>
                <w:tcPr>
                  <w:tcW w:w="1644" w:type="dxa"/>
                  <w:tcBorders>
                    <w:tl2br w:val="nil"/>
                    <w:tr2bl w:val="nil"/>
                  </w:tcBorders>
                  <w:vAlign w:val="center"/>
                </w:tcPr>
                <w:p w14:paraId="19A82F7F">
                  <w:pPr>
                    <w:pStyle w:val="84"/>
                  </w:pPr>
                  <w:r>
                    <w:t>0.5</w:t>
                  </w:r>
                </w:p>
              </w:tc>
              <w:tc>
                <w:tcPr>
                  <w:tcW w:w="1644" w:type="dxa"/>
                  <w:tcBorders>
                    <w:tl2br w:val="nil"/>
                    <w:tr2bl w:val="nil"/>
                  </w:tcBorders>
                  <w:vAlign w:val="center"/>
                </w:tcPr>
                <w:p w14:paraId="6432E9CF">
                  <w:pPr>
                    <w:pStyle w:val="84"/>
                  </w:pPr>
                  <w:r>
                    <w:t>0.6</w:t>
                  </w:r>
                </w:p>
              </w:tc>
              <w:tc>
                <w:tcPr>
                  <w:tcW w:w="1718" w:type="dxa"/>
                  <w:tcBorders>
                    <w:tl2br w:val="nil"/>
                    <w:tr2bl w:val="nil"/>
                  </w:tcBorders>
                  <w:vAlign w:val="center"/>
                </w:tcPr>
                <w:p w14:paraId="10409FC4">
                  <w:pPr>
                    <w:pStyle w:val="84"/>
                  </w:pPr>
                  <w:r>
                    <w:t>1.0</w:t>
                  </w:r>
                </w:p>
              </w:tc>
            </w:tr>
            <w:tr w14:paraId="2DA04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continue"/>
                  <w:tcBorders>
                    <w:tl2br w:val="nil"/>
                    <w:tr2bl w:val="nil"/>
                  </w:tcBorders>
                  <w:vAlign w:val="center"/>
                </w:tcPr>
                <w:p w14:paraId="5132A645">
                  <w:pPr>
                    <w:pStyle w:val="84"/>
                  </w:pPr>
                </w:p>
              </w:tc>
              <w:tc>
                <w:tcPr>
                  <w:tcW w:w="714" w:type="dxa"/>
                  <w:vMerge w:val="continue"/>
                  <w:tcBorders>
                    <w:tl2br w:val="nil"/>
                    <w:tr2bl w:val="nil"/>
                  </w:tcBorders>
                  <w:vAlign w:val="center"/>
                </w:tcPr>
                <w:p w14:paraId="1F218AD2">
                  <w:pPr>
                    <w:pStyle w:val="84"/>
                  </w:pPr>
                </w:p>
              </w:tc>
              <w:tc>
                <w:tcPr>
                  <w:tcW w:w="1174" w:type="dxa"/>
                  <w:tcBorders>
                    <w:tl2br w:val="nil"/>
                    <w:tr2bl w:val="nil"/>
                  </w:tcBorders>
                  <w:vAlign w:val="center"/>
                </w:tcPr>
                <w:p w14:paraId="64D76763">
                  <w:pPr>
                    <w:pStyle w:val="84"/>
                  </w:pPr>
                  <w:r>
                    <w:rPr>
                      <w:rFonts w:hint="eastAsia"/>
                    </w:rPr>
                    <w:t>其他</w:t>
                  </w:r>
                </w:p>
              </w:tc>
              <w:tc>
                <w:tcPr>
                  <w:tcW w:w="1371" w:type="dxa"/>
                  <w:tcBorders>
                    <w:tl2br w:val="nil"/>
                    <w:tr2bl w:val="nil"/>
                  </w:tcBorders>
                  <w:vAlign w:val="center"/>
                </w:tcPr>
                <w:p w14:paraId="36A63DA5">
                  <w:pPr>
                    <w:pStyle w:val="84"/>
                  </w:pPr>
                  <w:r>
                    <w:t>1.3</w:t>
                  </w:r>
                </w:p>
              </w:tc>
              <w:tc>
                <w:tcPr>
                  <w:tcW w:w="1644" w:type="dxa"/>
                  <w:tcBorders>
                    <w:tl2br w:val="nil"/>
                    <w:tr2bl w:val="nil"/>
                  </w:tcBorders>
                  <w:vAlign w:val="center"/>
                </w:tcPr>
                <w:p w14:paraId="2297C660">
                  <w:pPr>
                    <w:pStyle w:val="84"/>
                  </w:pPr>
                  <w:r>
                    <w:t>1.8</w:t>
                  </w:r>
                </w:p>
              </w:tc>
              <w:tc>
                <w:tcPr>
                  <w:tcW w:w="1644" w:type="dxa"/>
                  <w:tcBorders>
                    <w:tl2br w:val="nil"/>
                    <w:tr2bl w:val="nil"/>
                  </w:tcBorders>
                  <w:vAlign w:val="center"/>
                </w:tcPr>
                <w:p w14:paraId="33A205C7">
                  <w:pPr>
                    <w:pStyle w:val="84"/>
                  </w:pPr>
                  <w:r>
                    <w:t>2.4</w:t>
                  </w:r>
                </w:p>
              </w:tc>
              <w:tc>
                <w:tcPr>
                  <w:tcW w:w="1718" w:type="dxa"/>
                  <w:tcBorders>
                    <w:tl2br w:val="nil"/>
                    <w:tr2bl w:val="nil"/>
                  </w:tcBorders>
                  <w:vAlign w:val="center"/>
                </w:tcPr>
                <w:p w14:paraId="69C45FE8">
                  <w:pPr>
                    <w:pStyle w:val="84"/>
                  </w:pPr>
                  <w:r>
                    <w:t>3.4</w:t>
                  </w:r>
                </w:p>
              </w:tc>
            </w:tr>
            <w:tr w14:paraId="278B0C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restart"/>
                  <w:tcBorders>
                    <w:tl2br w:val="nil"/>
                    <w:tr2bl w:val="nil"/>
                  </w:tcBorders>
                  <w:vAlign w:val="center"/>
                </w:tcPr>
                <w:p w14:paraId="78959535">
                  <w:pPr>
                    <w:pStyle w:val="84"/>
                  </w:pPr>
                  <w:r>
                    <w:t>3</w:t>
                  </w:r>
                </w:p>
              </w:tc>
              <w:tc>
                <w:tcPr>
                  <w:tcW w:w="714" w:type="dxa"/>
                  <w:vMerge w:val="restart"/>
                  <w:tcBorders>
                    <w:tl2br w:val="nil"/>
                    <w:tr2bl w:val="nil"/>
                  </w:tcBorders>
                  <w:vAlign w:val="center"/>
                </w:tcPr>
                <w:p w14:paraId="1D8A0E30">
                  <w:pPr>
                    <w:pStyle w:val="84"/>
                  </w:pPr>
                  <w:r>
                    <w:rPr>
                      <w:rFonts w:hint="eastAsia"/>
                    </w:rPr>
                    <w:t>砷</w:t>
                  </w:r>
                </w:p>
              </w:tc>
              <w:tc>
                <w:tcPr>
                  <w:tcW w:w="1174" w:type="dxa"/>
                  <w:tcBorders>
                    <w:tl2br w:val="nil"/>
                    <w:tr2bl w:val="nil"/>
                  </w:tcBorders>
                  <w:vAlign w:val="center"/>
                </w:tcPr>
                <w:p w14:paraId="544F0BB2">
                  <w:pPr>
                    <w:pStyle w:val="84"/>
                  </w:pPr>
                  <w:r>
                    <w:rPr>
                      <w:rFonts w:hint="eastAsia"/>
                    </w:rPr>
                    <w:t>水田</w:t>
                  </w:r>
                </w:p>
              </w:tc>
              <w:tc>
                <w:tcPr>
                  <w:tcW w:w="1371" w:type="dxa"/>
                  <w:tcBorders>
                    <w:tl2br w:val="nil"/>
                    <w:tr2bl w:val="nil"/>
                  </w:tcBorders>
                  <w:vAlign w:val="center"/>
                </w:tcPr>
                <w:p w14:paraId="778097B5">
                  <w:pPr>
                    <w:pStyle w:val="84"/>
                  </w:pPr>
                  <w:r>
                    <w:t>30</w:t>
                  </w:r>
                </w:p>
              </w:tc>
              <w:tc>
                <w:tcPr>
                  <w:tcW w:w="1644" w:type="dxa"/>
                  <w:tcBorders>
                    <w:tl2br w:val="nil"/>
                    <w:tr2bl w:val="nil"/>
                  </w:tcBorders>
                  <w:vAlign w:val="center"/>
                </w:tcPr>
                <w:p w14:paraId="1B48F81D">
                  <w:pPr>
                    <w:pStyle w:val="84"/>
                  </w:pPr>
                  <w:r>
                    <w:t>30</w:t>
                  </w:r>
                </w:p>
              </w:tc>
              <w:tc>
                <w:tcPr>
                  <w:tcW w:w="1644" w:type="dxa"/>
                  <w:tcBorders>
                    <w:tl2br w:val="nil"/>
                    <w:tr2bl w:val="nil"/>
                  </w:tcBorders>
                  <w:vAlign w:val="center"/>
                </w:tcPr>
                <w:p w14:paraId="59631FAA">
                  <w:pPr>
                    <w:pStyle w:val="84"/>
                  </w:pPr>
                  <w:r>
                    <w:t>25</w:t>
                  </w:r>
                </w:p>
              </w:tc>
              <w:tc>
                <w:tcPr>
                  <w:tcW w:w="1718" w:type="dxa"/>
                  <w:tcBorders>
                    <w:tl2br w:val="nil"/>
                    <w:tr2bl w:val="nil"/>
                  </w:tcBorders>
                  <w:vAlign w:val="center"/>
                </w:tcPr>
                <w:p w14:paraId="4AC2A043">
                  <w:pPr>
                    <w:pStyle w:val="84"/>
                  </w:pPr>
                  <w:r>
                    <w:t>20</w:t>
                  </w:r>
                </w:p>
              </w:tc>
            </w:tr>
            <w:tr w14:paraId="46A1B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continue"/>
                  <w:tcBorders>
                    <w:tl2br w:val="nil"/>
                    <w:tr2bl w:val="nil"/>
                  </w:tcBorders>
                  <w:vAlign w:val="center"/>
                </w:tcPr>
                <w:p w14:paraId="1C6E1BE7">
                  <w:pPr>
                    <w:pStyle w:val="84"/>
                  </w:pPr>
                </w:p>
              </w:tc>
              <w:tc>
                <w:tcPr>
                  <w:tcW w:w="714" w:type="dxa"/>
                  <w:vMerge w:val="continue"/>
                  <w:tcBorders>
                    <w:tl2br w:val="nil"/>
                    <w:tr2bl w:val="nil"/>
                  </w:tcBorders>
                  <w:vAlign w:val="center"/>
                </w:tcPr>
                <w:p w14:paraId="47311EBF">
                  <w:pPr>
                    <w:pStyle w:val="84"/>
                  </w:pPr>
                </w:p>
              </w:tc>
              <w:tc>
                <w:tcPr>
                  <w:tcW w:w="1174" w:type="dxa"/>
                  <w:tcBorders>
                    <w:tl2br w:val="nil"/>
                    <w:tr2bl w:val="nil"/>
                  </w:tcBorders>
                  <w:vAlign w:val="center"/>
                </w:tcPr>
                <w:p w14:paraId="42755735">
                  <w:pPr>
                    <w:pStyle w:val="84"/>
                  </w:pPr>
                  <w:r>
                    <w:rPr>
                      <w:rFonts w:hint="eastAsia"/>
                    </w:rPr>
                    <w:t>其他</w:t>
                  </w:r>
                </w:p>
              </w:tc>
              <w:tc>
                <w:tcPr>
                  <w:tcW w:w="1371" w:type="dxa"/>
                  <w:tcBorders>
                    <w:tl2br w:val="nil"/>
                    <w:tr2bl w:val="nil"/>
                  </w:tcBorders>
                  <w:vAlign w:val="center"/>
                </w:tcPr>
                <w:p w14:paraId="2A9F7395">
                  <w:pPr>
                    <w:pStyle w:val="84"/>
                  </w:pPr>
                  <w:r>
                    <w:t>40</w:t>
                  </w:r>
                </w:p>
              </w:tc>
              <w:tc>
                <w:tcPr>
                  <w:tcW w:w="1644" w:type="dxa"/>
                  <w:tcBorders>
                    <w:tl2br w:val="nil"/>
                    <w:tr2bl w:val="nil"/>
                  </w:tcBorders>
                  <w:vAlign w:val="center"/>
                </w:tcPr>
                <w:p w14:paraId="4221E11D">
                  <w:pPr>
                    <w:pStyle w:val="84"/>
                  </w:pPr>
                  <w:r>
                    <w:t>40</w:t>
                  </w:r>
                </w:p>
              </w:tc>
              <w:tc>
                <w:tcPr>
                  <w:tcW w:w="1644" w:type="dxa"/>
                  <w:tcBorders>
                    <w:tl2br w:val="nil"/>
                    <w:tr2bl w:val="nil"/>
                  </w:tcBorders>
                  <w:vAlign w:val="center"/>
                </w:tcPr>
                <w:p w14:paraId="28C5E20A">
                  <w:pPr>
                    <w:pStyle w:val="84"/>
                  </w:pPr>
                  <w:r>
                    <w:t>30</w:t>
                  </w:r>
                </w:p>
              </w:tc>
              <w:tc>
                <w:tcPr>
                  <w:tcW w:w="1718" w:type="dxa"/>
                  <w:tcBorders>
                    <w:tl2br w:val="nil"/>
                    <w:tr2bl w:val="nil"/>
                  </w:tcBorders>
                  <w:vAlign w:val="center"/>
                </w:tcPr>
                <w:p w14:paraId="4A7D5E91">
                  <w:pPr>
                    <w:pStyle w:val="84"/>
                  </w:pPr>
                  <w:r>
                    <w:t>25</w:t>
                  </w:r>
                </w:p>
              </w:tc>
            </w:tr>
            <w:tr w14:paraId="7756B6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restart"/>
                  <w:tcBorders>
                    <w:tl2br w:val="nil"/>
                    <w:tr2bl w:val="nil"/>
                  </w:tcBorders>
                  <w:vAlign w:val="center"/>
                </w:tcPr>
                <w:p w14:paraId="461E2462">
                  <w:pPr>
                    <w:pStyle w:val="84"/>
                  </w:pPr>
                  <w:r>
                    <w:t>4</w:t>
                  </w:r>
                </w:p>
              </w:tc>
              <w:tc>
                <w:tcPr>
                  <w:tcW w:w="714" w:type="dxa"/>
                  <w:vMerge w:val="restart"/>
                  <w:tcBorders>
                    <w:tl2br w:val="nil"/>
                    <w:tr2bl w:val="nil"/>
                  </w:tcBorders>
                  <w:vAlign w:val="center"/>
                </w:tcPr>
                <w:p w14:paraId="0D669C65">
                  <w:pPr>
                    <w:pStyle w:val="84"/>
                  </w:pPr>
                  <w:r>
                    <w:rPr>
                      <w:rFonts w:hint="eastAsia"/>
                    </w:rPr>
                    <w:t>铅</w:t>
                  </w:r>
                </w:p>
              </w:tc>
              <w:tc>
                <w:tcPr>
                  <w:tcW w:w="1174" w:type="dxa"/>
                  <w:tcBorders>
                    <w:tl2br w:val="nil"/>
                    <w:tr2bl w:val="nil"/>
                  </w:tcBorders>
                  <w:vAlign w:val="center"/>
                </w:tcPr>
                <w:p w14:paraId="348A8B89">
                  <w:pPr>
                    <w:pStyle w:val="84"/>
                  </w:pPr>
                  <w:r>
                    <w:rPr>
                      <w:rFonts w:hint="eastAsia"/>
                    </w:rPr>
                    <w:t>水田</w:t>
                  </w:r>
                </w:p>
              </w:tc>
              <w:tc>
                <w:tcPr>
                  <w:tcW w:w="1371" w:type="dxa"/>
                  <w:tcBorders>
                    <w:tl2br w:val="nil"/>
                    <w:tr2bl w:val="nil"/>
                  </w:tcBorders>
                  <w:vAlign w:val="center"/>
                </w:tcPr>
                <w:p w14:paraId="4217CD21">
                  <w:pPr>
                    <w:pStyle w:val="84"/>
                  </w:pPr>
                  <w:r>
                    <w:t>80</w:t>
                  </w:r>
                </w:p>
              </w:tc>
              <w:tc>
                <w:tcPr>
                  <w:tcW w:w="1644" w:type="dxa"/>
                  <w:tcBorders>
                    <w:tl2br w:val="nil"/>
                    <w:tr2bl w:val="nil"/>
                  </w:tcBorders>
                  <w:vAlign w:val="center"/>
                </w:tcPr>
                <w:p w14:paraId="262533F8">
                  <w:pPr>
                    <w:pStyle w:val="84"/>
                  </w:pPr>
                  <w:r>
                    <w:t>100</w:t>
                  </w:r>
                </w:p>
              </w:tc>
              <w:tc>
                <w:tcPr>
                  <w:tcW w:w="1644" w:type="dxa"/>
                  <w:tcBorders>
                    <w:tl2br w:val="nil"/>
                    <w:tr2bl w:val="nil"/>
                  </w:tcBorders>
                  <w:vAlign w:val="center"/>
                </w:tcPr>
                <w:p w14:paraId="7C4787C8">
                  <w:pPr>
                    <w:pStyle w:val="84"/>
                  </w:pPr>
                  <w:r>
                    <w:t>140</w:t>
                  </w:r>
                </w:p>
              </w:tc>
              <w:tc>
                <w:tcPr>
                  <w:tcW w:w="1718" w:type="dxa"/>
                  <w:tcBorders>
                    <w:tl2br w:val="nil"/>
                    <w:tr2bl w:val="nil"/>
                  </w:tcBorders>
                  <w:vAlign w:val="center"/>
                </w:tcPr>
                <w:p w14:paraId="5F3109ED">
                  <w:pPr>
                    <w:pStyle w:val="84"/>
                  </w:pPr>
                  <w:r>
                    <w:t>240</w:t>
                  </w:r>
                </w:p>
              </w:tc>
            </w:tr>
            <w:tr w14:paraId="1D810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continue"/>
                  <w:tcBorders>
                    <w:tl2br w:val="nil"/>
                    <w:tr2bl w:val="nil"/>
                  </w:tcBorders>
                  <w:vAlign w:val="center"/>
                </w:tcPr>
                <w:p w14:paraId="549581C0">
                  <w:pPr>
                    <w:pStyle w:val="84"/>
                  </w:pPr>
                </w:p>
              </w:tc>
              <w:tc>
                <w:tcPr>
                  <w:tcW w:w="714" w:type="dxa"/>
                  <w:vMerge w:val="continue"/>
                  <w:tcBorders>
                    <w:tl2br w:val="nil"/>
                    <w:tr2bl w:val="nil"/>
                  </w:tcBorders>
                  <w:vAlign w:val="center"/>
                </w:tcPr>
                <w:p w14:paraId="069F8F7A">
                  <w:pPr>
                    <w:pStyle w:val="84"/>
                  </w:pPr>
                </w:p>
              </w:tc>
              <w:tc>
                <w:tcPr>
                  <w:tcW w:w="1174" w:type="dxa"/>
                  <w:tcBorders>
                    <w:tl2br w:val="nil"/>
                    <w:tr2bl w:val="nil"/>
                  </w:tcBorders>
                  <w:vAlign w:val="center"/>
                </w:tcPr>
                <w:p w14:paraId="324FDDF0">
                  <w:pPr>
                    <w:pStyle w:val="84"/>
                  </w:pPr>
                  <w:r>
                    <w:rPr>
                      <w:rFonts w:hint="eastAsia"/>
                    </w:rPr>
                    <w:t>其他</w:t>
                  </w:r>
                </w:p>
              </w:tc>
              <w:tc>
                <w:tcPr>
                  <w:tcW w:w="1371" w:type="dxa"/>
                  <w:tcBorders>
                    <w:tl2br w:val="nil"/>
                    <w:tr2bl w:val="nil"/>
                  </w:tcBorders>
                  <w:vAlign w:val="center"/>
                </w:tcPr>
                <w:p w14:paraId="3D0216E1">
                  <w:pPr>
                    <w:pStyle w:val="84"/>
                  </w:pPr>
                  <w:r>
                    <w:t>70</w:t>
                  </w:r>
                </w:p>
              </w:tc>
              <w:tc>
                <w:tcPr>
                  <w:tcW w:w="1644" w:type="dxa"/>
                  <w:tcBorders>
                    <w:tl2br w:val="nil"/>
                    <w:tr2bl w:val="nil"/>
                  </w:tcBorders>
                  <w:vAlign w:val="center"/>
                </w:tcPr>
                <w:p w14:paraId="143495A6">
                  <w:pPr>
                    <w:pStyle w:val="84"/>
                  </w:pPr>
                  <w:r>
                    <w:t>90</w:t>
                  </w:r>
                </w:p>
              </w:tc>
              <w:tc>
                <w:tcPr>
                  <w:tcW w:w="1644" w:type="dxa"/>
                  <w:tcBorders>
                    <w:tl2br w:val="nil"/>
                    <w:tr2bl w:val="nil"/>
                  </w:tcBorders>
                  <w:vAlign w:val="center"/>
                </w:tcPr>
                <w:p w14:paraId="405DC7F6">
                  <w:pPr>
                    <w:pStyle w:val="84"/>
                  </w:pPr>
                  <w:r>
                    <w:t>120</w:t>
                  </w:r>
                </w:p>
              </w:tc>
              <w:tc>
                <w:tcPr>
                  <w:tcW w:w="1718" w:type="dxa"/>
                  <w:tcBorders>
                    <w:tl2br w:val="nil"/>
                    <w:tr2bl w:val="nil"/>
                  </w:tcBorders>
                  <w:vAlign w:val="center"/>
                </w:tcPr>
                <w:p w14:paraId="68CD0D38">
                  <w:pPr>
                    <w:pStyle w:val="84"/>
                  </w:pPr>
                  <w:r>
                    <w:t>170</w:t>
                  </w:r>
                </w:p>
              </w:tc>
            </w:tr>
            <w:tr w14:paraId="6E74D7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restart"/>
                  <w:tcBorders>
                    <w:tl2br w:val="nil"/>
                    <w:tr2bl w:val="nil"/>
                  </w:tcBorders>
                  <w:vAlign w:val="center"/>
                </w:tcPr>
                <w:p w14:paraId="7A663769">
                  <w:pPr>
                    <w:pStyle w:val="84"/>
                  </w:pPr>
                  <w:r>
                    <w:t>5</w:t>
                  </w:r>
                </w:p>
              </w:tc>
              <w:tc>
                <w:tcPr>
                  <w:tcW w:w="714" w:type="dxa"/>
                  <w:vMerge w:val="restart"/>
                  <w:tcBorders>
                    <w:tl2br w:val="nil"/>
                    <w:tr2bl w:val="nil"/>
                  </w:tcBorders>
                  <w:vAlign w:val="center"/>
                </w:tcPr>
                <w:p w14:paraId="3E68BC71">
                  <w:pPr>
                    <w:pStyle w:val="84"/>
                  </w:pPr>
                  <w:r>
                    <w:rPr>
                      <w:rFonts w:hint="eastAsia"/>
                    </w:rPr>
                    <w:t>铬</w:t>
                  </w:r>
                </w:p>
              </w:tc>
              <w:tc>
                <w:tcPr>
                  <w:tcW w:w="1174" w:type="dxa"/>
                  <w:tcBorders>
                    <w:tl2br w:val="nil"/>
                    <w:tr2bl w:val="nil"/>
                  </w:tcBorders>
                  <w:vAlign w:val="center"/>
                </w:tcPr>
                <w:p w14:paraId="53121A49">
                  <w:pPr>
                    <w:pStyle w:val="84"/>
                  </w:pPr>
                  <w:r>
                    <w:rPr>
                      <w:rFonts w:hint="eastAsia"/>
                    </w:rPr>
                    <w:t>水田</w:t>
                  </w:r>
                </w:p>
              </w:tc>
              <w:tc>
                <w:tcPr>
                  <w:tcW w:w="1371" w:type="dxa"/>
                  <w:tcBorders>
                    <w:tl2br w:val="nil"/>
                    <w:tr2bl w:val="nil"/>
                  </w:tcBorders>
                  <w:vAlign w:val="center"/>
                </w:tcPr>
                <w:p w14:paraId="7887372F">
                  <w:pPr>
                    <w:pStyle w:val="84"/>
                  </w:pPr>
                  <w:r>
                    <w:t>250</w:t>
                  </w:r>
                </w:p>
              </w:tc>
              <w:tc>
                <w:tcPr>
                  <w:tcW w:w="1644" w:type="dxa"/>
                  <w:tcBorders>
                    <w:tl2br w:val="nil"/>
                    <w:tr2bl w:val="nil"/>
                  </w:tcBorders>
                  <w:vAlign w:val="center"/>
                </w:tcPr>
                <w:p w14:paraId="765D1004">
                  <w:pPr>
                    <w:pStyle w:val="84"/>
                  </w:pPr>
                  <w:r>
                    <w:t>250</w:t>
                  </w:r>
                </w:p>
              </w:tc>
              <w:tc>
                <w:tcPr>
                  <w:tcW w:w="1644" w:type="dxa"/>
                  <w:tcBorders>
                    <w:tl2br w:val="nil"/>
                    <w:tr2bl w:val="nil"/>
                  </w:tcBorders>
                  <w:vAlign w:val="center"/>
                </w:tcPr>
                <w:p w14:paraId="6B3C52BA">
                  <w:pPr>
                    <w:pStyle w:val="84"/>
                  </w:pPr>
                  <w:r>
                    <w:t>300</w:t>
                  </w:r>
                </w:p>
              </w:tc>
              <w:tc>
                <w:tcPr>
                  <w:tcW w:w="1718" w:type="dxa"/>
                  <w:tcBorders>
                    <w:tl2br w:val="nil"/>
                    <w:tr2bl w:val="nil"/>
                  </w:tcBorders>
                  <w:vAlign w:val="center"/>
                </w:tcPr>
                <w:p w14:paraId="043E8B5B">
                  <w:pPr>
                    <w:pStyle w:val="84"/>
                  </w:pPr>
                  <w:r>
                    <w:t>350</w:t>
                  </w:r>
                </w:p>
              </w:tc>
            </w:tr>
            <w:tr w14:paraId="6899B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continue"/>
                  <w:tcBorders>
                    <w:tl2br w:val="nil"/>
                    <w:tr2bl w:val="nil"/>
                  </w:tcBorders>
                  <w:vAlign w:val="center"/>
                </w:tcPr>
                <w:p w14:paraId="136FF799">
                  <w:pPr>
                    <w:pStyle w:val="84"/>
                  </w:pPr>
                </w:p>
              </w:tc>
              <w:tc>
                <w:tcPr>
                  <w:tcW w:w="714" w:type="dxa"/>
                  <w:vMerge w:val="continue"/>
                  <w:tcBorders>
                    <w:tl2br w:val="nil"/>
                    <w:tr2bl w:val="nil"/>
                  </w:tcBorders>
                  <w:vAlign w:val="center"/>
                </w:tcPr>
                <w:p w14:paraId="497A7409">
                  <w:pPr>
                    <w:pStyle w:val="84"/>
                  </w:pPr>
                </w:p>
              </w:tc>
              <w:tc>
                <w:tcPr>
                  <w:tcW w:w="1174" w:type="dxa"/>
                  <w:tcBorders>
                    <w:tl2br w:val="nil"/>
                    <w:tr2bl w:val="nil"/>
                  </w:tcBorders>
                  <w:vAlign w:val="center"/>
                </w:tcPr>
                <w:p w14:paraId="79C253BC">
                  <w:pPr>
                    <w:pStyle w:val="84"/>
                  </w:pPr>
                  <w:r>
                    <w:rPr>
                      <w:rFonts w:hint="eastAsia"/>
                    </w:rPr>
                    <w:t>其他</w:t>
                  </w:r>
                </w:p>
              </w:tc>
              <w:tc>
                <w:tcPr>
                  <w:tcW w:w="1371" w:type="dxa"/>
                  <w:tcBorders>
                    <w:tl2br w:val="nil"/>
                    <w:tr2bl w:val="nil"/>
                  </w:tcBorders>
                  <w:vAlign w:val="center"/>
                </w:tcPr>
                <w:p w14:paraId="2F1344AA">
                  <w:pPr>
                    <w:pStyle w:val="84"/>
                  </w:pPr>
                  <w:r>
                    <w:t>150</w:t>
                  </w:r>
                </w:p>
              </w:tc>
              <w:tc>
                <w:tcPr>
                  <w:tcW w:w="1644" w:type="dxa"/>
                  <w:tcBorders>
                    <w:tl2br w:val="nil"/>
                    <w:tr2bl w:val="nil"/>
                  </w:tcBorders>
                  <w:vAlign w:val="center"/>
                </w:tcPr>
                <w:p w14:paraId="113E00DB">
                  <w:pPr>
                    <w:pStyle w:val="84"/>
                  </w:pPr>
                  <w:r>
                    <w:t>150</w:t>
                  </w:r>
                </w:p>
              </w:tc>
              <w:tc>
                <w:tcPr>
                  <w:tcW w:w="1644" w:type="dxa"/>
                  <w:tcBorders>
                    <w:tl2br w:val="nil"/>
                    <w:tr2bl w:val="nil"/>
                  </w:tcBorders>
                  <w:vAlign w:val="center"/>
                </w:tcPr>
                <w:p w14:paraId="12B395E5">
                  <w:pPr>
                    <w:pStyle w:val="84"/>
                  </w:pPr>
                  <w:r>
                    <w:t>200</w:t>
                  </w:r>
                </w:p>
              </w:tc>
              <w:tc>
                <w:tcPr>
                  <w:tcW w:w="1718" w:type="dxa"/>
                  <w:tcBorders>
                    <w:tl2br w:val="nil"/>
                    <w:tr2bl w:val="nil"/>
                  </w:tcBorders>
                  <w:vAlign w:val="center"/>
                </w:tcPr>
                <w:p w14:paraId="0E8A3ED9">
                  <w:pPr>
                    <w:pStyle w:val="84"/>
                  </w:pPr>
                  <w:r>
                    <w:t>250</w:t>
                  </w:r>
                </w:p>
              </w:tc>
            </w:tr>
            <w:tr w14:paraId="56A678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restart"/>
                  <w:tcBorders>
                    <w:tl2br w:val="nil"/>
                    <w:tr2bl w:val="nil"/>
                  </w:tcBorders>
                  <w:vAlign w:val="center"/>
                </w:tcPr>
                <w:p w14:paraId="6C1B5A65">
                  <w:pPr>
                    <w:pStyle w:val="84"/>
                  </w:pPr>
                  <w:r>
                    <w:t>6</w:t>
                  </w:r>
                </w:p>
              </w:tc>
              <w:tc>
                <w:tcPr>
                  <w:tcW w:w="714" w:type="dxa"/>
                  <w:vMerge w:val="restart"/>
                  <w:tcBorders>
                    <w:tl2br w:val="nil"/>
                    <w:tr2bl w:val="nil"/>
                  </w:tcBorders>
                  <w:vAlign w:val="center"/>
                </w:tcPr>
                <w:p w14:paraId="7067D411">
                  <w:pPr>
                    <w:pStyle w:val="84"/>
                  </w:pPr>
                  <w:r>
                    <w:rPr>
                      <w:rFonts w:hint="eastAsia"/>
                    </w:rPr>
                    <w:t>铜</w:t>
                  </w:r>
                </w:p>
              </w:tc>
              <w:tc>
                <w:tcPr>
                  <w:tcW w:w="1174" w:type="dxa"/>
                  <w:tcBorders>
                    <w:tl2br w:val="nil"/>
                    <w:tr2bl w:val="nil"/>
                  </w:tcBorders>
                  <w:vAlign w:val="center"/>
                </w:tcPr>
                <w:p w14:paraId="5A3F8849">
                  <w:pPr>
                    <w:pStyle w:val="84"/>
                  </w:pPr>
                  <w:r>
                    <w:rPr>
                      <w:rFonts w:hint="eastAsia"/>
                    </w:rPr>
                    <w:t>果园</w:t>
                  </w:r>
                </w:p>
              </w:tc>
              <w:tc>
                <w:tcPr>
                  <w:tcW w:w="1371" w:type="dxa"/>
                  <w:tcBorders>
                    <w:tl2br w:val="nil"/>
                    <w:tr2bl w:val="nil"/>
                  </w:tcBorders>
                  <w:vAlign w:val="center"/>
                </w:tcPr>
                <w:p w14:paraId="525C38F4">
                  <w:pPr>
                    <w:pStyle w:val="84"/>
                  </w:pPr>
                  <w:r>
                    <w:t>150</w:t>
                  </w:r>
                </w:p>
              </w:tc>
              <w:tc>
                <w:tcPr>
                  <w:tcW w:w="1644" w:type="dxa"/>
                  <w:tcBorders>
                    <w:tl2br w:val="nil"/>
                    <w:tr2bl w:val="nil"/>
                  </w:tcBorders>
                  <w:vAlign w:val="center"/>
                </w:tcPr>
                <w:p w14:paraId="3701B9B7">
                  <w:pPr>
                    <w:pStyle w:val="84"/>
                  </w:pPr>
                  <w:r>
                    <w:t>150</w:t>
                  </w:r>
                </w:p>
              </w:tc>
              <w:tc>
                <w:tcPr>
                  <w:tcW w:w="1644" w:type="dxa"/>
                  <w:tcBorders>
                    <w:tl2br w:val="nil"/>
                    <w:tr2bl w:val="nil"/>
                  </w:tcBorders>
                  <w:vAlign w:val="center"/>
                </w:tcPr>
                <w:p w14:paraId="583E697C">
                  <w:pPr>
                    <w:pStyle w:val="84"/>
                  </w:pPr>
                  <w:r>
                    <w:t>200</w:t>
                  </w:r>
                </w:p>
              </w:tc>
              <w:tc>
                <w:tcPr>
                  <w:tcW w:w="1718" w:type="dxa"/>
                  <w:tcBorders>
                    <w:tl2br w:val="nil"/>
                    <w:tr2bl w:val="nil"/>
                  </w:tcBorders>
                  <w:vAlign w:val="center"/>
                </w:tcPr>
                <w:p w14:paraId="6D61A93D">
                  <w:pPr>
                    <w:pStyle w:val="84"/>
                  </w:pPr>
                  <w:r>
                    <w:t>200</w:t>
                  </w:r>
                </w:p>
              </w:tc>
            </w:tr>
            <w:tr w14:paraId="0D55A2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vMerge w:val="continue"/>
                  <w:tcBorders>
                    <w:tl2br w:val="nil"/>
                    <w:tr2bl w:val="nil"/>
                  </w:tcBorders>
                  <w:vAlign w:val="center"/>
                </w:tcPr>
                <w:p w14:paraId="4B612405">
                  <w:pPr>
                    <w:pStyle w:val="84"/>
                  </w:pPr>
                </w:p>
              </w:tc>
              <w:tc>
                <w:tcPr>
                  <w:tcW w:w="714" w:type="dxa"/>
                  <w:vMerge w:val="continue"/>
                  <w:tcBorders>
                    <w:tl2br w:val="nil"/>
                    <w:tr2bl w:val="nil"/>
                  </w:tcBorders>
                  <w:vAlign w:val="center"/>
                </w:tcPr>
                <w:p w14:paraId="68AFA0B1">
                  <w:pPr>
                    <w:pStyle w:val="84"/>
                  </w:pPr>
                </w:p>
              </w:tc>
              <w:tc>
                <w:tcPr>
                  <w:tcW w:w="1174" w:type="dxa"/>
                  <w:tcBorders>
                    <w:tl2br w:val="nil"/>
                    <w:tr2bl w:val="nil"/>
                  </w:tcBorders>
                  <w:vAlign w:val="center"/>
                </w:tcPr>
                <w:p w14:paraId="34B48E14">
                  <w:pPr>
                    <w:pStyle w:val="84"/>
                  </w:pPr>
                  <w:r>
                    <w:rPr>
                      <w:rFonts w:hint="eastAsia"/>
                    </w:rPr>
                    <w:t>其他</w:t>
                  </w:r>
                </w:p>
              </w:tc>
              <w:tc>
                <w:tcPr>
                  <w:tcW w:w="1371" w:type="dxa"/>
                  <w:tcBorders>
                    <w:tl2br w:val="nil"/>
                    <w:tr2bl w:val="nil"/>
                  </w:tcBorders>
                  <w:vAlign w:val="center"/>
                </w:tcPr>
                <w:p w14:paraId="0DBB5EB3">
                  <w:pPr>
                    <w:pStyle w:val="84"/>
                  </w:pPr>
                  <w:r>
                    <w:t>50</w:t>
                  </w:r>
                </w:p>
              </w:tc>
              <w:tc>
                <w:tcPr>
                  <w:tcW w:w="1644" w:type="dxa"/>
                  <w:tcBorders>
                    <w:tl2br w:val="nil"/>
                    <w:tr2bl w:val="nil"/>
                  </w:tcBorders>
                  <w:vAlign w:val="center"/>
                </w:tcPr>
                <w:p w14:paraId="682CACCD">
                  <w:pPr>
                    <w:pStyle w:val="84"/>
                  </w:pPr>
                  <w:r>
                    <w:t>50</w:t>
                  </w:r>
                </w:p>
              </w:tc>
              <w:tc>
                <w:tcPr>
                  <w:tcW w:w="1644" w:type="dxa"/>
                  <w:tcBorders>
                    <w:tl2br w:val="nil"/>
                    <w:tr2bl w:val="nil"/>
                  </w:tcBorders>
                  <w:vAlign w:val="center"/>
                </w:tcPr>
                <w:p w14:paraId="14EE2205">
                  <w:pPr>
                    <w:pStyle w:val="84"/>
                  </w:pPr>
                  <w:r>
                    <w:t>100</w:t>
                  </w:r>
                </w:p>
              </w:tc>
              <w:tc>
                <w:tcPr>
                  <w:tcW w:w="1718" w:type="dxa"/>
                  <w:tcBorders>
                    <w:tl2br w:val="nil"/>
                    <w:tr2bl w:val="nil"/>
                  </w:tcBorders>
                  <w:vAlign w:val="center"/>
                </w:tcPr>
                <w:p w14:paraId="0E9BE2BA">
                  <w:pPr>
                    <w:pStyle w:val="84"/>
                  </w:pPr>
                  <w:r>
                    <w:t>100</w:t>
                  </w:r>
                </w:p>
              </w:tc>
            </w:tr>
            <w:tr w14:paraId="3F19E2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tcBorders>
                    <w:tl2br w:val="nil"/>
                    <w:tr2bl w:val="nil"/>
                  </w:tcBorders>
                  <w:vAlign w:val="center"/>
                </w:tcPr>
                <w:p w14:paraId="2958687E">
                  <w:pPr>
                    <w:pStyle w:val="84"/>
                  </w:pPr>
                  <w:r>
                    <w:t>7</w:t>
                  </w:r>
                </w:p>
              </w:tc>
              <w:tc>
                <w:tcPr>
                  <w:tcW w:w="1888" w:type="dxa"/>
                  <w:gridSpan w:val="2"/>
                  <w:tcBorders>
                    <w:tl2br w:val="nil"/>
                    <w:tr2bl w:val="nil"/>
                  </w:tcBorders>
                  <w:vAlign w:val="center"/>
                </w:tcPr>
                <w:p w14:paraId="3FAD700E">
                  <w:pPr>
                    <w:pStyle w:val="84"/>
                  </w:pPr>
                  <w:r>
                    <w:rPr>
                      <w:rFonts w:hint="eastAsia"/>
                    </w:rPr>
                    <w:t>镍</w:t>
                  </w:r>
                </w:p>
              </w:tc>
              <w:tc>
                <w:tcPr>
                  <w:tcW w:w="1371" w:type="dxa"/>
                  <w:tcBorders>
                    <w:tl2br w:val="nil"/>
                    <w:tr2bl w:val="nil"/>
                  </w:tcBorders>
                  <w:vAlign w:val="center"/>
                </w:tcPr>
                <w:p w14:paraId="7BB0B175">
                  <w:pPr>
                    <w:pStyle w:val="84"/>
                  </w:pPr>
                  <w:r>
                    <w:t>60</w:t>
                  </w:r>
                </w:p>
              </w:tc>
              <w:tc>
                <w:tcPr>
                  <w:tcW w:w="1644" w:type="dxa"/>
                  <w:tcBorders>
                    <w:tl2br w:val="nil"/>
                    <w:tr2bl w:val="nil"/>
                  </w:tcBorders>
                  <w:vAlign w:val="center"/>
                </w:tcPr>
                <w:p w14:paraId="4494D6AE">
                  <w:pPr>
                    <w:pStyle w:val="84"/>
                  </w:pPr>
                  <w:r>
                    <w:t>70</w:t>
                  </w:r>
                </w:p>
              </w:tc>
              <w:tc>
                <w:tcPr>
                  <w:tcW w:w="1644" w:type="dxa"/>
                  <w:tcBorders>
                    <w:tl2br w:val="nil"/>
                    <w:tr2bl w:val="nil"/>
                  </w:tcBorders>
                  <w:vAlign w:val="center"/>
                </w:tcPr>
                <w:p w14:paraId="1CFCB0BF">
                  <w:pPr>
                    <w:pStyle w:val="84"/>
                  </w:pPr>
                  <w:r>
                    <w:t>100</w:t>
                  </w:r>
                </w:p>
              </w:tc>
              <w:tc>
                <w:tcPr>
                  <w:tcW w:w="1718" w:type="dxa"/>
                  <w:tcBorders>
                    <w:tl2br w:val="nil"/>
                    <w:tr2bl w:val="nil"/>
                  </w:tcBorders>
                  <w:vAlign w:val="center"/>
                </w:tcPr>
                <w:p w14:paraId="25155991">
                  <w:pPr>
                    <w:pStyle w:val="84"/>
                  </w:pPr>
                  <w:r>
                    <w:t>190</w:t>
                  </w:r>
                </w:p>
              </w:tc>
            </w:tr>
            <w:tr w14:paraId="089D46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0" w:type="dxa"/>
                  <w:tcBorders>
                    <w:tl2br w:val="nil"/>
                    <w:tr2bl w:val="nil"/>
                  </w:tcBorders>
                  <w:vAlign w:val="center"/>
                </w:tcPr>
                <w:p w14:paraId="5F1D8A43">
                  <w:pPr>
                    <w:pStyle w:val="84"/>
                  </w:pPr>
                  <w:r>
                    <w:t>8</w:t>
                  </w:r>
                </w:p>
              </w:tc>
              <w:tc>
                <w:tcPr>
                  <w:tcW w:w="1888" w:type="dxa"/>
                  <w:gridSpan w:val="2"/>
                  <w:tcBorders>
                    <w:tl2br w:val="nil"/>
                    <w:tr2bl w:val="nil"/>
                  </w:tcBorders>
                  <w:vAlign w:val="center"/>
                </w:tcPr>
                <w:p w14:paraId="0B4E1F5C">
                  <w:pPr>
                    <w:pStyle w:val="84"/>
                  </w:pPr>
                  <w:r>
                    <w:rPr>
                      <w:rFonts w:hint="eastAsia"/>
                    </w:rPr>
                    <w:t>锌</w:t>
                  </w:r>
                </w:p>
              </w:tc>
              <w:tc>
                <w:tcPr>
                  <w:tcW w:w="1371" w:type="dxa"/>
                  <w:tcBorders>
                    <w:tl2br w:val="nil"/>
                    <w:tr2bl w:val="nil"/>
                  </w:tcBorders>
                  <w:vAlign w:val="center"/>
                </w:tcPr>
                <w:p w14:paraId="4F15B8EE">
                  <w:pPr>
                    <w:pStyle w:val="84"/>
                  </w:pPr>
                  <w:r>
                    <w:t>200</w:t>
                  </w:r>
                </w:p>
              </w:tc>
              <w:tc>
                <w:tcPr>
                  <w:tcW w:w="1644" w:type="dxa"/>
                  <w:tcBorders>
                    <w:tl2br w:val="nil"/>
                    <w:tr2bl w:val="nil"/>
                  </w:tcBorders>
                  <w:vAlign w:val="center"/>
                </w:tcPr>
                <w:p w14:paraId="0F645842">
                  <w:pPr>
                    <w:pStyle w:val="84"/>
                  </w:pPr>
                  <w:r>
                    <w:t>200</w:t>
                  </w:r>
                </w:p>
              </w:tc>
              <w:tc>
                <w:tcPr>
                  <w:tcW w:w="1644" w:type="dxa"/>
                  <w:tcBorders>
                    <w:tl2br w:val="nil"/>
                    <w:tr2bl w:val="nil"/>
                  </w:tcBorders>
                  <w:vAlign w:val="center"/>
                </w:tcPr>
                <w:p w14:paraId="179A8EA2">
                  <w:pPr>
                    <w:pStyle w:val="84"/>
                  </w:pPr>
                  <w:r>
                    <w:t>250</w:t>
                  </w:r>
                </w:p>
              </w:tc>
              <w:tc>
                <w:tcPr>
                  <w:tcW w:w="1718" w:type="dxa"/>
                  <w:tcBorders>
                    <w:tl2br w:val="nil"/>
                    <w:tr2bl w:val="nil"/>
                  </w:tcBorders>
                  <w:vAlign w:val="center"/>
                </w:tcPr>
                <w:p w14:paraId="1F5E883D">
                  <w:pPr>
                    <w:pStyle w:val="84"/>
                  </w:pPr>
                  <w:r>
                    <w:t>300</w:t>
                  </w:r>
                </w:p>
              </w:tc>
            </w:tr>
          </w:tbl>
          <w:p w14:paraId="149936A3">
            <w:pPr>
              <w:spacing w:before="156" w:beforeLines="50" w:line="360" w:lineRule="auto"/>
              <w:ind w:firstLine="482" w:firstLineChars="200"/>
              <w:rPr>
                <w:b/>
                <w:bCs/>
              </w:rPr>
            </w:pPr>
            <w:r>
              <w:rPr>
                <w:rFonts w:hint="eastAsia"/>
                <w:b/>
                <w:bCs/>
              </w:rPr>
              <w:t>5、生态环境</w:t>
            </w:r>
          </w:p>
          <w:p w14:paraId="54D1D757">
            <w:pPr>
              <w:spacing w:line="360" w:lineRule="auto"/>
              <w:ind w:firstLine="480" w:firstLineChars="200"/>
            </w:pPr>
            <w:r>
              <w:rPr>
                <w:rFonts w:hint="eastAsia"/>
              </w:rPr>
              <w:t>以不影响区域水生生态环境、动植物生境和不破坏生态系统完整性、稳定性为标准。</w:t>
            </w:r>
          </w:p>
          <w:p w14:paraId="113F136D">
            <w:pPr>
              <w:spacing w:line="360" w:lineRule="auto"/>
              <w:ind w:firstLine="482" w:firstLineChars="200"/>
              <w:rPr>
                <w:b/>
                <w:bCs/>
              </w:rPr>
            </w:pPr>
            <w:r>
              <w:rPr>
                <w:rFonts w:hint="eastAsia"/>
                <w:b/>
                <w:bCs/>
              </w:rPr>
              <w:t>二、污染物排放标准</w:t>
            </w:r>
          </w:p>
          <w:p w14:paraId="3BD908E0">
            <w:pPr>
              <w:spacing w:line="360" w:lineRule="auto"/>
              <w:ind w:firstLine="482"/>
              <w:rPr>
                <w:b/>
                <w:bCs/>
              </w:rPr>
            </w:pPr>
            <w:r>
              <w:rPr>
                <w:rFonts w:hint="eastAsia"/>
                <w:b/>
                <w:bCs/>
              </w:rPr>
              <w:t>1、废气</w:t>
            </w:r>
          </w:p>
          <w:p w14:paraId="10364FC5">
            <w:pPr>
              <w:spacing w:line="360" w:lineRule="auto"/>
              <w:ind w:firstLine="480" w:firstLineChars="200"/>
            </w:pPr>
            <w:r>
              <w:rPr>
                <w:rFonts w:hint="eastAsia"/>
              </w:rPr>
              <w:t>施工期扬尘执行《四川省施工场地扬尘排放标准》（DB 51/2682-2020）中表1规定的浓度限值。</w:t>
            </w:r>
          </w:p>
          <w:p w14:paraId="0E9EFC9B">
            <w:pPr>
              <w:pStyle w:val="7"/>
              <w:rPr>
                <w:rFonts w:cs="Times New Roman"/>
              </w:rPr>
            </w:pPr>
            <w:r>
              <w:rPr>
                <w:rFonts w:hint="eastAsia" w:cs="Times New Roman"/>
              </w:rPr>
              <w:t>表3- 26  施工场地扬尘排放限值</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290"/>
              <w:gridCol w:w="2925"/>
              <w:gridCol w:w="2750"/>
              <w:gridCol w:w="1342"/>
            </w:tblGrid>
            <w:tr w14:paraId="5FC1E7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87" w:type="pct"/>
                  <w:tcBorders>
                    <w:tl2br w:val="nil"/>
                    <w:tr2bl w:val="nil"/>
                  </w:tcBorders>
                  <w:vAlign w:val="center"/>
                </w:tcPr>
                <w:p w14:paraId="044D7717">
                  <w:pPr>
                    <w:jc w:val="center"/>
                    <w:rPr>
                      <w:b/>
                      <w:bCs/>
                      <w:sz w:val="21"/>
                      <w:szCs w:val="21"/>
                    </w:rPr>
                  </w:pPr>
                  <w:r>
                    <w:rPr>
                      <w:rFonts w:hint="eastAsia"/>
                      <w:b/>
                      <w:bCs/>
                      <w:sz w:val="21"/>
                      <w:szCs w:val="21"/>
                    </w:rPr>
                    <w:t>序号</w:t>
                  </w:r>
                </w:p>
              </w:tc>
              <w:tc>
                <w:tcPr>
                  <w:tcW w:w="716" w:type="pct"/>
                  <w:tcBorders>
                    <w:tl2br w:val="nil"/>
                    <w:tr2bl w:val="nil"/>
                  </w:tcBorders>
                  <w:vAlign w:val="center"/>
                </w:tcPr>
                <w:p w14:paraId="2ADE6A59">
                  <w:pPr>
                    <w:jc w:val="center"/>
                    <w:rPr>
                      <w:b/>
                      <w:bCs/>
                      <w:sz w:val="21"/>
                      <w:szCs w:val="21"/>
                    </w:rPr>
                  </w:pPr>
                  <w:r>
                    <w:rPr>
                      <w:rFonts w:hint="eastAsia"/>
                      <w:b/>
                      <w:bCs/>
                      <w:sz w:val="21"/>
                      <w:szCs w:val="21"/>
                    </w:rPr>
                    <w:t>污染物</w:t>
                  </w:r>
                </w:p>
              </w:tc>
              <w:tc>
                <w:tcPr>
                  <w:tcW w:w="1624" w:type="pct"/>
                  <w:tcBorders>
                    <w:tl2br w:val="nil"/>
                    <w:tr2bl w:val="nil"/>
                  </w:tcBorders>
                  <w:vAlign w:val="center"/>
                </w:tcPr>
                <w:p w14:paraId="31A2ACA1">
                  <w:pPr>
                    <w:jc w:val="center"/>
                    <w:rPr>
                      <w:b/>
                      <w:bCs/>
                      <w:sz w:val="21"/>
                      <w:szCs w:val="21"/>
                    </w:rPr>
                  </w:pPr>
                  <w:r>
                    <w:rPr>
                      <w:rFonts w:hint="eastAsia"/>
                      <w:b/>
                      <w:bCs/>
                      <w:sz w:val="21"/>
                      <w:szCs w:val="21"/>
                    </w:rPr>
                    <w:t>施工阶段</w:t>
                  </w:r>
                </w:p>
              </w:tc>
              <w:tc>
                <w:tcPr>
                  <w:tcW w:w="1527" w:type="pct"/>
                  <w:tcBorders>
                    <w:tl2br w:val="nil"/>
                    <w:tr2bl w:val="nil"/>
                  </w:tcBorders>
                  <w:vAlign w:val="center"/>
                </w:tcPr>
                <w:p w14:paraId="48C55D3A">
                  <w:pPr>
                    <w:jc w:val="center"/>
                    <w:rPr>
                      <w:b/>
                      <w:bCs/>
                      <w:sz w:val="21"/>
                      <w:szCs w:val="21"/>
                    </w:rPr>
                  </w:pPr>
                  <w:r>
                    <w:rPr>
                      <w:rFonts w:hint="eastAsia"/>
                      <w:b/>
                      <w:bCs/>
                      <w:sz w:val="21"/>
                      <w:szCs w:val="21"/>
                    </w:rPr>
                    <w:t>监测点排放限值（mg/m³）</w:t>
                  </w:r>
                </w:p>
              </w:tc>
              <w:tc>
                <w:tcPr>
                  <w:tcW w:w="745" w:type="pct"/>
                  <w:tcBorders>
                    <w:tl2br w:val="nil"/>
                    <w:tr2bl w:val="nil"/>
                  </w:tcBorders>
                  <w:vAlign w:val="center"/>
                </w:tcPr>
                <w:p w14:paraId="56965183">
                  <w:pPr>
                    <w:jc w:val="center"/>
                    <w:rPr>
                      <w:b/>
                      <w:bCs/>
                      <w:sz w:val="21"/>
                      <w:szCs w:val="21"/>
                    </w:rPr>
                  </w:pPr>
                  <w:r>
                    <w:rPr>
                      <w:rFonts w:hint="eastAsia"/>
                      <w:b/>
                      <w:bCs/>
                      <w:sz w:val="21"/>
                      <w:szCs w:val="21"/>
                    </w:rPr>
                    <w:t>监测时间</w:t>
                  </w:r>
                </w:p>
              </w:tc>
            </w:tr>
            <w:tr w14:paraId="3BB458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7" w:type="pct"/>
                  <w:vMerge w:val="restart"/>
                  <w:tcBorders>
                    <w:tl2br w:val="nil"/>
                    <w:tr2bl w:val="nil"/>
                  </w:tcBorders>
                  <w:vAlign w:val="center"/>
                </w:tcPr>
                <w:p w14:paraId="2CD93751">
                  <w:pPr>
                    <w:jc w:val="center"/>
                    <w:rPr>
                      <w:sz w:val="21"/>
                      <w:szCs w:val="21"/>
                    </w:rPr>
                  </w:pPr>
                  <w:r>
                    <w:rPr>
                      <w:sz w:val="21"/>
                      <w:szCs w:val="21"/>
                    </w:rPr>
                    <w:t>1</w:t>
                  </w:r>
                </w:p>
              </w:tc>
              <w:tc>
                <w:tcPr>
                  <w:tcW w:w="716" w:type="pct"/>
                  <w:vMerge w:val="restart"/>
                  <w:tcBorders>
                    <w:tl2br w:val="nil"/>
                    <w:tr2bl w:val="nil"/>
                  </w:tcBorders>
                  <w:vAlign w:val="center"/>
                </w:tcPr>
                <w:p w14:paraId="242BE0AA">
                  <w:pPr>
                    <w:jc w:val="center"/>
                    <w:rPr>
                      <w:sz w:val="21"/>
                      <w:szCs w:val="21"/>
                    </w:rPr>
                  </w:pPr>
                  <w:r>
                    <w:rPr>
                      <w:rFonts w:hint="eastAsia"/>
                      <w:sz w:val="21"/>
                      <w:szCs w:val="21"/>
                    </w:rPr>
                    <w:t>总悬浮颗粒物（TSP）</w:t>
                  </w:r>
                </w:p>
              </w:tc>
              <w:tc>
                <w:tcPr>
                  <w:tcW w:w="1624" w:type="pct"/>
                  <w:tcBorders>
                    <w:tl2br w:val="nil"/>
                    <w:tr2bl w:val="nil"/>
                  </w:tcBorders>
                  <w:vAlign w:val="center"/>
                </w:tcPr>
                <w:p w14:paraId="4256A31D">
                  <w:pPr>
                    <w:jc w:val="center"/>
                    <w:rPr>
                      <w:sz w:val="21"/>
                      <w:szCs w:val="21"/>
                    </w:rPr>
                  </w:pPr>
                  <w:r>
                    <w:rPr>
                      <w:rFonts w:hint="eastAsia"/>
                      <w:sz w:val="21"/>
                      <w:szCs w:val="21"/>
                    </w:rPr>
                    <w:t>拆除过程/土方开挖/土方回填</w:t>
                  </w:r>
                </w:p>
              </w:tc>
              <w:tc>
                <w:tcPr>
                  <w:tcW w:w="1527" w:type="pct"/>
                  <w:tcBorders>
                    <w:tl2br w:val="nil"/>
                    <w:tr2bl w:val="nil"/>
                  </w:tcBorders>
                  <w:vAlign w:val="center"/>
                </w:tcPr>
                <w:p w14:paraId="10BC62B5">
                  <w:pPr>
                    <w:jc w:val="center"/>
                    <w:rPr>
                      <w:sz w:val="21"/>
                      <w:szCs w:val="21"/>
                    </w:rPr>
                  </w:pPr>
                  <w:r>
                    <w:rPr>
                      <w:sz w:val="21"/>
                      <w:szCs w:val="21"/>
                    </w:rPr>
                    <w:t>0.900</w:t>
                  </w:r>
                </w:p>
              </w:tc>
              <w:tc>
                <w:tcPr>
                  <w:tcW w:w="745" w:type="pct"/>
                  <w:vMerge w:val="restart"/>
                  <w:tcBorders>
                    <w:tl2br w:val="nil"/>
                    <w:tr2bl w:val="nil"/>
                  </w:tcBorders>
                  <w:vAlign w:val="center"/>
                </w:tcPr>
                <w:p w14:paraId="2623850F">
                  <w:pPr>
                    <w:jc w:val="center"/>
                    <w:rPr>
                      <w:sz w:val="21"/>
                      <w:szCs w:val="21"/>
                    </w:rPr>
                  </w:pPr>
                  <w:r>
                    <w:rPr>
                      <w:rFonts w:hint="eastAsia"/>
                      <w:sz w:val="21"/>
                      <w:szCs w:val="21"/>
                    </w:rPr>
                    <w:t>自监测起持续15min</w:t>
                  </w:r>
                </w:p>
              </w:tc>
            </w:tr>
            <w:tr w14:paraId="378625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7" w:type="pct"/>
                  <w:vMerge w:val="continue"/>
                  <w:tcBorders>
                    <w:tl2br w:val="nil"/>
                    <w:tr2bl w:val="nil"/>
                  </w:tcBorders>
                  <w:vAlign w:val="center"/>
                </w:tcPr>
                <w:p w14:paraId="10C6686F">
                  <w:pPr>
                    <w:jc w:val="center"/>
                    <w:rPr>
                      <w:sz w:val="21"/>
                      <w:szCs w:val="21"/>
                    </w:rPr>
                  </w:pPr>
                </w:p>
              </w:tc>
              <w:tc>
                <w:tcPr>
                  <w:tcW w:w="716" w:type="pct"/>
                  <w:vMerge w:val="continue"/>
                  <w:tcBorders>
                    <w:tl2br w:val="nil"/>
                    <w:tr2bl w:val="nil"/>
                  </w:tcBorders>
                  <w:vAlign w:val="center"/>
                </w:tcPr>
                <w:p w14:paraId="26A1163C">
                  <w:pPr>
                    <w:jc w:val="center"/>
                    <w:rPr>
                      <w:sz w:val="21"/>
                      <w:szCs w:val="21"/>
                    </w:rPr>
                  </w:pPr>
                </w:p>
              </w:tc>
              <w:tc>
                <w:tcPr>
                  <w:tcW w:w="1624" w:type="pct"/>
                  <w:tcBorders>
                    <w:tl2br w:val="nil"/>
                    <w:tr2bl w:val="nil"/>
                  </w:tcBorders>
                  <w:vAlign w:val="center"/>
                </w:tcPr>
                <w:p w14:paraId="0CDEC036">
                  <w:pPr>
                    <w:jc w:val="center"/>
                    <w:rPr>
                      <w:sz w:val="21"/>
                      <w:szCs w:val="21"/>
                    </w:rPr>
                  </w:pPr>
                  <w:r>
                    <w:rPr>
                      <w:rFonts w:hint="eastAsia"/>
                      <w:sz w:val="21"/>
                      <w:szCs w:val="21"/>
                    </w:rPr>
                    <w:t>其他过程阶段</w:t>
                  </w:r>
                </w:p>
              </w:tc>
              <w:tc>
                <w:tcPr>
                  <w:tcW w:w="1527" w:type="pct"/>
                  <w:tcBorders>
                    <w:tl2br w:val="nil"/>
                    <w:tr2bl w:val="nil"/>
                  </w:tcBorders>
                  <w:vAlign w:val="center"/>
                </w:tcPr>
                <w:p w14:paraId="588084DF">
                  <w:pPr>
                    <w:jc w:val="center"/>
                    <w:rPr>
                      <w:sz w:val="21"/>
                      <w:szCs w:val="21"/>
                    </w:rPr>
                  </w:pPr>
                  <w:r>
                    <w:rPr>
                      <w:sz w:val="21"/>
                      <w:szCs w:val="21"/>
                    </w:rPr>
                    <w:t>0.350</w:t>
                  </w:r>
                </w:p>
              </w:tc>
              <w:tc>
                <w:tcPr>
                  <w:tcW w:w="745" w:type="pct"/>
                  <w:vMerge w:val="continue"/>
                  <w:tcBorders>
                    <w:tl2br w:val="nil"/>
                    <w:tr2bl w:val="nil"/>
                  </w:tcBorders>
                  <w:vAlign w:val="center"/>
                </w:tcPr>
                <w:p w14:paraId="55765420">
                  <w:pPr>
                    <w:jc w:val="center"/>
                    <w:rPr>
                      <w:sz w:val="21"/>
                      <w:szCs w:val="21"/>
                    </w:rPr>
                  </w:pPr>
                </w:p>
              </w:tc>
            </w:tr>
          </w:tbl>
          <w:p w14:paraId="3064B23E">
            <w:pPr>
              <w:spacing w:line="360" w:lineRule="auto"/>
              <w:ind w:firstLine="482" w:firstLineChars="200"/>
              <w:rPr>
                <w:b/>
                <w:bCs/>
              </w:rPr>
            </w:pPr>
            <w:r>
              <w:rPr>
                <w:rFonts w:hint="eastAsia"/>
                <w:b/>
                <w:bCs/>
              </w:rPr>
              <w:t>2、废水</w:t>
            </w:r>
          </w:p>
          <w:p w14:paraId="2216B1AB">
            <w:pPr>
              <w:widowControl/>
              <w:spacing w:line="360" w:lineRule="auto"/>
              <w:ind w:firstLine="480" w:firstLineChars="200"/>
              <w:jc w:val="left"/>
              <w:rPr>
                <w:kern w:val="0"/>
                <w:lang w:bidi="ar"/>
              </w:rPr>
            </w:pPr>
            <w:r>
              <w:rPr>
                <w:rFonts w:hint="eastAsia"/>
                <w:kern w:val="0"/>
                <w:lang w:bidi="ar"/>
              </w:rPr>
              <w:t>本项目施工期施工</w:t>
            </w:r>
            <w:r>
              <w:rPr>
                <w:kern w:val="0"/>
                <w:lang w:bidi="ar"/>
              </w:rPr>
              <w:t>本项目不涉及废水直排；项目生活污水经租赁民房现有污水处理设施处理后用作农肥，车辆冲洗废水经沉淀隔油处理后回用于道路洒水降尘，混凝土养护废水经沉淀池处理后回用于工序，基坑排水经沉淀处理后用于排入水体。</w:t>
            </w:r>
            <w:r>
              <w:rPr>
                <w:rFonts w:hint="eastAsia"/>
                <w:kern w:val="0"/>
                <w:lang w:bidi="ar"/>
              </w:rPr>
              <w:t>因此本项目无废水外排，不使用酒店排污口。</w:t>
            </w:r>
            <w:r>
              <w:rPr>
                <w:kern w:val="0"/>
                <w:lang w:bidi="ar"/>
              </w:rPr>
              <w:t>运营期无生产废水产生。</w:t>
            </w:r>
          </w:p>
          <w:p w14:paraId="5BAAA8FD">
            <w:pPr>
              <w:spacing w:line="360" w:lineRule="auto"/>
              <w:ind w:firstLine="482"/>
              <w:rPr>
                <w:b/>
                <w:bCs/>
              </w:rPr>
            </w:pPr>
            <w:r>
              <w:rPr>
                <w:rFonts w:hint="eastAsia"/>
                <w:b/>
                <w:bCs/>
              </w:rPr>
              <w:t>3、噪声</w:t>
            </w:r>
          </w:p>
          <w:p w14:paraId="3D21D0C5">
            <w:pPr>
              <w:spacing w:line="360" w:lineRule="auto"/>
              <w:ind w:firstLine="480" w:firstLineChars="200"/>
              <w:rPr>
                <w:rFonts w:eastAsia="黑体"/>
                <w:szCs w:val="21"/>
              </w:rPr>
            </w:pPr>
            <w:r>
              <w:rPr>
                <w:rFonts w:hint="eastAsia"/>
              </w:rPr>
              <w:t>施工期执行《建筑施工噪声排放标准》（GB 12523-2025）。</w:t>
            </w:r>
          </w:p>
          <w:p w14:paraId="5552EDC2">
            <w:pPr>
              <w:pStyle w:val="7"/>
              <w:rPr>
                <w:rFonts w:cs="Times New Roman"/>
              </w:rPr>
            </w:pPr>
            <w:r>
              <w:rPr>
                <w:rFonts w:hint="eastAsia" w:cs="Times New Roman"/>
              </w:rPr>
              <w:t>表3- 27  噪声排放标准限值</w:t>
            </w:r>
          </w:p>
          <w:tbl>
            <w:tblPr>
              <w:tblStyle w:val="2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19"/>
              <w:gridCol w:w="2892"/>
              <w:gridCol w:w="2892"/>
            </w:tblGrid>
            <w:tr w14:paraId="768A1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7" w:type="pct"/>
                  <w:tcBorders>
                    <w:tl2br w:val="nil"/>
                    <w:tr2bl w:val="nil"/>
                  </w:tcBorders>
                  <w:vAlign w:val="center"/>
                </w:tcPr>
                <w:p w14:paraId="6977FD4C">
                  <w:pPr>
                    <w:jc w:val="center"/>
                    <w:rPr>
                      <w:b/>
                      <w:bCs/>
                      <w:sz w:val="21"/>
                      <w:szCs w:val="21"/>
                    </w:rPr>
                  </w:pPr>
                  <w:r>
                    <w:rPr>
                      <w:rFonts w:hint="eastAsia"/>
                      <w:b/>
                      <w:bCs/>
                      <w:sz w:val="21"/>
                      <w:szCs w:val="21"/>
                    </w:rPr>
                    <w:t>项目</w:t>
                  </w:r>
                </w:p>
              </w:tc>
              <w:tc>
                <w:tcPr>
                  <w:tcW w:w="1606" w:type="pct"/>
                  <w:tcBorders>
                    <w:tl2br w:val="nil"/>
                    <w:tr2bl w:val="nil"/>
                  </w:tcBorders>
                  <w:vAlign w:val="center"/>
                </w:tcPr>
                <w:p w14:paraId="3B3D33F0">
                  <w:pPr>
                    <w:jc w:val="center"/>
                    <w:rPr>
                      <w:b/>
                      <w:bCs/>
                      <w:sz w:val="21"/>
                      <w:szCs w:val="21"/>
                    </w:rPr>
                  </w:pPr>
                  <w:r>
                    <w:rPr>
                      <w:rFonts w:hint="eastAsia"/>
                      <w:b/>
                      <w:bCs/>
                      <w:sz w:val="21"/>
                      <w:szCs w:val="21"/>
                    </w:rPr>
                    <w:t>昼间</w:t>
                  </w:r>
                </w:p>
              </w:tc>
              <w:tc>
                <w:tcPr>
                  <w:tcW w:w="1606" w:type="pct"/>
                  <w:tcBorders>
                    <w:tl2br w:val="nil"/>
                    <w:tr2bl w:val="nil"/>
                  </w:tcBorders>
                  <w:vAlign w:val="center"/>
                </w:tcPr>
                <w:p w14:paraId="35FE442C">
                  <w:pPr>
                    <w:jc w:val="center"/>
                    <w:rPr>
                      <w:b/>
                      <w:bCs/>
                      <w:sz w:val="21"/>
                      <w:szCs w:val="21"/>
                    </w:rPr>
                  </w:pPr>
                  <w:r>
                    <w:rPr>
                      <w:rFonts w:hint="eastAsia"/>
                      <w:b/>
                      <w:bCs/>
                      <w:sz w:val="21"/>
                      <w:szCs w:val="21"/>
                    </w:rPr>
                    <w:t>夜间</w:t>
                  </w:r>
                </w:p>
              </w:tc>
            </w:tr>
            <w:tr w14:paraId="4C5F5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7" w:type="pct"/>
                  <w:tcBorders>
                    <w:tl2br w:val="nil"/>
                    <w:tr2bl w:val="nil"/>
                  </w:tcBorders>
                  <w:vAlign w:val="center"/>
                </w:tcPr>
                <w:p w14:paraId="2ADA3859">
                  <w:pPr>
                    <w:jc w:val="center"/>
                    <w:rPr>
                      <w:sz w:val="21"/>
                      <w:szCs w:val="21"/>
                    </w:rPr>
                  </w:pPr>
                  <w:r>
                    <w:rPr>
                      <w:rFonts w:hint="eastAsia"/>
                      <w:sz w:val="21"/>
                      <w:szCs w:val="21"/>
                    </w:rPr>
                    <w:t>施工期排放限值（dB（A））</w:t>
                  </w:r>
                </w:p>
              </w:tc>
              <w:tc>
                <w:tcPr>
                  <w:tcW w:w="1606" w:type="pct"/>
                  <w:tcBorders>
                    <w:tl2br w:val="nil"/>
                    <w:tr2bl w:val="nil"/>
                  </w:tcBorders>
                  <w:vAlign w:val="center"/>
                </w:tcPr>
                <w:p w14:paraId="10B06602">
                  <w:pPr>
                    <w:jc w:val="center"/>
                    <w:rPr>
                      <w:sz w:val="21"/>
                      <w:szCs w:val="21"/>
                    </w:rPr>
                  </w:pPr>
                  <w:r>
                    <w:rPr>
                      <w:sz w:val="21"/>
                      <w:szCs w:val="21"/>
                    </w:rPr>
                    <w:t>70</w:t>
                  </w:r>
                </w:p>
              </w:tc>
              <w:tc>
                <w:tcPr>
                  <w:tcW w:w="1606" w:type="pct"/>
                  <w:tcBorders>
                    <w:tl2br w:val="nil"/>
                    <w:tr2bl w:val="nil"/>
                  </w:tcBorders>
                  <w:vAlign w:val="center"/>
                </w:tcPr>
                <w:p w14:paraId="5A460CA1">
                  <w:pPr>
                    <w:jc w:val="center"/>
                    <w:rPr>
                      <w:sz w:val="21"/>
                      <w:szCs w:val="21"/>
                    </w:rPr>
                  </w:pPr>
                  <w:r>
                    <w:rPr>
                      <w:sz w:val="21"/>
                      <w:szCs w:val="21"/>
                    </w:rPr>
                    <w:t>55</w:t>
                  </w:r>
                </w:p>
              </w:tc>
            </w:tr>
          </w:tbl>
          <w:p w14:paraId="00576801">
            <w:pPr>
              <w:spacing w:line="360" w:lineRule="auto"/>
              <w:ind w:firstLine="482"/>
              <w:rPr>
                <w:b/>
                <w:bCs/>
              </w:rPr>
            </w:pPr>
            <w:r>
              <w:rPr>
                <w:rFonts w:hint="eastAsia"/>
                <w:b/>
                <w:bCs/>
              </w:rPr>
              <w:t>4、固废</w:t>
            </w:r>
          </w:p>
          <w:p w14:paraId="343D8E5C">
            <w:pPr>
              <w:spacing w:line="360" w:lineRule="auto"/>
              <w:ind w:firstLine="482"/>
            </w:pPr>
            <w:r>
              <w:rPr>
                <w:rFonts w:hint="eastAsia"/>
                <w:snapToGrid w:val="0"/>
                <w:kern w:val="0"/>
              </w:rPr>
              <w:t>一般工业固体废物暂存按照“防风、防雨、防晒、防渗漏”等四防措施实施，危险废物贮存执行《危险废物贮存污染物控制标准》（GB 18597-2023）</w:t>
            </w:r>
            <w:r>
              <w:rPr>
                <w:rFonts w:hint="eastAsia"/>
              </w:rPr>
              <w:t>。</w:t>
            </w:r>
          </w:p>
        </w:tc>
      </w:tr>
      <w:tr w14:paraId="17A1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14:paraId="4D99DC7F">
            <w:pPr>
              <w:pStyle w:val="52"/>
              <w:spacing w:line="240" w:lineRule="auto"/>
              <w:jc w:val="center"/>
              <w:rPr>
                <w:bCs/>
                <w:kern w:val="0"/>
                <w:sz w:val="24"/>
              </w:rPr>
            </w:pPr>
            <w:bookmarkStart w:id="6" w:name="_Toc1923"/>
            <w:r>
              <w:rPr>
                <w:rFonts w:hint="eastAsia"/>
                <w:bCs/>
                <w:kern w:val="0"/>
                <w:sz w:val="24"/>
              </w:rPr>
              <w:t>其他</w:t>
            </w:r>
            <w:bookmarkEnd w:id="6"/>
          </w:p>
        </w:tc>
        <w:tc>
          <w:tcPr>
            <w:tcW w:w="9221" w:type="dxa"/>
            <w:vAlign w:val="center"/>
          </w:tcPr>
          <w:p w14:paraId="22ACCF40">
            <w:pPr>
              <w:spacing w:line="360" w:lineRule="auto"/>
              <w:ind w:firstLine="480" w:firstLineChars="200"/>
              <w:rPr>
                <w:kern w:val="0"/>
                <w:lang w:bidi="ar"/>
              </w:rPr>
            </w:pPr>
            <w:r>
              <w:rPr>
                <w:rFonts w:hint="eastAsia"/>
              </w:rPr>
              <w:t>本项目为防洪治理工程，</w:t>
            </w:r>
            <w:r>
              <w:rPr>
                <w:rFonts w:hint="eastAsia"/>
                <w:kern w:val="0"/>
                <w:lang w:bidi="ar"/>
              </w:rPr>
              <w:t>为非污染类项目，因此，不设总量控制指标。</w:t>
            </w:r>
          </w:p>
          <w:p w14:paraId="5A979F4B">
            <w:pPr>
              <w:pStyle w:val="11"/>
              <w:rPr>
                <w:lang w:bidi="ar"/>
              </w:rPr>
            </w:pPr>
          </w:p>
          <w:p w14:paraId="05C6E04F">
            <w:pPr>
              <w:rPr>
                <w:kern w:val="0"/>
                <w:lang w:bidi="ar"/>
              </w:rPr>
            </w:pPr>
          </w:p>
          <w:p w14:paraId="3997E4EE">
            <w:pPr>
              <w:pStyle w:val="11"/>
              <w:rPr>
                <w:lang w:bidi="ar"/>
              </w:rPr>
            </w:pPr>
          </w:p>
          <w:p w14:paraId="13365B13">
            <w:pPr>
              <w:rPr>
                <w:kern w:val="0"/>
                <w:lang w:bidi="ar"/>
              </w:rPr>
            </w:pPr>
          </w:p>
          <w:p w14:paraId="2750AEDC">
            <w:pPr>
              <w:pStyle w:val="11"/>
              <w:rPr>
                <w:lang w:bidi="ar"/>
              </w:rPr>
            </w:pPr>
          </w:p>
          <w:p w14:paraId="5D510849">
            <w:pPr>
              <w:pStyle w:val="11"/>
              <w:rPr>
                <w:lang w:bidi="ar"/>
              </w:rPr>
            </w:pPr>
          </w:p>
          <w:p w14:paraId="08B7B49C">
            <w:pPr>
              <w:rPr>
                <w:kern w:val="0"/>
                <w:lang w:bidi="ar"/>
              </w:rPr>
            </w:pPr>
          </w:p>
          <w:p w14:paraId="0A988138">
            <w:pPr>
              <w:pStyle w:val="11"/>
            </w:pPr>
          </w:p>
        </w:tc>
      </w:tr>
    </w:tbl>
    <w:p w14:paraId="39E0FD7B">
      <w:pPr>
        <w:pStyle w:val="52"/>
        <w:jc w:val="center"/>
        <w:rPr>
          <w:rFonts w:eastAsia="黑体"/>
          <w:b w:val="0"/>
          <w:sz w:val="30"/>
          <w:szCs w:val="30"/>
        </w:rPr>
        <w:sectPr>
          <w:pgSz w:w="11906" w:h="16838"/>
          <w:pgMar w:top="1440" w:right="1080" w:bottom="1440" w:left="1080" w:header="851" w:footer="992" w:gutter="0"/>
          <w:cols w:space="720" w:num="1"/>
          <w:docGrid w:type="lines" w:linePitch="312" w:charSpace="0"/>
        </w:sectPr>
      </w:pPr>
    </w:p>
    <w:p w14:paraId="07692CE1">
      <w:pPr>
        <w:pStyle w:val="52"/>
        <w:jc w:val="center"/>
        <w:rPr>
          <w:rFonts w:eastAsia="黑体"/>
          <w:b w:val="0"/>
          <w:sz w:val="30"/>
          <w:szCs w:val="30"/>
        </w:rPr>
      </w:pPr>
      <w:bookmarkStart w:id="7" w:name="_Toc24798"/>
      <w:r>
        <w:rPr>
          <w:rFonts w:hint="eastAsia" w:eastAsia="黑体"/>
          <w:b w:val="0"/>
          <w:sz w:val="30"/>
          <w:szCs w:val="30"/>
        </w:rPr>
        <w:t>四、生态环境影响分析</w:t>
      </w:r>
      <w:bookmarkEnd w:id="7"/>
    </w:p>
    <w:tbl>
      <w:tblPr>
        <w:tblStyle w:val="28"/>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9262"/>
      </w:tblGrid>
      <w:tr w14:paraId="096E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6" w:hRule="atLeast"/>
          <w:jc w:val="center"/>
        </w:trPr>
        <w:tc>
          <w:tcPr>
            <w:tcW w:w="480" w:type="dxa"/>
            <w:vAlign w:val="center"/>
          </w:tcPr>
          <w:p w14:paraId="68EB7B5E">
            <w:pPr>
              <w:spacing w:line="360" w:lineRule="auto"/>
              <w:jc w:val="center"/>
            </w:pPr>
            <w:r>
              <w:rPr>
                <w:rFonts w:hint="eastAsia"/>
                <w:b/>
                <w:bCs/>
              </w:rPr>
              <w:t>施工期生态环境影响分析</w:t>
            </w:r>
          </w:p>
        </w:tc>
        <w:tc>
          <w:tcPr>
            <w:tcW w:w="9262" w:type="dxa"/>
            <w:vAlign w:val="center"/>
          </w:tcPr>
          <w:p w14:paraId="2CE8B7DD">
            <w:pPr>
              <w:pStyle w:val="106"/>
            </w:pPr>
            <w:r>
              <w:rPr>
                <w:rFonts w:hint="eastAsia"/>
              </w:rPr>
              <w:t>本项目施工已结束，本次评价对施工单位已采取的环保措施进行总结，对施工期影响分析进行回顾性评价。</w:t>
            </w:r>
          </w:p>
          <w:p w14:paraId="76E276A5">
            <w:pPr>
              <w:spacing w:line="360" w:lineRule="auto"/>
              <w:rPr>
                <w:b/>
              </w:rPr>
            </w:pPr>
            <w:r>
              <w:rPr>
                <w:rFonts w:hint="eastAsia"/>
                <w:b/>
              </w:rPr>
              <w:t>一、生态环境影响分析</w:t>
            </w:r>
          </w:p>
          <w:p w14:paraId="68EE7E37">
            <w:pPr>
              <w:spacing w:line="360" w:lineRule="auto"/>
              <w:ind w:firstLine="482" w:firstLineChars="200"/>
              <w:rPr>
                <w:b/>
              </w:rPr>
            </w:pPr>
            <w:r>
              <w:rPr>
                <w:rFonts w:hint="eastAsia"/>
                <w:b/>
              </w:rPr>
              <w:t>1、施工期对水土流失的影响</w:t>
            </w:r>
          </w:p>
          <w:p w14:paraId="206D01F0">
            <w:pPr>
              <w:spacing w:line="360" w:lineRule="auto"/>
              <w:ind w:firstLine="480" w:firstLineChars="200"/>
              <w:rPr>
                <w:bCs/>
              </w:rPr>
            </w:pPr>
            <w:r>
              <w:rPr>
                <w:rFonts w:hint="eastAsia"/>
                <w:bCs/>
              </w:rPr>
              <w:t>本项目水土流失期主要发生在施工期。在工程的建设过程中，土石方开挖、填筑等，使裸露面表层结构疏松，植被覆盖度降低，区域内土壤抗侵蚀能力降低，水土流失加剧。堤防基础开挖、填筑，山体开挖，以及临时堆土场的堆放，毁坏地表植被，使原土壤抗冲性、抗蚀性迅速降低，形成加速侵蚀，进一步加剧了侵蚀区水土流失。同时，堤防的开挖，造成临空面积加大，临时侵蚀基准后退，坡度加大，破坏了原沟道稳定性，为崩塌、滑坡等重力侵蚀的发生创造了条件。施工开挖的大量弃土、弃石，为水土流失的形成提供了丰富的松散物质源，极易被暴雨洪水搬运进入沟道，形成大规模输沙。流失的泥沙容易进入海螺沟淤积河道，增加</w:t>
            </w:r>
            <w:r>
              <w:rPr>
                <w:rFonts w:hint="eastAsia"/>
              </w:rPr>
              <w:t>下游河流的泥沙量，影响沟道行洪安全</w:t>
            </w:r>
            <w:r>
              <w:rPr>
                <w:rFonts w:hint="eastAsia"/>
                <w:bCs/>
              </w:rPr>
              <w:t>。</w:t>
            </w:r>
          </w:p>
          <w:p w14:paraId="10F014A1">
            <w:pPr>
              <w:pStyle w:val="106"/>
            </w:pPr>
            <w:r>
              <w:rPr>
                <w:rFonts w:hint="eastAsia"/>
              </w:rPr>
              <w:t>已采取措施：</w:t>
            </w:r>
          </w:p>
          <w:p w14:paraId="6554200E">
            <w:pPr>
              <w:pStyle w:val="106"/>
            </w:pPr>
            <w:r>
              <w:rPr>
                <w:rFonts w:hint="eastAsia"/>
              </w:rPr>
              <w:t>工程施工过程中水土流失的防治以临时水保工程和工程措施为先导，通过集中挡护弃渣、临时苫盖等措施，点线面结合，形成较为完整的防护体系，减免和控制工程建设新增水土流失影响，改善生态环境，保护水土资源。施工单位合理安排施工时间，避开雨季施工；对于工程施工所用的临时路线，选择已有的便道，或者选择植被生长差的地段；对于施工机械车辆应固定其行驶路线，禁止乱压乱碾，任意破坏地表植被；施工结束后按土壤结构层次进行回填和平整；同时采取了临时拦挡、遮盖等措施。</w:t>
            </w:r>
          </w:p>
          <w:p w14:paraId="675EA26F">
            <w:pPr>
              <w:pStyle w:val="106"/>
            </w:pPr>
            <w:r>
              <w:rPr>
                <w:rFonts w:hint="eastAsia"/>
              </w:rPr>
              <w:t>存在问题：</w:t>
            </w:r>
          </w:p>
          <w:p w14:paraId="348A6500">
            <w:pPr>
              <w:pStyle w:val="106"/>
            </w:pPr>
            <w:r>
              <w:rPr>
                <w:rFonts w:hint="eastAsia"/>
              </w:rPr>
              <w:t>在施工结束后已及时进行场地清理、回填措施，根据现场调查以及向建设单位了解，工程建设过程中基本未造成水土流失。</w:t>
            </w:r>
          </w:p>
          <w:p w14:paraId="3C518153">
            <w:pPr>
              <w:pStyle w:val="106"/>
            </w:pPr>
            <w:r>
              <w:rPr>
                <w:rFonts w:hint="eastAsia"/>
              </w:rPr>
              <w:t>整改措施：</w:t>
            </w:r>
          </w:p>
          <w:p w14:paraId="1DDB1C34">
            <w:pPr>
              <w:pStyle w:val="106"/>
            </w:pPr>
            <w:r>
              <w:rPr>
                <w:rFonts w:hint="eastAsia"/>
              </w:rPr>
              <w:t>无。</w:t>
            </w:r>
          </w:p>
          <w:p w14:paraId="79D5C291">
            <w:pPr>
              <w:spacing w:line="360" w:lineRule="auto"/>
              <w:ind w:firstLine="482" w:firstLineChars="200"/>
              <w:rPr>
                <w:b/>
              </w:rPr>
            </w:pPr>
            <w:r>
              <w:rPr>
                <w:rFonts w:hint="eastAsia"/>
                <w:b/>
              </w:rPr>
              <w:t>2、施工期对陆域生态的影响</w:t>
            </w:r>
          </w:p>
          <w:p w14:paraId="1896200D">
            <w:pPr>
              <w:spacing w:line="360" w:lineRule="auto"/>
              <w:ind w:firstLine="482" w:firstLineChars="200"/>
              <w:rPr>
                <w:b/>
              </w:rPr>
            </w:pPr>
            <w:r>
              <w:rPr>
                <w:rFonts w:hint="eastAsia"/>
                <w:b/>
              </w:rPr>
              <w:t>（1）工程占地的影响</w:t>
            </w:r>
          </w:p>
          <w:p w14:paraId="52585170">
            <w:pPr>
              <w:spacing w:line="360" w:lineRule="auto"/>
              <w:ind w:firstLine="480" w:firstLineChars="200"/>
              <w:rPr>
                <w:bCs/>
              </w:rPr>
            </w:pPr>
            <w:r>
              <w:rPr>
                <w:rFonts w:hint="eastAsia"/>
                <w:bCs/>
              </w:rPr>
              <w:t>工程对土地利用形式变化的影响包括永久占地和临时占地两方面。</w:t>
            </w:r>
          </w:p>
          <w:p w14:paraId="213910CD">
            <w:pPr>
              <w:spacing w:line="360" w:lineRule="auto"/>
              <w:ind w:firstLine="482" w:firstLineChars="200"/>
              <w:rPr>
                <w:b/>
              </w:rPr>
            </w:pPr>
            <w:r>
              <w:rPr>
                <w:rFonts w:hint="eastAsia"/>
                <w:b/>
              </w:rPr>
              <w:t>①永久占地的影响</w:t>
            </w:r>
          </w:p>
          <w:p w14:paraId="25465D85">
            <w:pPr>
              <w:spacing w:line="360" w:lineRule="auto"/>
              <w:ind w:firstLine="480" w:firstLineChars="200"/>
            </w:pPr>
            <w:r>
              <w:rPr>
                <w:rFonts w:hint="eastAsia"/>
                <w:bCs/>
              </w:rPr>
              <w:t>项目永久占地</w:t>
            </w:r>
            <w:r>
              <w:rPr>
                <w:rFonts w:hint="eastAsia"/>
                <w:lang w:val="zh-CN"/>
              </w:rPr>
              <w:t>0.31hm²，</w:t>
            </w:r>
            <w:r>
              <w:rPr>
                <w:rFonts w:hint="eastAsia"/>
              </w:rPr>
              <w:t>占地类型为水域及水利设施用地</w:t>
            </w:r>
            <w:r>
              <w:rPr>
                <w:rFonts w:hint="eastAsia"/>
                <w:bCs/>
              </w:rPr>
              <w:t>。本项目永久占地总面积仅0.31hm²，属于小型水利工程的占地规模，在区域水域及水利设施用地总量中占比极低。该占地不会改变区域土地利用的整体结构与空间布局，不会引发区域用地结构的明显波动，对区域土地利用格局的影响十分有限。该占地属于水利设施用地内部的功能优化与调整，不涉及新增建设用地，不占用耕地、林地、草地等其他地类，不会造成区域生态用地、农业生产用地的减少；符合国土空间规划中河道水利用地的管控要求，用地合规性强，不存在土地用途转用带来的审批冲突与资源损耗影响。根据现状条件，工程永久占地区域内不存在原有植被，因此永久占地过程不会产生植被清除、生物量损失等问题，不会造成区域植被覆盖率下降，也不会对陆生植物的分布、生存及群落结构产生直接负面影响。相较于占用有植被覆盖的地块，本项目永久占地对陆生植物生态的影响基本可忽略。</w:t>
            </w:r>
          </w:p>
          <w:p w14:paraId="177E7104">
            <w:pPr>
              <w:spacing w:line="360" w:lineRule="auto"/>
              <w:ind w:firstLine="480" w:firstLineChars="200"/>
              <w:rPr>
                <w:bCs/>
              </w:rPr>
            </w:pPr>
            <w:r>
              <w:rPr>
                <w:rFonts w:hint="eastAsia"/>
                <w:bCs/>
              </w:rPr>
              <w:t>本项目属于防洪治理工程，项目的实施很大程度上减少了沟水对沟道两岸的冲蚀，减少了水土流失，避免沟水在无防护的情况下对沟道两岸耕地、水域及水利设施用地冲蚀，避免了此部分生物量大面积毁灭性的损失。项目的实施对沟道内及沟道两岸生态环境具有长远的正效益。沟岸占地形式的改变对景观生态系统起到了明显的改善作用。</w:t>
            </w:r>
          </w:p>
          <w:p w14:paraId="68C254AF">
            <w:pPr>
              <w:spacing w:line="360" w:lineRule="auto"/>
              <w:ind w:firstLine="480" w:firstLineChars="200"/>
              <w:rPr>
                <w:bCs/>
              </w:rPr>
            </w:pPr>
            <w:r>
              <w:rPr>
                <w:rFonts w:hint="eastAsia"/>
                <w:bCs/>
              </w:rPr>
              <w:t>已采取措施：</w:t>
            </w:r>
          </w:p>
          <w:p w14:paraId="02379A31">
            <w:pPr>
              <w:spacing w:line="360" w:lineRule="auto"/>
              <w:ind w:firstLine="480" w:firstLineChars="200"/>
              <w:rPr>
                <w:bCs/>
              </w:rPr>
            </w:pPr>
            <w:r>
              <w:rPr>
                <w:rFonts w:hint="eastAsia"/>
                <w:bCs/>
              </w:rPr>
              <w:t>经过调查，项目施工过程中未扰动施工红线以外区域，主体工程永久占地区域为水域及水利设施用地，本项目的建设未改变用地类型，工程占地区域不存在原有植被。</w:t>
            </w:r>
          </w:p>
          <w:p w14:paraId="2A22EA65">
            <w:pPr>
              <w:spacing w:line="360" w:lineRule="auto"/>
              <w:ind w:firstLine="480" w:firstLineChars="200"/>
              <w:rPr>
                <w:bCs/>
              </w:rPr>
            </w:pPr>
            <w:r>
              <w:rPr>
                <w:rFonts w:hint="eastAsia"/>
                <w:bCs/>
              </w:rPr>
              <w:t>存在问题：</w:t>
            </w:r>
          </w:p>
          <w:p w14:paraId="1886FF0F">
            <w:pPr>
              <w:spacing w:line="360" w:lineRule="auto"/>
              <w:ind w:firstLine="480" w:firstLineChars="200"/>
              <w:rPr>
                <w:bCs/>
              </w:rPr>
            </w:pPr>
            <w:r>
              <w:rPr>
                <w:rFonts w:hint="eastAsia"/>
                <w:bCs/>
              </w:rPr>
              <w:t>项目的建设未改变用地类型，未造成植物生物量的减少。</w:t>
            </w:r>
          </w:p>
          <w:p w14:paraId="0DF3AF2E">
            <w:pPr>
              <w:spacing w:line="360" w:lineRule="auto"/>
              <w:ind w:firstLine="480" w:firstLineChars="200"/>
              <w:rPr>
                <w:bCs/>
              </w:rPr>
            </w:pPr>
            <w:r>
              <w:rPr>
                <w:rFonts w:hint="eastAsia"/>
                <w:bCs/>
              </w:rPr>
              <w:t>整改措施：</w:t>
            </w:r>
          </w:p>
          <w:p w14:paraId="58942B2F">
            <w:pPr>
              <w:spacing w:line="360" w:lineRule="auto"/>
              <w:ind w:firstLine="480" w:firstLineChars="200"/>
              <w:rPr>
                <w:bCs/>
              </w:rPr>
            </w:pPr>
            <w:r>
              <w:rPr>
                <w:rFonts w:hint="eastAsia"/>
                <w:bCs/>
              </w:rPr>
              <w:t>无。</w:t>
            </w:r>
          </w:p>
          <w:p w14:paraId="4749A21C">
            <w:pPr>
              <w:spacing w:line="360" w:lineRule="auto"/>
              <w:ind w:firstLine="482" w:firstLineChars="200"/>
              <w:rPr>
                <w:b/>
              </w:rPr>
            </w:pPr>
            <w:r>
              <w:rPr>
                <w:rFonts w:hint="eastAsia"/>
                <w:b/>
              </w:rPr>
              <w:t>②临时占地的影响</w:t>
            </w:r>
          </w:p>
          <w:p w14:paraId="6EDCE58F">
            <w:pPr>
              <w:spacing w:line="360" w:lineRule="auto"/>
              <w:ind w:firstLine="480" w:firstLineChars="200"/>
              <w:rPr>
                <w:bCs/>
              </w:rPr>
            </w:pPr>
            <w:r>
              <w:rPr>
                <w:rFonts w:hint="eastAsia"/>
                <w:bCs/>
              </w:rPr>
              <w:t>施工临时占地主要为施工场地，</w:t>
            </w:r>
            <w:r>
              <w:rPr>
                <w:rFonts w:hint="eastAsia"/>
                <w:lang w:val="zh-CN"/>
              </w:rPr>
              <w:t>占地</w:t>
            </w:r>
            <w:r>
              <w:rPr>
                <w:rFonts w:hint="eastAsia"/>
              </w:rPr>
              <w:t>面积</w:t>
            </w:r>
            <w:r>
              <w:rPr>
                <w:lang w:val="zh-CN"/>
              </w:rPr>
              <w:t>0.</w:t>
            </w:r>
            <w:r>
              <w:t>1</w:t>
            </w:r>
            <w:r>
              <w:rPr>
                <w:lang w:val="zh-CN"/>
              </w:rPr>
              <w:t>0hm²</w:t>
            </w:r>
            <w:r>
              <w:rPr>
                <w:rFonts w:hint="eastAsia"/>
                <w:bCs/>
              </w:rPr>
              <w:t>，临时工程占地主要为商服</w:t>
            </w:r>
            <w:r>
              <w:rPr>
                <w:rFonts w:hint="eastAsia"/>
              </w:rPr>
              <w:t>用地</w:t>
            </w:r>
            <w:r>
              <w:rPr>
                <w:rFonts w:hint="eastAsia"/>
                <w:bCs/>
              </w:rPr>
              <w:t>。商服用地属于已开发建设用地范畴，不涉及占用耕地、林地、草地等农业生产用地与生态保护用地，不会造成区域生态用地、耕地面积减少，不打破区域用地总量平衡。。</w:t>
            </w:r>
          </w:p>
          <w:p w14:paraId="2B5F938A">
            <w:pPr>
              <w:spacing w:line="360" w:lineRule="auto"/>
              <w:ind w:firstLine="480" w:firstLineChars="200"/>
              <w:rPr>
                <w:bCs/>
              </w:rPr>
            </w:pPr>
            <w:r>
              <w:rPr>
                <w:rFonts w:hint="eastAsia"/>
                <w:bCs/>
              </w:rPr>
              <w:t>已采取措施：</w:t>
            </w:r>
          </w:p>
          <w:p w14:paraId="0CABE0E4">
            <w:pPr>
              <w:spacing w:line="360" w:lineRule="auto"/>
              <w:ind w:firstLine="480" w:firstLineChars="200"/>
            </w:pPr>
            <w:r>
              <w:rPr>
                <w:rFonts w:hint="eastAsia"/>
                <w:bCs/>
              </w:rPr>
              <w:t>项目施工场地在施工结束后由</w:t>
            </w:r>
            <w:r>
              <w:rPr>
                <w:rFonts w:hint="eastAsia"/>
                <w:lang w:val="zh-CN"/>
              </w:rPr>
              <w:t>海螺沟贡嘎神汤温泉酒店灾后恢复提升工程</w:t>
            </w:r>
            <w:r>
              <w:rPr>
                <w:rFonts w:hint="eastAsia"/>
              </w:rPr>
              <w:t>继续使用，该工程</w:t>
            </w:r>
            <w:r>
              <w:rPr>
                <w:rFonts w:hint="eastAsia"/>
                <w:lang w:val="zh-CN"/>
              </w:rPr>
              <w:t>业主为本项目建设单位子公司，</w:t>
            </w:r>
            <w:r>
              <w:rPr>
                <w:rFonts w:hint="eastAsia"/>
              </w:rPr>
              <w:t>该工程</w:t>
            </w:r>
            <w:r>
              <w:rPr>
                <w:rFonts w:hint="eastAsia"/>
                <w:lang w:val="zh-CN"/>
              </w:rPr>
              <w:t>计划于2025年1月至2027年10月建设，</w:t>
            </w:r>
            <w:r>
              <w:rPr>
                <w:rFonts w:hint="eastAsia"/>
              </w:rPr>
              <w:t>该工程建设完成后进行施工场地的恢复，本项目不再对其进行恢复。</w:t>
            </w:r>
          </w:p>
          <w:p w14:paraId="38DF3071">
            <w:pPr>
              <w:spacing w:line="360" w:lineRule="auto"/>
              <w:ind w:firstLine="480" w:firstLineChars="200"/>
            </w:pPr>
            <w:r>
              <w:rPr>
                <w:rFonts w:hint="eastAsia"/>
              </w:rPr>
              <w:t>存在问题：</w:t>
            </w:r>
          </w:p>
          <w:p w14:paraId="65523FEE">
            <w:pPr>
              <w:spacing w:line="360" w:lineRule="auto"/>
              <w:ind w:firstLine="480" w:firstLineChars="200"/>
            </w:pPr>
            <w:r>
              <w:rPr>
                <w:rFonts w:hint="eastAsia"/>
              </w:rPr>
              <w:t>项目临时工程占地主要为施工场地占地，本项目建设完成后施工场地由</w:t>
            </w:r>
            <w:r>
              <w:rPr>
                <w:rFonts w:hint="eastAsia"/>
                <w:lang w:val="zh-CN"/>
              </w:rPr>
              <w:t>海螺沟贡嘎神汤温泉酒店灾后恢复提升工程</w:t>
            </w:r>
            <w:r>
              <w:rPr>
                <w:rFonts w:hint="eastAsia"/>
              </w:rPr>
              <w:t>继续使用并进行后续场地恢复，经过调查，本项目施工过程中施工场地区域设置有排水沟，未造成区域水土流失。</w:t>
            </w:r>
          </w:p>
          <w:p w14:paraId="1F6B8858">
            <w:pPr>
              <w:spacing w:line="360" w:lineRule="auto"/>
              <w:ind w:firstLine="480" w:firstLineChars="200"/>
            </w:pPr>
            <w:r>
              <w:rPr>
                <w:rFonts w:hint="eastAsia"/>
              </w:rPr>
              <w:t>整改措施：</w:t>
            </w:r>
          </w:p>
          <w:p w14:paraId="7B5A6D9C">
            <w:pPr>
              <w:spacing w:line="360" w:lineRule="auto"/>
              <w:ind w:firstLine="480" w:firstLineChars="200"/>
            </w:pPr>
            <w:r>
              <w:rPr>
                <w:rFonts w:hint="eastAsia"/>
              </w:rPr>
              <w:t>无。</w:t>
            </w:r>
          </w:p>
          <w:p w14:paraId="572BEB1D">
            <w:pPr>
              <w:spacing w:line="360" w:lineRule="auto"/>
              <w:ind w:firstLine="482" w:firstLineChars="200"/>
              <w:rPr>
                <w:b/>
              </w:rPr>
            </w:pPr>
            <w:r>
              <w:rPr>
                <w:rFonts w:hint="eastAsia"/>
                <w:b/>
              </w:rPr>
              <w:t>（2）对陆生生态的影响</w:t>
            </w:r>
          </w:p>
          <w:p w14:paraId="4AE791AC">
            <w:pPr>
              <w:pStyle w:val="106"/>
            </w:pPr>
            <w:r>
              <w:rPr>
                <w:rFonts w:hint="eastAsia"/>
              </w:rPr>
              <w:t>1）对植物多样性和植被的影响分析</w:t>
            </w:r>
          </w:p>
          <w:p w14:paraId="30CC6108">
            <w:pPr>
              <w:pStyle w:val="106"/>
            </w:pPr>
            <w:r>
              <w:rPr>
                <w:rFonts w:hint="eastAsia"/>
              </w:rPr>
              <w:t>①对名木古树与珍稀濒危保护植物的影响</w:t>
            </w:r>
          </w:p>
          <w:p w14:paraId="2BB338D0">
            <w:pPr>
              <w:pStyle w:val="106"/>
            </w:pPr>
            <w:r>
              <w:rPr>
                <w:rFonts w:hint="eastAsia"/>
              </w:rPr>
              <w:t>根据现场调查及资料查证，工程影响区域未发现《国家重点保护野生植物名录》和《中国珍稀濒危保护植物名录》中所列物种。因此，本工程项目不存在对国家野生重点保护植物和珍稀濒危植物影响。</w:t>
            </w:r>
          </w:p>
          <w:p w14:paraId="1597534A">
            <w:pPr>
              <w:pStyle w:val="106"/>
            </w:pPr>
            <w:r>
              <w:rPr>
                <w:rFonts w:hint="eastAsia"/>
              </w:rPr>
              <w:t>②对植被和植物多样性的影响</w:t>
            </w:r>
          </w:p>
          <w:p w14:paraId="6962FB8C">
            <w:pPr>
              <w:pStyle w:val="106"/>
            </w:pPr>
            <w:r>
              <w:rPr>
                <w:rFonts w:hint="eastAsia"/>
              </w:rPr>
              <w:t>工程主体工程永久占地0.31hm²，占地类型为水域及水利设施用地，施工临时占地主要为施工场地，占地面积0.10hm²，根据现状条件，工程永久和临时占地区域内不存在原有植被，因此占地过程不会产生植被清除、生物量损失等问题，不会造成区域植被覆盖率下降，也不会对陆生植物的分布、生存及群落结构产生直接负面影响。相较于占用有植被覆盖的地块，本项目占地对陆生植物生态的影响基本可忽略。</w:t>
            </w:r>
          </w:p>
          <w:p w14:paraId="15591682">
            <w:pPr>
              <w:pStyle w:val="106"/>
            </w:pPr>
            <w:r>
              <w:rPr>
                <w:rFonts w:hint="eastAsia"/>
              </w:rPr>
              <w:t>2）对陆生动物多样性影响分析</w:t>
            </w:r>
          </w:p>
          <w:p w14:paraId="15C13B3E">
            <w:pPr>
              <w:pStyle w:val="106"/>
            </w:pPr>
            <w:r>
              <w:rPr>
                <w:rFonts w:hint="eastAsia"/>
              </w:rPr>
              <w:t>本项目施工期对野生动物造成的影响，主要表现为施工过程中产生的噪声、振动以及产生的扬尘等。本项目现已施工完成，随着时间的推移，评价区域内的动物已逐步回归项目区，工程未造成某一动物物种的消失。</w:t>
            </w:r>
          </w:p>
          <w:p w14:paraId="310A6DF9">
            <w:pPr>
              <w:pStyle w:val="106"/>
            </w:pPr>
            <w:r>
              <w:rPr>
                <w:rFonts w:hint="eastAsia"/>
              </w:rPr>
              <w:t>①对两栖及爬行动物的影响</w:t>
            </w:r>
          </w:p>
          <w:p w14:paraId="7829C8FD">
            <w:pPr>
              <w:pStyle w:val="106"/>
            </w:pPr>
            <w:r>
              <w:rPr>
                <w:rFonts w:hint="eastAsia"/>
              </w:rPr>
              <w:t>本项目施工期永久占地为水域及水利设施用地，地表无原生植被覆盖，临时占地为已硬化的商服用地，两类占地均不具备两栖、爬行动物栖息、繁殖、觅食的生境条件，区域内仅可能零星分布壁虎、泽蛙等极耐人为干扰的广布种，无珍稀濒危或重点保护两栖、爬行动物分布。工程占地不会造成其有效生境面积减少，不存在生境破坏的直接影响。</w:t>
            </w:r>
          </w:p>
          <w:p w14:paraId="76108273">
            <w:pPr>
              <w:pStyle w:val="106"/>
            </w:pPr>
            <w:r>
              <w:rPr>
                <w:rFonts w:hint="eastAsia"/>
              </w:rPr>
              <w:t>施工活动严格控制在占地红线内，不涉及周边滨岸自然带的大面积扰动，噪声、扬尘等干扰强度低且持续时间有限。由于区域内两栖、爬行动物本底数量少，且多为适应人类活动的物种，仅会产生短距离临时避让，未影响其正常生存与繁衍，未导致种群数量明显下降。</w:t>
            </w:r>
          </w:p>
          <w:p w14:paraId="72696F62">
            <w:pPr>
              <w:pStyle w:val="106"/>
            </w:pPr>
            <w:r>
              <w:rPr>
                <w:rFonts w:hint="eastAsia"/>
              </w:rPr>
              <w:t>施工结束后临时场地清理恢复，不存在长期遗留干扰；同时河道治理工程改善了水环境与滨岸生态质量，反而可为周边两栖动物提供更优的水域生境，具有潜在正向效应。</w:t>
            </w:r>
          </w:p>
          <w:p w14:paraId="51E2FB4F">
            <w:pPr>
              <w:pStyle w:val="106"/>
            </w:pPr>
            <w:r>
              <w:rPr>
                <w:rFonts w:hint="eastAsia"/>
              </w:rPr>
              <w:t>②对兽类的影响</w:t>
            </w:r>
          </w:p>
          <w:p w14:paraId="0BCFF785">
            <w:pPr>
              <w:pStyle w:val="106"/>
            </w:pPr>
            <w:r>
              <w:rPr>
                <w:rFonts w:hint="eastAsia"/>
              </w:rPr>
              <w:t>本项目占地规模小且均为已开发利用地块，永久占地为水域及水利设施用地，不属于兽类的栖息、活动生境；临时占地为已开发商服用地，地表硬化程度高，仅分布有小家鼠、褐家鼠等伴人型兽类，无野生兽类巢穴、觅食地。工程占地不占用林地、草地等自然兽类生境，不会造成区域兽类生境面积缩减，也不会加剧生境破碎化、阻断兽类活动通道。</w:t>
            </w:r>
          </w:p>
          <w:p w14:paraId="4457596C">
            <w:pPr>
              <w:pStyle w:val="106"/>
            </w:pPr>
            <w:r>
              <w:rPr>
                <w:rFonts w:hint="eastAsia"/>
              </w:rPr>
              <w:t>施工期扰动以材料堆放、小型场地作业为主，强度低、范围局限，仅会对场地内极少数伴人兽类产生短期驱赶作用，不会导致其种群消亡，也不会对周边野生兽类的活动、觅食产生显著干扰。由于伴人兽类对人类活动耐受度高，施工结束后可快速回归，种群数量不受长期影响。</w:t>
            </w:r>
          </w:p>
          <w:p w14:paraId="660E4F3C">
            <w:pPr>
              <w:pStyle w:val="106"/>
            </w:pPr>
            <w:r>
              <w:rPr>
                <w:rFonts w:hint="eastAsia"/>
              </w:rPr>
              <w:t>③对鸟类的影响</w:t>
            </w:r>
          </w:p>
          <w:p w14:paraId="4E02AA2E">
            <w:pPr>
              <w:pStyle w:val="106"/>
            </w:pPr>
            <w:r>
              <w:rPr>
                <w:rFonts w:hint="eastAsia"/>
              </w:rPr>
              <w:t>项目占地不具备鸟类核心栖息繁殖条件，施工扰动为临时性弱干扰，对鸟类多样性无实质性不利影响。鸟类栖息、繁殖依赖林地、灌丛、草地等植被生境，本项目永久占地为水域及水利设施用地，无陆生植被覆盖；临时占地为硬化商服用地，不具备鸟类营巢、繁殖的生境条件。区域内鸟类多为麻雀、喜鹊等城市伴人广布种，无重点保护鸟类的繁殖巢区、越冬地或固定觅食地分布。工程占地不会造成鸟类栖息地破坏，对鸟类生存空间的挤压可忽略不计。</w:t>
            </w:r>
          </w:p>
          <w:p w14:paraId="57478A70">
            <w:pPr>
              <w:pStyle w:val="106"/>
            </w:pPr>
            <w:r>
              <w:rPr>
                <w:rFonts w:hint="eastAsia"/>
              </w:rPr>
              <w:t>施工期产生的噪声、扬尘仅会对场地周边近距离的鸟类产生临时性惊扰，导致其短暂避让施工区域，但不会造成鸟类大规模迁离，也不会影响其种群繁殖与觅食活动。由于施工周期短、扰动强度有限，待施工结束后，鸟类活动可快速恢复至原有水平。</w:t>
            </w:r>
          </w:p>
          <w:p w14:paraId="6E96E1D2">
            <w:pPr>
              <w:pStyle w:val="106"/>
            </w:pPr>
            <w:r>
              <w:rPr>
                <w:rFonts w:hint="eastAsia"/>
              </w:rPr>
              <w:t>河道治理完成后，河流水质与滨岸生态环境提升，可吸引更多食虫鸟类、水鸟活动，对区域鸟类多样性具有一定的正向作用，不存在长期不利影响。</w:t>
            </w:r>
          </w:p>
          <w:p w14:paraId="2D622E26">
            <w:pPr>
              <w:pStyle w:val="106"/>
            </w:pPr>
            <w:r>
              <w:rPr>
                <w:rFonts w:hint="eastAsia"/>
              </w:rPr>
              <w:t>④对珍稀保护动物的影响</w:t>
            </w:r>
          </w:p>
          <w:p w14:paraId="2A914132">
            <w:pPr>
              <w:pStyle w:val="106"/>
            </w:pPr>
            <w:r>
              <w:rPr>
                <w:rFonts w:hint="eastAsia"/>
              </w:rPr>
              <w:t>根据现场调查，工程影响区域暂未发现珍稀保护动物分布，因此不存在对珍稀保护动物的影响。</w:t>
            </w:r>
          </w:p>
          <w:p w14:paraId="217EE964">
            <w:pPr>
              <w:pStyle w:val="106"/>
            </w:pPr>
            <w:r>
              <w:rPr>
                <w:rFonts w:hint="eastAsia"/>
              </w:rPr>
              <w:t>已采取措施：</w:t>
            </w:r>
          </w:p>
          <w:p w14:paraId="1CCC6D15">
            <w:pPr>
              <w:pStyle w:val="106"/>
            </w:pPr>
            <w:r>
              <w:rPr>
                <w:rFonts w:hint="eastAsia"/>
              </w:rPr>
              <w:t>经过调查，项目施工过程中已进行施工前教育和施工管理，明确禁止捕捉和伤害各类爬行动物、两栖动物、鸟类等；施工过程中选用低噪声设备，不在夜间施工，以减缓噪声、灯光等对动物的影响。</w:t>
            </w:r>
          </w:p>
          <w:p w14:paraId="69818A9B">
            <w:pPr>
              <w:pStyle w:val="106"/>
            </w:pPr>
            <w:r>
              <w:rPr>
                <w:rFonts w:hint="eastAsia"/>
              </w:rPr>
              <w:t>存在问题：</w:t>
            </w:r>
          </w:p>
          <w:p w14:paraId="29AF3D31">
            <w:pPr>
              <w:pStyle w:val="106"/>
            </w:pPr>
            <w:r>
              <w:rPr>
                <w:rFonts w:hint="eastAsia"/>
              </w:rPr>
              <w:t>项目施工期已采取有效措施减缓对区域动物的影响，不存在相关问题。</w:t>
            </w:r>
          </w:p>
          <w:p w14:paraId="42CB5552">
            <w:pPr>
              <w:pStyle w:val="106"/>
            </w:pPr>
            <w:r>
              <w:rPr>
                <w:rFonts w:hint="eastAsia"/>
              </w:rPr>
              <w:t>整改措施：</w:t>
            </w:r>
          </w:p>
          <w:p w14:paraId="0D95006F">
            <w:pPr>
              <w:pStyle w:val="106"/>
            </w:pPr>
            <w:r>
              <w:rPr>
                <w:rFonts w:hint="eastAsia"/>
              </w:rPr>
              <w:t>无。</w:t>
            </w:r>
          </w:p>
          <w:p w14:paraId="283E6D67">
            <w:pPr>
              <w:pStyle w:val="106"/>
              <w:ind w:firstLine="482"/>
              <w:rPr>
                <w:b/>
                <w:bCs/>
              </w:rPr>
            </w:pPr>
            <w:r>
              <w:rPr>
                <w:rFonts w:hint="eastAsia"/>
                <w:b/>
                <w:bCs/>
              </w:rPr>
              <w:t>3、施工期对水生生态的影响</w:t>
            </w:r>
          </w:p>
          <w:p w14:paraId="7DF7E267">
            <w:pPr>
              <w:pStyle w:val="106"/>
            </w:pPr>
            <w:r>
              <w:rPr>
                <w:rFonts w:hint="eastAsia"/>
              </w:rPr>
              <w:t>根据《泸定县海螺沟山洪沟（共和村、柏秧坪村段）治理工程对水生生物影响及补救措施专题评价报告》及甘孜州农牧农村局审查意见（甘农牧函〔2026〕144号），工程评价范围内不涉及鱼类产卵场、索饵场、越冬场“三场”及洄游通道，不涉及珍稀濒危保护野生鱼类和珍稀水生植物。</w:t>
            </w:r>
          </w:p>
          <w:p w14:paraId="29B58F64">
            <w:pPr>
              <w:pStyle w:val="106"/>
            </w:pPr>
            <w:r>
              <w:rPr>
                <w:rFonts w:hint="eastAsia"/>
              </w:rPr>
              <w:t>本工程对水生生物的影响主要集中在施工期，由于施工</w:t>
            </w:r>
            <w:r>
              <w:rPr>
                <w:rFonts w:hint="eastAsia"/>
                <w:color w:val="000000" w:themeColor="text1"/>
                <w14:textFill>
                  <w14:solidFill>
                    <w14:schemeClr w14:val="tx1"/>
                  </w14:solidFill>
                </w14:textFill>
              </w:rPr>
              <w:t>（围堰填筑、拆除，河道砂砾石开挖等过程）</w:t>
            </w:r>
            <w:r>
              <w:rPr>
                <w:rFonts w:hint="eastAsia"/>
              </w:rPr>
              <w:t>造成河道SS浓度增加和施工噪声引起的。</w:t>
            </w:r>
          </w:p>
          <w:p w14:paraId="354AC07A">
            <w:pPr>
              <w:pStyle w:val="106"/>
            </w:pPr>
            <w:r>
              <w:rPr>
                <w:rFonts w:hint="eastAsia"/>
              </w:rPr>
              <w:t>（1）施工悬浮泥沙对水生生物的影响分析</w:t>
            </w:r>
          </w:p>
          <w:p w14:paraId="0FC6D74C">
            <w:pPr>
              <w:pStyle w:val="106"/>
            </w:pPr>
            <w:r>
              <w:rPr>
                <w:rFonts w:hint="eastAsia"/>
              </w:rPr>
              <w:t>施工悬浮泥沙主要对浮游生物和底栖生物产生影响。悬浮泥沙对浮游生物的影响主要反映在悬浮泥沙导致水的浑浊度增大，透明度降低，不利于浮游植物的繁殖生长。此外还表现在对浮游动物的生长率、摄食率的影响等。</w:t>
            </w:r>
          </w:p>
          <w:p w14:paraId="5A3E4351">
            <w:pPr>
              <w:pStyle w:val="106"/>
            </w:pPr>
            <w:r>
              <w:rPr>
                <w:rFonts w:hint="eastAsia"/>
              </w:rPr>
              <w:t>施工期对作业点附近水域浮游生物有一定影响，但这种影响是暂时的，随着水中施工结束而消失。施工后浮游生物和底栖生物将重新分布、恢复，对区域浮游生物和底栖生物生物量、密度、种群结构等不会产生大的影响。</w:t>
            </w:r>
          </w:p>
          <w:p w14:paraId="21A969EC">
            <w:pPr>
              <w:pStyle w:val="106"/>
            </w:pPr>
            <w:r>
              <w:rPr>
                <w:rFonts w:hint="eastAsia"/>
              </w:rPr>
              <w:t>（2）施工噪声对水生生态的影响</w:t>
            </w:r>
          </w:p>
          <w:p w14:paraId="7B5140FF">
            <w:pPr>
              <w:pStyle w:val="106"/>
            </w:pPr>
            <w:r>
              <w:rPr>
                <w:rFonts w:hint="eastAsia"/>
              </w:rPr>
              <w:t>项目施工噪声主要来自各种施工机械作业噪声。水域中某些生物对噪声较敏感，但由于噪声传入水域的能量有限，浮游生物等水生生物有规避的本能，因此施工噪声不会对水生生物造成危害。</w:t>
            </w:r>
          </w:p>
          <w:p w14:paraId="773774AA">
            <w:pPr>
              <w:pStyle w:val="106"/>
            </w:pPr>
            <w:r>
              <w:rPr>
                <w:rFonts w:hint="eastAsia"/>
              </w:rPr>
              <w:t>已采取措施：</w:t>
            </w:r>
          </w:p>
          <w:p w14:paraId="25838BAE">
            <w:pPr>
              <w:pStyle w:val="106"/>
            </w:pPr>
            <w:r>
              <w:rPr>
                <w:rFonts w:hint="eastAsia"/>
              </w:rPr>
              <w:t>经过调查，项目施工期间禁止直接在水中清洁机械，避免了机械油污污染水体，机械清洗废水经过隔油处理后回用于降尘；混凝土养护废水等收集后循环使用；生活污水经租赁民房现有污水处理设施处理后用作农肥不外排；施工过程中随时清理建筑垃圾。</w:t>
            </w:r>
          </w:p>
          <w:p w14:paraId="429257AB">
            <w:pPr>
              <w:pStyle w:val="106"/>
            </w:pPr>
            <w:r>
              <w:rPr>
                <w:rFonts w:hint="eastAsia"/>
              </w:rPr>
              <w:t>存在问题：</w:t>
            </w:r>
          </w:p>
          <w:p w14:paraId="033A2393">
            <w:pPr>
              <w:pStyle w:val="106"/>
            </w:pPr>
            <w:r>
              <w:rPr>
                <w:rFonts w:hint="eastAsia"/>
              </w:rPr>
              <w:t>项目施工期间严格施工管理，未发生直接污染水体的行为，施工废水、固废等均已按相关措施进行处置，未发生污染物污染水体的情况。</w:t>
            </w:r>
          </w:p>
          <w:p w14:paraId="687379D1">
            <w:pPr>
              <w:pStyle w:val="106"/>
            </w:pPr>
            <w:r>
              <w:rPr>
                <w:rFonts w:hint="eastAsia"/>
              </w:rPr>
              <w:t>整改措施：</w:t>
            </w:r>
          </w:p>
          <w:p w14:paraId="311548B5">
            <w:pPr>
              <w:pStyle w:val="106"/>
            </w:pPr>
            <w:r>
              <w:rPr>
                <w:rFonts w:hint="eastAsia"/>
              </w:rPr>
              <w:t>无。</w:t>
            </w:r>
          </w:p>
          <w:p w14:paraId="189302F3">
            <w:pPr>
              <w:spacing w:line="360" w:lineRule="auto"/>
              <w:rPr>
                <w:b/>
              </w:rPr>
            </w:pPr>
            <w:r>
              <w:rPr>
                <w:rFonts w:hint="eastAsia"/>
                <w:b/>
              </w:rPr>
              <w:t>二、施工期大气环境影响分析</w:t>
            </w:r>
          </w:p>
          <w:p w14:paraId="5AE4EAC9">
            <w:pPr>
              <w:widowControl/>
              <w:spacing w:line="360" w:lineRule="auto"/>
              <w:ind w:firstLine="480" w:firstLineChars="200"/>
              <w:jc w:val="left"/>
            </w:pPr>
            <w:r>
              <w:rPr>
                <w:rFonts w:hint="eastAsia"/>
                <w:kern w:val="0"/>
                <w:lang w:bidi="ar"/>
              </w:rPr>
              <w:t>本项目施工期大气污染源主要来自施工扬尘、道路运输扬尘、施工机械燃油废气。</w:t>
            </w:r>
          </w:p>
          <w:p w14:paraId="1B0FF7F0">
            <w:pPr>
              <w:pStyle w:val="106"/>
              <w:ind w:firstLine="482"/>
              <w:rPr>
                <w:b/>
                <w:bCs/>
              </w:rPr>
            </w:pPr>
            <w:r>
              <w:rPr>
                <w:rFonts w:hint="eastAsia"/>
                <w:b/>
                <w:bCs/>
              </w:rPr>
              <w:t>1、施工扬尘</w:t>
            </w:r>
          </w:p>
          <w:p w14:paraId="4EA780A3">
            <w:pPr>
              <w:pStyle w:val="106"/>
            </w:pPr>
            <w:r>
              <w:rPr>
                <w:rFonts w:hint="eastAsia"/>
              </w:rPr>
              <w:t>（1）土石方开挖及装卸扬尘</w:t>
            </w:r>
          </w:p>
          <w:p w14:paraId="0AFECDE0">
            <w:pPr>
              <w:pStyle w:val="106"/>
            </w:pPr>
            <w:r>
              <w:rPr>
                <w:rFonts w:hint="eastAsia"/>
              </w:rPr>
              <w:t>主要集中在工程的开挖、回填、场地平整阶段以及装卸产生的扬尘，主要为施工过程中风力作用产生的粉尘。</w:t>
            </w:r>
          </w:p>
          <w:p w14:paraId="6C2CC9FD">
            <w:pPr>
              <w:pStyle w:val="106"/>
            </w:pPr>
            <w:r>
              <w:rPr>
                <w:rFonts w:hint="eastAsia"/>
              </w:rPr>
              <w:t>已采取措施：</w:t>
            </w:r>
          </w:p>
          <w:p w14:paraId="0D4DD0EB">
            <w:pPr>
              <w:pStyle w:val="106"/>
            </w:pPr>
            <w:r>
              <w:rPr>
                <w:rFonts w:hint="eastAsia"/>
              </w:rPr>
              <w:t>本项目已建成，施工期间施工现场做到全封闭，设置围挡墙；在基础开挖过程中若出现四级及以上风力天气情况禁止进行土石方施工，在土石方装卸时降低料斗高度，减少卸料落差，同时对地面进行洒水，减少扬尘产生。</w:t>
            </w:r>
          </w:p>
          <w:p w14:paraId="7D549152">
            <w:pPr>
              <w:pStyle w:val="106"/>
            </w:pPr>
            <w:r>
              <w:rPr>
                <w:rFonts w:hint="eastAsia"/>
              </w:rPr>
              <w:t>存在问题：</w:t>
            </w:r>
          </w:p>
          <w:p w14:paraId="305801B5">
            <w:pPr>
              <w:pStyle w:val="106"/>
            </w:pPr>
            <w:r>
              <w:rPr>
                <w:rFonts w:hint="eastAsia"/>
              </w:rPr>
              <w:t>施工时采用措施合理，未对周围环境大气造成明显影响，工程施工过程中未受到群众投诉。</w:t>
            </w:r>
          </w:p>
          <w:p w14:paraId="3B464D9A">
            <w:pPr>
              <w:pStyle w:val="106"/>
            </w:pPr>
            <w:r>
              <w:rPr>
                <w:rFonts w:hint="eastAsia"/>
              </w:rPr>
              <w:t>整改措施：</w:t>
            </w:r>
          </w:p>
          <w:p w14:paraId="131BE66A">
            <w:pPr>
              <w:pStyle w:val="106"/>
            </w:pPr>
            <w:r>
              <w:rPr>
                <w:rFonts w:hint="eastAsia"/>
              </w:rPr>
              <w:t>无。</w:t>
            </w:r>
          </w:p>
          <w:p w14:paraId="30631F57">
            <w:pPr>
              <w:pStyle w:val="106"/>
            </w:pPr>
            <w:r>
              <w:rPr>
                <w:rFonts w:hint="eastAsia"/>
              </w:rPr>
              <w:t>（2）裸露地表风蚀扬尘</w:t>
            </w:r>
          </w:p>
          <w:p w14:paraId="65B6143C">
            <w:pPr>
              <w:pStyle w:val="119"/>
              <w:spacing w:line="360" w:lineRule="auto"/>
              <w:ind w:firstLine="480"/>
              <w:rPr>
                <w:rFonts w:ascii="Times New Roman" w:hAnsi="Times New Roman" w:cs="Times New Roman"/>
                <w:szCs w:val="24"/>
              </w:rPr>
            </w:pPr>
            <w:r>
              <w:rPr>
                <w:rFonts w:hint="eastAsia" w:ascii="Times New Roman" w:hAnsi="Times New Roman" w:cs="Times New Roman"/>
              </w:rPr>
              <w:t>施工期施工场地等施工区域在未采取绿化措施的情况下会产生风蚀扬尘</w:t>
            </w:r>
            <w:r>
              <w:rPr>
                <w:rFonts w:hint="eastAsia" w:ascii="Times New Roman" w:hAnsi="Times New Roman" w:cs="Times New Roman"/>
                <w:szCs w:val="24"/>
              </w:rPr>
              <w:t>。</w:t>
            </w:r>
          </w:p>
          <w:p w14:paraId="15333484">
            <w:pPr>
              <w:pStyle w:val="119"/>
              <w:spacing w:line="360" w:lineRule="auto"/>
              <w:ind w:firstLine="480"/>
              <w:rPr>
                <w:rFonts w:ascii="Times New Roman" w:hAnsi="Times New Roman" w:cs="Times New Roman"/>
                <w:kern w:val="0"/>
                <w:szCs w:val="24"/>
              </w:rPr>
            </w:pPr>
            <w:r>
              <w:rPr>
                <w:rFonts w:hint="eastAsia" w:ascii="Times New Roman" w:hAnsi="Times New Roman" w:cs="Times New Roman"/>
                <w:kern w:val="0"/>
                <w:szCs w:val="24"/>
              </w:rPr>
              <w:t>已采取措施：</w:t>
            </w:r>
          </w:p>
          <w:p w14:paraId="687262F3">
            <w:pPr>
              <w:pStyle w:val="119"/>
              <w:spacing w:line="360" w:lineRule="auto"/>
              <w:ind w:firstLine="480"/>
              <w:rPr>
                <w:rFonts w:ascii="Times New Roman" w:hAnsi="Times New Roman" w:cs="Times New Roman"/>
                <w:kern w:val="0"/>
                <w:szCs w:val="24"/>
              </w:rPr>
            </w:pPr>
            <w:r>
              <w:rPr>
                <w:rFonts w:hint="eastAsia" w:ascii="Times New Roman" w:hAnsi="Times New Roman" w:cs="Times New Roman"/>
                <w:kern w:val="0"/>
                <w:szCs w:val="24"/>
              </w:rPr>
              <w:t>本项目已建成，施工期间采取洒水降尘作业，并对裸露区域遮盖密目防尘网，定期洒水降尘，大风天暂停作业，减轻了施工扬尘对周围的影响。</w:t>
            </w:r>
          </w:p>
          <w:p w14:paraId="074AEA8F">
            <w:pPr>
              <w:pStyle w:val="119"/>
              <w:spacing w:line="360" w:lineRule="auto"/>
              <w:ind w:firstLine="480"/>
              <w:rPr>
                <w:rFonts w:ascii="Times New Roman" w:hAnsi="Times New Roman" w:cs="Times New Roman"/>
                <w:kern w:val="0"/>
                <w:szCs w:val="24"/>
              </w:rPr>
            </w:pPr>
            <w:r>
              <w:rPr>
                <w:rFonts w:hint="eastAsia" w:ascii="Times New Roman" w:hAnsi="Times New Roman" w:cs="Times New Roman"/>
                <w:kern w:val="0"/>
                <w:szCs w:val="24"/>
              </w:rPr>
              <w:t>存在问题：</w:t>
            </w:r>
          </w:p>
          <w:p w14:paraId="6015211A">
            <w:pPr>
              <w:pStyle w:val="119"/>
              <w:spacing w:line="360" w:lineRule="auto"/>
              <w:ind w:firstLine="480"/>
              <w:rPr>
                <w:rFonts w:ascii="Times New Roman" w:hAnsi="Times New Roman" w:cs="Times New Roman"/>
                <w:kern w:val="0"/>
                <w:szCs w:val="24"/>
              </w:rPr>
            </w:pPr>
            <w:r>
              <w:rPr>
                <w:rFonts w:hint="eastAsia" w:ascii="Times New Roman" w:hAnsi="Times New Roman" w:cs="Times New Roman"/>
                <w:kern w:val="0"/>
                <w:szCs w:val="24"/>
              </w:rPr>
              <w:t>施工时采用措施合理，未对周围环境大气造成明显影响，工程施工过程中未受到群众投诉。</w:t>
            </w:r>
          </w:p>
          <w:p w14:paraId="25A3C248">
            <w:pPr>
              <w:pStyle w:val="119"/>
              <w:spacing w:line="360" w:lineRule="auto"/>
              <w:ind w:firstLine="480"/>
              <w:rPr>
                <w:rFonts w:ascii="Times New Roman" w:hAnsi="Times New Roman" w:cs="Times New Roman"/>
                <w:kern w:val="0"/>
                <w:szCs w:val="24"/>
              </w:rPr>
            </w:pPr>
            <w:r>
              <w:rPr>
                <w:rFonts w:hint="eastAsia" w:ascii="Times New Roman" w:hAnsi="Times New Roman" w:cs="Times New Roman"/>
                <w:kern w:val="0"/>
                <w:szCs w:val="24"/>
              </w:rPr>
              <w:t>整改措施：</w:t>
            </w:r>
          </w:p>
          <w:p w14:paraId="166103D9">
            <w:pPr>
              <w:pStyle w:val="119"/>
              <w:spacing w:line="360" w:lineRule="auto"/>
              <w:ind w:firstLine="480"/>
              <w:rPr>
                <w:rFonts w:ascii="Times New Roman" w:hAnsi="Times New Roman" w:cs="Times New Roman"/>
                <w:kern w:val="0"/>
                <w:szCs w:val="24"/>
              </w:rPr>
            </w:pPr>
            <w:r>
              <w:rPr>
                <w:rFonts w:hint="eastAsia" w:ascii="Times New Roman" w:hAnsi="Times New Roman" w:cs="Times New Roman"/>
                <w:kern w:val="0"/>
                <w:szCs w:val="24"/>
              </w:rPr>
              <w:t>无。</w:t>
            </w:r>
          </w:p>
          <w:p w14:paraId="22DD5E72">
            <w:pPr>
              <w:pStyle w:val="106"/>
            </w:pPr>
            <w:r>
              <w:rPr>
                <w:rFonts w:hint="eastAsia"/>
              </w:rPr>
              <w:t>（3）交通运输扬尘</w:t>
            </w:r>
          </w:p>
          <w:p w14:paraId="217D0140">
            <w:pPr>
              <w:pStyle w:val="106"/>
            </w:pPr>
            <w:r>
              <w:rPr>
                <w:rFonts w:hint="eastAsia"/>
              </w:rPr>
              <w:t>道路扬尘主要由车辆通行时产生。一般情况下，交通扬尘与路面材料、清洁程度、车速和载重量等有关。场内临时施工道路为四级公路，泥结石路面，以大型载重车为主，在大风时容易产生扬尘。</w:t>
            </w:r>
          </w:p>
          <w:p w14:paraId="53A5B2D0">
            <w:pPr>
              <w:pStyle w:val="106"/>
            </w:pPr>
            <w:r>
              <w:rPr>
                <w:rFonts w:hint="eastAsia"/>
              </w:rPr>
              <w:t>工程弃渣的装卸过程、运输车辆在施工场地行驶、运输车辆行驶过程中泥土洒落路面、运输车辆的车轮夹带泥土污染场地附近路面以及在有风的条件下由于场地地表裸露而产生扬尘。</w:t>
            </w:r>
          </w:p>
          <w:p w14:paraId="16C9C91B">
            <w:pPr>
              <w:pStyle w:val="106"/>
            </w:pPr>
            <w:r>
              <w:rPr>
                <w:rFonts w:hint="eastAsia"/>
              </w:rPr>
              <w:t>引起道路扬尘的因素较多，主要与车速、车型、车流量、风速、载重量、轮胎与路面的接触面积、路面积尘量、尘土湿度等诸多因素有关，其中风速还直接影响到扬尘的传输距离。此外，粉状材料本身在运输过程中，如果遮盖等防护措施不当，遇风也会起尘。所引起的扬尘将影响到运输道路两侧的居民，特别是大风天气，这种影响将更严重。</w:t>
            </w:r>
          </w:p>
          <w:p w14:paraId="5634C7BB">
            <w:pPr>
              <w:pStyle w:val="106"/>
            </w:pPr>
            <w:r>
              <w:rPr>
                <w:rFonts w:hint="eastAsia"/>
              </w:rPr>
              <w:t>已采取措施：</w:t>
            </w:r>
          </w:p>
          <w:p w14:paraId="41DF303E">
            <w:pPr>
              <w:pStyle w:val="106"/>
            </w:pPr>
            <w:r>
              <w:rPr>
                <w:rFonts w:hint="eastAsia"/>
              </w:rPr>
              <w:t>本项目已建成，施工期间运输道路定期洒水清扫、加盖篷布运输，运输车辆尽可能减缓行驶速度，避免对交通道路造成扬尘污染。</w:t>
            </w:r>
          </w:p>
          <w:p w14:paraId="2A4A962A">
            <w:pPr>
              <w:pStyle w:val="106"/>
            </w:pPr>
            <w:r>
              <w:rPr>
                <w:rFonts w:hint="eastAsia"/>
              </w:rPr>
              <w:t>存在问题：</w:t>
            </w:r>
          </w:p>
          <w:p w14:paraId="0A6F825B">
            <w:pPr>
              <w:pStyle w:val="106"/>
            </w:pPr>
            <w:r>
              <w:rPr>
                <w:rFonts w:hint="eastAsia"/>
              </w:rPr>
              <w:t>施工时采用措施合理，未对周围环境大气造成明显影响，工程施工过程中未受到群众投诉。</w:t>
            </w:r>
          </w:p>
          <w:p w14:paraId="72E8A044">
            <w:pPr>
              <w:pStyle w:val="106"/>
            </w:pPr>
            <w:r>
              <w:rPr>
                <w:rFonts w:hint="eastAsia"/>
              </w:rPr>
              <w:t>整改措施：</w:t>
            </w:r>
          </w:p>
          <w:p w14:paraId="61594E48">
            <w:pPr>
              <w:pStyle w:val="106"/>
            </w:pPr>
            <w:r>
              <w:rPr>
                <w:rFonts w:hint="eastAsia"/>
              </w:rPr>
              <w:t>无。</w:t>
            </w:r>
          </w:p>
          <w:p w14:paraId="3A1D0A7B">
            <w:pPr>
              <w:pStyle w:val="106"/>
              <w:ind w:firstLine="482"/>
              <w:rPr>
                <w:b/>
                <w:bCs/>
              </w:rPr>
            </w:pPr>
            <w:r>
              <w:rPr>
                <w:rFonts w:hint="eastAsia"/>
                <w:b/>
                <w:bCs/>
              </w:rPr>
              <w:t>2、施工机械废气</w:t>
            </w:r>
          </w:p>
          <w:p w14:paraId="0727E0DC">
            <w:pPr>
              <w:pStyle w:val="106"/>
            </w:pPr>
            <w:r>
              <w:rPr>
                <w:rFonts w:hint="eastAsia"/>
              </w:rPr>
              <w:t>施工期间，使用机动车运送原材料、设备和建筑机械设备的运转，均会排放一定量的CO、NOx以及未完全燃烧的THC等，对施工作业点和交通道路附近的大气环境会造成一定程度的污染。其特点是排放量小，且属间断性无组织排放，运输车辆的废气是沿交通路线排放，施工机械的废气基本以点源形式排放。</w:t>
            </w:r>
          </w:p>
          <w:p w14:paraId="1FEA1909">
            <w:pPr>
              <w:pStyle w:val="106"/>
            </w:pPr>
            <w:r>
              <w:rPr>
                <w:rFonts w:hint="eastAsia"/>
              </w:rPr>
              <w:t>已采取措施：</w:t>
            </w:r>
          </w:p>
          <w:p w14:paraId="72CF4230">
            <w:pPr>
              <w:pStyle w:val="106"/>
            </w:pPr>
            <w:r>
              <w:rPr>
                <w:rFonts w:hint="eastAsia"/>
              </w:rPr>
              <w:t>本项目已建成，施工期间选用达到环保要求的设备，加强施工设备的维护，不使用劣质燃料。加之项目所在地地势平坦，地形开阔，施工机械及车辆尾气能快速扩散，不会对项目区域内的大气环境造成较大影响。</w:t>
            </w:r>
          </w:p>
          <w:p w14:paraId="142B1610">
            <w:pPr>
              <w:pStyle w:val="106"/>
            </w:pPr>
            <w:r>
              <w:rPr>
                <w:rFonts w:hint="eastAsia"/>
              </w:rPr>
              <w:t>存在问题：</w:t>
            </w:r>
          </w:p>
          <w:p w14:paraId="53FA2992">
            <w:pPr>
              <w:pStyle w:val="106"/>
            </w:pPr>
            <w:r>
              <w:rPr>
                <w:rFonts w:hint="eastAsia"/>
              </w:rPr>
              <w:t>施工时采用措施合理，未对周围环境大气造成明显影响，工程施工过程中未受到群众投诉。</w:t>
            </w:r>
          </w:p>
          <w:p w14:paraId="3F19A400">
            <w:pPr>
              <w:pStyle w:val="106"/>
            </w:pPr>
            <w:r>
              <w:rPr>
                <w:rFonts w:hint="eastAsia"/>
              </w:rPr>
              <w:t>整改措施：</w:t>
            </w:r>
          </w:p>
          <w:p w14:paraId="55B5654C">
            <w:pPr>
              <w:pStyle w:val="106"/>
            </w:pPr>
            <w:r>
              <w:rPr>
                <w:rFonts w:hint="eastAsia"/>
              </w:rPr>
              <w:t>无。</w:t>
            </w:r>
          </w:p>
          <w:p w14:paraId="2AFBF186">
            <w:pPr>
              <w:pStyle w:val="106"/>
              <w:ind w:firstLine="0" w:firstLineChars="0"/>
              <w:rPr>
                <w:b/>
                <w:bCs/>
              </w:rPr>
            </w:pPr>
            <w:r>
              <w:rPr>
                <w:rFonts w:hint="eastAsia"/>
                <w:b/>
                <w:bCs/>
              </w:rPr>
              <w:t>三、施工期地表水环境影响分析</w:t>
            </w:r>
          </w:p>
          <w:p w14:paraId="1E6D5E26">
            <w:pPr>
              <w:pStyle w:val="106"/>
            </w:pPr>
            <w:r>
              <w:rPr>
                <w:rFonts w:hint="eastAsia"/>
              </w:rPr>
              <w:t>本项目不设混凝土拌合站和砂石加工系统，项目主要利用区域内现有的汽修厂等解决机械维修、保养等问题，不设专门的机械维修点，无含油修理废水的产生。施工期废水主要为施工人员生活污水、混凝土养护废水、基坑排水、机械和车辆冲洗废水。</w:t>
            </w:r>
          </w:p>
          <w:p w14:paraId="64C1A1AF">
            <w:pPr>
              <w:pStyle w:val="106"/>
              <w:ind w:firstLine="482"/>
              <w:rPr>
                <w:b/>
                <w:bCs/>
              </w:rPr>
            </w:pPr>
            <w:r>
              <w:rPr>
                <w:rFonts w:hint="eastAsia"/>
                <w:b/>
                <w:bCs/>
              </w:rPr>
              <w:t>1、施工期废水排放对地表水的影响</w:t>
            </w:r>
          </w:p>
          <w:p w14:paraId="73649428">
            <w:pPr>
              <w:pStyle w:val="106"/>
            </w:pPr>
            <w:r>
              <w:rPr>
                <w:rFonts w:hint="eastAsia"/>
              </w:rPr>
              <w:t>（1）施工人员生活污水</w:t>
            </w:r>
          </w:p>
          <w:p w14:paraId="7494BDB6">
            <w:pPr>
              <w:pStyle w:val="106"/>
            </w:pPr>
            <w:r>
              <w:rPr>
                <w:rFonts w:hint="eastAsia"/>
              </w:rPr>
              <w:t>本项目不设置食堂，员工饮食依托磨西镇既有生活设施，生活污水主要为施工人员冲厕、洗手废水，本项目施工期高峰人数40人，人均用水量以50L/人·d，则生活用水量为2.0m³/d，排水量以用水量的80%计，则施工期生活污水排放量为1.6m³/d，主要污染物为CODcr、BOD</w:t>
            </w:r>
            <w:r>
              <w:rPr>
                <w:vertAlign w:val="subscript"/>
              </w:rPr>
              <w:t>5</w:t>
            </w:r>
            <w:r>
              <w:rPr>
                <w:rFonts w:hint="eastAsia"/>
              </w:rPr>
              <w:t>、NH</w:t>
            </w:r>
            <w:r>
              <w:rPr>
                <w:vertAlign w:val="subscript"/>
              </w:rPr>
              <w:t>3</w:t>
            </w:r>
            <w:r>
              <w:rPr>
                <w:rFonts w:hint="eastAsia"/>
              </w:rPr>
              <w:t>-N、SS等污染物质。</w:t>
            </w:r>
          </w:p>
          <w:p w14:paraId="093EE0A3">
            <w:pPr>
              <w:pStyle w:val="106"/>
            </w:pPr>
            <w:r>
              <w:rPr>
                <w:rFonts w:hint="eastAsia"/>
              </w:rPr>
              <w:t>已采取措施：</w:t>
            </w:r>
          </w:p>
          <w:p w14:paraId="4C3C87E2">
            <w:pPr>
              <w:pStyle w:val="106"/>
            </w:pPr>
            <w:r>
              <w:rPr>
                <w:rFonts w:hint="eastAsia"/>
              </w:rPr>
              <w:t>生活污水主要利用租赁民房已有的生活污水处理设施进行收集处理后用作农肥，不外排。</w:t>
            </w:r>
          </w:p>
          <w:p w14:paraId="4935CB8F">
            <w:pPr>
              <w:pStyle w:val="106"/>
            </w:pPr>
            <w:r>
              <w:rPr>
                <w:rFonts w:hint="eastAsia"/>
              </w:rPr>
              <w:t>存在问题：</w:t>
            </w:r>
          </w:p>
          <w:p w14:paraId="2FCEFA5A">
            <w:pPr>
              <w:pStyle w:val="106"/>
            </w:pPr>
            <w:r>
              <w:rPr>
                <w:rFonts w:hint="eastAsia"/>
              </w:rPr>
              <w:t>施工时采用措施合理，未对周围水环境造成明显影响，工程施工过程中未受到群众投诉。</w:t>
            </w:r>
          </w:p>
          <w:p w14:paraId="32671A86">
            <w:pPr>
              <w:pStyle w:val="106"/>
            </w:pPr>
            <w:r>
              <w:rPr>
                <w:rFonts w:hint="eastAsia"/>
              </w:rPr>
              <w:t>整改措施：</w:t>
            </w:r>
          </w:p>
          <w:p w14:paraId="387159A0">
            <w:pPr>
              <w:pStyle w:val="106"/>
            </w:pPr>
            <w:r>
              <w:rPr>
                <w:rFonts w:hint="eastAsia"/>
              </w:rPr>
              <w:t>无。</w:t>
            </w:r>
          </w:p>
          <w:p w14:paraId="6F882BE2">
            <w:pPr>
              <w:pStyle w:val="106"/>
            </w:pPr>
            <w:r>
              <w:rPr>
                <w:rFonts w:hint="eastAsia"/>
              </w:rPr>
              <w:t>（2）机械和车辆冲洗废水</w:t>
            </w:r>
          </w:p>
          <w:p w14:paraId="5608785C">
            <w:pPr>
              <w:pStyle w:val="106"/>
            </w:pPr>
            <w:r>
              <w:rPr>
                <w:rFonts w:hint="eastAsia"/>
              </w:rPr>
              <w:t>施工机械和车辆到附近专门清洗点或修理点进行清洗和修理，小部分在项目区内进行临时清洗，废水中主要污染物为石油类和悬浮物，机械车辆冲洗废水石油类污染物浓度约10mg/L，若施工机械含油废水直接排入水体，在水体表面形成油膜，造成水中溶解氧不易恢复，影响水质和水生生物；含油废水随意排放陆域，会降低土壤肥力，改变土壤结构，不利于施工迹地恢复。</w:t>
            </w:r>
          </w:p>
          <w:p w14:paraId="1DFE339F">
            <w:pPr>
              <w:pStyle w:val="106"/>
            </w:pPr>
            <w:r>
              <w:rPr>
                <w:rFonts w:hint="eastAsia"/>
              </w:rPr>
              <w:t>已采取措施：</w:t>
            </w:r>
          </w:p>
          <w:p w14:paraId="3C0F1834">
            <w:pPr>
              <w:pStyle w:val="106"/>
            </w:pPr>
            <w:r>
              <w:rPr>
                <w:rFonts w:hint="eastAsia"/>
              </w:rPr>
              <w:t>工程在施工场地建设隔油沉淀池对冲洗废水进行处理，废水经除油、沉淀处理后回用于车辆冲洗用水或施工区洒水降尘，不外排，因此不会对地表水环境产生影响。</w:t>
            </w:r>
          </w:p>
          <w:p w14:paraId="2A205AA2">
            <w:pPr>
              <w:pStyle w:val="106"/>
            </w:pPr>
            <w:r>
              <w:rPr>
                <w:rFonts w:hint="eastAsia"/>
              </w:rPr>
              <w:t>存在问题：</w:t>
            </w:r>
          </w:p>
          <w:p w14:paraId="3641C73A">
            <w:pPr>
              <w:pStyle w:val="106"/>
            </w:pPr>
            <w:r>
              <w:rPr>
                <w:rFonts w:hint="eastAsia"/>
              </w:rPr>
              <w:t>施工时采用措施合理，未对周围水环境造成明显影响，工程施工过程中未受到群众投诉。</w:t>
            </w:r>
          </w:p>
          <w:p w14:paraId="1484D5C3">
            <w:pPr>
              <w:pStyle w:val="106"/>
            </w:pPr>
            <w:r>
              <w:rPr>
                <w:rFonts w:hint="eastAsia"/>
              </w:rPr>
              <w:t>整改措施：</w:t>
            </w:r>
          </w:p>
          <w:p w14:paraId="47095D93">
            <w:pPr>
              <w:pStyle w:val="106"/>
            </w:pPr>
            <w:r>
              <w:rPr>
                <w:rFonts w:hint="eastAsia"/>
              </w:rPr>
              <w:t>无。</w:t>
            </w:r>
          </w:p>
          <w:p w14:paraId="4D57B209">
            <w:pPr>
              <w:pStyle w:val="106"/>
            </w:pPr>
            <w:r>
              <w:rPr>
                <w:rFonts w:hint="eastAsia"/>
              </w:rPr>
              <w:t>（3）混凝土养护废水</w:t>
            </w:r>
          </w:p>
          <w:p w14:paraId="3855D0BF">
            <w:pPr>
              <w:pStyle w:val="106"/>
            </w:pPr>
            <w:r>
              <w:rPr>
                <w:rFonts w:hint="eastAsia"/>
              </w:rPr>
              <w:t>混凝土浇筑时将产生养护废水pH值在9-12之间，为碱性废水，具有悬浮物高、水量少，间歇性排放的特点。混凝土养护废水一次排放约为5m³/次。混凝土养护所用水量除保持其必要的水分外，基本都蒸发损耗。</w:t>
            </w:r>
          </w:p>
          <w:p w14:paraId="4F36022F">
            <w:pPr>
              <w:pStyle w:val="106"/>
            </w:pPr>
            <w:r>
              <w:rPr>
                <w:rFonts w:hint="eastAsia"/>
              </w:rPr>
              <w:t>已采取措施：</w:t>
            </w:r>
          </w:p>
          <w:p w14:paraId="65FE93E6">
            <w:pPr>
              <w:pStyle w:val="106"/>
            </w:pPr>
            <w:r>
              <w:rPr>
                <w:rFonts w:hint="eastAsia"/>
              </w:rPr>
              <w:t>混凝土养护直接用薄膜或塑料溶液喷刷在混凝土表面，待溶液挥发后，与混凝土表面结合成一层塑料薄膜，使混凝土与空气隔离，封闭混凝土中水分不再蒸发外溢，水泥依靠混凝土中水分完成水化作用，其多余废水经沉淀处理后上清液回用，不外排，因此不会对地表水环境产生影响。</w:t>
            </w:r>
          </w:p>
          <w:p w14:paraId="727CBBB0">
            <w:pPr>
              <w:pStyle w:val="106"/>
            </w:pPr>
            <w:r>
              <w:rPr>
                <w:rFonts w:hint="eastAsia"/>
              </w:rPr>
              <w:t>存在问题：</w:t>
            </w:r>
          </w:p>
          <w:p w14:paraId="363946AD">
            <w:pPr>
              <w:pStyle w:val="106"/>
            </w:pPr>
            <w:r>
              <w:rPr>
                <w:rFonts w:hint="eastAsia"/>
              </w:rPr>
              <w:t>施工时采用措施合理，未对周围水环境造成明显影响，工程施工过程中未受到群众投诉。</w:t>
            </w:r>
          </w:p>
          <w:p w14:paraId="4E591883">
            <w:pPr>
              <w:pStyle w:val="106"/>
            </w:pPr>
            <w:r>
              <w:rPr>
                <w:rFonts w:hint="eastAsia"/>
              </w:rPr>
              <w:t>整改措施：</w:t>
            </w:r>
          </w:p>
          <w:p w14:paraId="4B0E463C">
            <w:pPr>
              <w:pStyle w:val="106"/>
            </w:pPr>
            <w:r>
              <w:rPr>
                <w:rFonts w:hint="eastAsia"/>
              </w:rPr>
              <w:t>无。</w:t>
            </w:r>
          </w:p>
          <w:p w14:paraId="7DA9542B">
            <w:pPr>
              <w:pStyle w:val="106"/>
            </w:pPr>
            <w:r>
              <w:rPr>
                <w:rFonts w:hint="eastAsia"/>
              </w:rPr>
              <w:t>（4）基坑排水</w:t>
            </w:r>
          </w:p>
          <w:p w14:paraId="640EF6CC">
            <w:pPr>
              <w:pStyle w:val="106"/>
            </w:pPr>
            <w:r>
              <w:rPr>
                <w:rFonts w:hint="eastAsia"/>
              </w:rPr>
              <w:t>项目基坑开挖过程中有可能开挖至地下水面导致地下水渗入坑内，也可能因降水、渗水等汇集而产生基坑废水。该基坑废水悬浮物含量较高，约为1000mg/L。</w:t>
            </w:r>
          </w:p>
          <w:p w14:paraId="2D1ECFA5">
            <w:pPr>
              <w:pStyle w:val="106"/>
            </w:pPr>
            <w:r>
              <w:rPr>
                <w:rFonts w:hint="eastAsia"/>
              </w:rPr>
              <w:t>根据已建堤防工程的施工经验，基坑采用强排水措施。基坑采用明沟排水系统，排水系统布置兼顾基坑开挖及主体建筑物施工，根据施工情况和基坑渗漏情况，采用初期排水和经常性排水两种方式，排出基坑内的积水和渗水，以保持基坑干燥。初期排水主要是基坑积水（覆盖层含水）、降雨和其他途径来水。经常性排水主要包括：降雨、施工废水（混凝土养护水）等。</w:t>
            </w:r>
          </w:p>
          <w:p w14:paraId="1210B720">
            <w:pPr>
              <w:pStyle w:val="106"/>
            </w:pPr>
            <w:r>
              <w:rPr>
                <w:rFonts w:hint="eastAsia"/>
              </w:rPr>
              <w:t>已采取措施：</w:t>
            </w:r>
          </w:p>
          <w:p w14:paraId="264DF35C">
            <w:pPr>
              <w:pStyle w:val="106"/>
            </w:pPr>
            <w:r>
              <w:rPr>
                <w:rFonts w:hint="eastAsia"/>
              </w:rPr>
              <w:t>本工程施工期在基坑内设置截流槽，每100m设置一个集水坑，每段基坑排水选用水泵抽排，并在下游设置一个沉淀池，基坑排水静置经沉淀池沉淀处理后由水泵抽入河道内，基坑排水经沉淀后SS浓度降低，不会对地表水水质造成影响。</w:t>
            </w:r>
          </w:p>
          <w:p w14:paraId="177DD4C2">
            <w:pPr>
              <w:pStyle w:val="106"/>
            </w:pPr>
            <w:r>
              <w:rPr>
                <w:rFonts w:hint="eastAsia"/>
              </w:rPr>
              <w:t>存在问题：</w:t>
            </w:r>
          </w:p>
          <w:p w14:paraId="5157E321">
            <w:pPr>
              <w:pStyle w:val="106"/>
            </w:pPr>
            <w:r>
              <w:rPr>
                <w:rFonts w:hint="eastAsia"/>
              </w:rPr>
              <w:t>施工时采用措施合理，未对周围水环境造成明显影响，工程施工过程中未受到群众投诉。</w:t>
            </w:r>
          </w:p>
          <w:p w14:paraId="33B13BDC">
            <w:pPr>
              <w:pStyle w:val="106"/>
            </w:pPr>
            <w:r>
              <w:rPr>
                <w:rFonts w:hint="eastAsia"/>
              </w:rPr>
              <w:t>整改措施：</w:t>
            </w:r>
          </w:p>
          <w:p w14:paraId="31523CB7">
            <w:pPr>
              <w:pStyle w:val="106"/>
            </w:pPr>
            <w:r>
              <w:rPr>
                <w:rFonts w:hint="eastAsia"/>
              </w:rPr>
              <w:t>无。</w:t>
            </w:r>
          </w:p>
          <w:p w14:paraId="3AF0117F">
            <w:pPr>
              <w:pStyle w:val="106"/>
              <w:ind w:firstLine="482"/>
              <w:rPr>
                <w:b/>
                <w:bCs/>
              </w:rPr>
            </w:pPr>
            <w:r>
              <w:rPr>
                <w:rFonts w:hint="eastAsia"/>
                <w:b/>
                <w:bCs/>
              </w:rPr>
              <w:t>2、对河道水文情势的影响分析</w:t>
            </w:r>
          </w:p>
          <w:p w14:paraId="26DC06E3">
            <w:pPr>
              <w:pStyle w:val="106"/>
            </w:pPr>
            <w:r>
              <w:rPr>
                <w:rFonts w:hint="eastAsia"/>
              </w:rPr>
              <w:t>本项目属于防洪设施工程建筑，项目在原有河道内进行建设，工程建设对主河道比降没有改变，只是对岸坡做了稳定安全治理，对河道按照其合理的稳定河槽宽度</w:t>
            </w:r>
            <w:r>
              <w:rPr>
                <w:rFonts w:hint="eastAsia"/>
                <w:color w:val="000000" w:themeColor="text1"/>
                <w14:textFill>
                  <w14:solidFill>
                    <w14:schemeClr w14:val="tx1"/>
                  </w14:solidFill>
                </w14:textFill>
              </w:rPr>
              <w:t>来进行整治。</w:t>
            </w:r>
            <w:r>
              <w:rPr>
                <w:rFonts w:hint="eastAsia"/>
              </w:rPr>
              <w:t>对河道的束窄有限，施工期河段内不会产生大的壅水。总体来说水位变幅不大，结合河道两岸地形及堤防布置方案，有效提高河道现有的行洪能力。</w:t>
            </w:r>
          </w:p>
          <w:p w14:paraId="6200EC75">
            <w:pPr>
              <w:pStyle w:val="106"/>
            </w:pPr>
            <w:r>
              <w:rPr>
                <w:rFonts w:hint="eastAsia"/>
              </w:rPr>
              <w:t>工程建设后保持了原有河道地层的组成与结构，没有改变河流地质地貌，项目完成堤防、护岸建设后，河道主流更加稳定，使得洪水宣泄更加顺畅，减少了对防洪堤护坡的冲击和淘刷，稳定了河势，但同时水流挟砂能力的提高，又加剧了对河床的冲刷，逐步使河床趋于稳定并达到新的冲淤平衡，施工建设对河流水文泥沙情势和河道特性的改变不大。</w:t>
            </w:r>
          </w:p>
          <w:p w14:paraId="587C34F8">
            <w:pPr>
              <w:pStyle w:val="106"/>
            </w:pPr>
            <w:r>
              <w:rPr>
                <w:rFonts w:hint="eastAsia"/>
              </w:rPr>
              <w:t>综上所述，本工程的建设对河流水文情势的变化属于有利影响。</w:t>
            </w:r>
          </w:p>
          <w:p w14:paraId="30090096">
            <w:pPr>
              <w:pStyle w:val="106"/>
              <w:ind w:firstLine="482"/>
              <w:rPr>
                <w:b/>
                <w:bCs/>
              </w:rPr>
            </w:pPr>
            <w:r>
              <w:rPr>
                <w:rFonts w:hint="eastAsia"/>
                <w:b/>
                <w:bCs/>
              </w:rPr>
              <w:t>3、施工期下游水系的影响</w:t>
            </w:r>
          </w:p>
          <w:p w14:paraId="646842F2">
            <w:pPr>
              <w:pStyle w:val="106"/>
            </w:pPr>
            <w:r>
              <w:rPr>
                <w:rFonts w:hint="eastAsia"/>
              </w:rPr>
              <w:t>本项目治理河段位于海螺沟下段，工程终点（K0+684.2）以下沟道经贡嘎神汤、磨西镇一带，于龚家河坝注入燕子沟，燕子沟为磨西河右源，磨西河在大渡河右岸汇入大渡河，上述水体水质管理目标均为Ⅲ类。经调查，工程河段下游无集中式饮用水水源保护区，也没有饮用水取水口和供水取水口；下游第一个受水对象为共和电站取水口拦河坝，该坝用于发电引水，不承担生活供水功能。</w:t>
            </w:r>
          </w:p>
          <w:p w14:paraId="0EDD308F">
            <w:pPr>
              <w:pStyle w:val="106"/>
            </w:pPr>
            <w:r>
              <w:rPr>
                <w:rFonts w:hint="eastAsia"/>
              </w:rPr>
              <w:t>从水量看，施工期除围堰内基坑排水回归原河道外，生活污水经租赁民房现有设施处理后用作农肥，车辆机械冲洗废水、混凝土养护废水经处理后回用，均不进入河道；基坑排水的水源为河水经围堰基础渗入基坑的渗水及基坑积水，属原河道水体的就地回归，不新增取水、不拦截引走河水，下游河段流量不减少。从水质看，进入下游的污染负荷仅为基坑排水中的悬浮物，经“截流槽—集水坑—沉淀池”静置沉淀后回归，以SS为主，不涉及重金属和有机物，工程河段及上游无工业污染源；回归点以下紧邻共和电站拦河坝，坝前壅水段流速降低，悬浮物进一步沉降截留，进入坝下的量已很有限。</w:t>
            </w:r>
          </w:p>
          <w:p w14:paraId="569C8DFA">
            <w:pPr>
              <w:pStyle w:val="106"/>
              <w:rPr>
                <w:b/>
                <w:bCs/>
              </w:rPr>
            </w:pPr>
            <w:r>
              <w:rPr>
                <w:rFonts w:hint="eastAsia"/>
              </w:rPr>
              <w:t>综上，本项目施工期废水不外排，基坑排水经沉淀后回归原河道，不减少下游水量，悬浮物增量经沉降与稀释后很小，不改变海螺沟、燕子沟、磨西河及大渡河的水质类别，不影响下游水功能区达标，不涉及饮用水源保护；施工期未发生取水口堵塞或引水含沙量异常，未收到下游用水户投诉，对下游水系的影响轻微，且已随施工期结束而消除。</w:t>
            </w:r>
          </w:p>
          <w:p w14:paraId="4EFF9A38">
            <w:pPr>
              <w:pStyle w:val="106"/>
              <w:ind w:firstLine="482"/>
              <w:rPr>
                <w:b/>
                <w:bCs/>
              </w:rPr>
            </w:pPr>
            <w:r>
              <w:rPr>
                <w:rFonts w:hint="eastAsia"/>
                <w:b/>
                <w:bCs/>
              </w:rPr>
              <w:t>4、施工期水环境影响分析小结</w:t>
            </w:r>
          </w:p>
          <w:p w14:paraId="3ECC2D7C">
            <w:pPr>
              <w:pStyle w:val="106"/>
            </w:pPr>
            <w:r>
              <w:rPr>
                <w:rFonts w:hint="eastAsia"/>
              </w:rPr>
              <w:t>综上，本项目施工期对项目区域的水环境有一定的影响，随着施工活动结束，影响已消除。在采取相应的环保措施后，项目施工期产生的各类废水均能得到合理有效的治理，不会对工程影响区域的水环境产生明显影响。</w:t>
            </w:r>
          </w:p>
          <w:p w14:paraId="39F9D167">
            <w:pPr>
              <w:pStyle w:val="106"/>
            </w:pPr>
            <w:r>
              <w:rPr>
                <w:rFonts w:hint="eastAsia"/>
              </w:rPr>
              <w:t>本项目施工期已结束，施工单位采取了相应环保措施，未造成项目所在地水环境质量恶化。</w:t>
            </w:r>
          </w:p>
          <w:p w14:paraId="3FE330B6">
            <w:pPr>
              <w:spacing w:line="360" w:lineRule="auto"/>
              <w:rPr>
                <w:bCs/>
              </w:rPr>
            </w:pPr>
            <w:r>
              <w:rPr>
                <w:rFonts w:hint="eastAsia"/>
                <w:b/>
              </w:rPr>
              <w:t>四、</w:t>
            </w:r>
            <w:r>
              <w:rPr>
                <w:rFonts w:hint="eastAsia"/>
                <w:b/>
                <w:bCs/>
              </w:rPr>
              <w:t>施工期噪声环境影响分析</w:t>
            </w:r>
          </w:p>
          <w:p w14:paraId="09D09D39">
            <w:pPr>
              <w:pStyle w:val="106"/>
            </w:pPr>
            <w:r>
              <w:rPr>
                <w:rFonts w:hint="eastAsia"/>
              </w:rPr>
              <w:t>本项目施工期的噪声主要来自开挖、填筑等施工活动以及施工机械运行、车辆运输等，lm声源强度在75~90dB（A）。由于在施工过程中，有大量的设备交互作业，这些设备在场地内的位置、使用率有较大的变化，很难计算其确切的施工场界噪声，具有阶段性、临时性和不固定性。</w:t>
            </w:r>
          </w:p>
          <w:p w14:paraId="232C44CA">
            <w:pPr>
              <w:pStyle w:val="106"/>
            </w:pPr>
            <w:r>
              <w:rPr>
                <w:rFonts w:hint="eastAsia"/>
              </w:rPr>
              <w:t>已采取措施：</w:t>
            </w:r>
          </w:p>
          <w:p w14:paraId="7457ABE2">
            <w:pPr>
              <w:pStyle w:val="106"/>
            </w:pPr>
            <w:r>
              <w:rPr>
                <w:rFonts w:hint="eastAsia"/>
              </w:rPr>
              <w:t>根据现场踏勘，本工程沿线周边主要为柏秧村居民，施工区严格控制在用地红线范围内；合理安排了施工时间，合理规划施工场地；选用了低噪声设备；对施工机械采取消声降噪措施；运输车辆在途经声环境敏感点时，已尽量保持低速行驶。</w:t>
            </w:r>
          </w:p>
          <w:p w14:paraId="6269E746">
            <w:pPr>
              <w:pStyle w:val="106"/>
            </w:pPr>
            <w:r>
              <w:rPr>
                <w:rFonts w:hint="eastAsia"/>
              </w:rPr>
              <w:t>存在问题：</w:t>
            </w:r>
          </w:p>
          <w:p w14:paraId="13DA511C">
            <w:pPr>
              <w:pStyle w:val="106"/>
            </w:pPr>
            <w:r>
              <w:rPr>
                <w:rFonts w:hint="eastAsia"/>
              </w:rPr>
              <w:t>通过现场调查，本工程施工期间未对工程周围声环境造成显著不利影响，且施工期间未收到有关本工程噪声扰民的投诉。</w:t>
            </w:r>
          </w:p>
          <w:p w14:paraId="39664922">
            <w:pPr>
              <w:pStyle w:val="106"/>
            </w:pPr>
            <w:r>
              <w:rPr>
                <w:rFonts w:hint="eastAsia"/>
              </w:rPr>
              <w:t>整改措施：</w:t>
            </w:r>
          </w:p>
          <w:p w14:paraId="24106C67">
            <w:pPr>
              <w:pStyle w:val="106"/>
            </w:pPr>
            <w:r>
              <w:rPr>
                <w:rFonts w:hint="eastAsia"/>
              </w:rPr>
              <w:t>无。</w:t>
            </w:r>
          </w:p>
          <w:p w14:paraId="251B7719">
            <w:pPr>
              <w:pStyle w:val="106"/>
            </w:pPr>
            <w:r>
              <w:rPr>
                <w:rFonts w:hint="eastAsia"/>
              </w:rPr>
              <w:t>综上，施工期噪声会对周围沿线居民造成一定程度的负影响，但是施工期时间较短，噪声影响也是暂时的，将随着施工期的结束而消失，本项目施工已结束，施工单位严格按照上述要求实施了噪声防治措施，施工过程中未受到周边居民投诉。</w:t>
            </w:r>
          </w:p>
          <w:p w14:paraId="29B4BF18">
            <w:pPr>
              <w:spacing w:line="360" w:lineRule="auto"/>
              <w:rPr>
                <w:b/>
              </w:rPr>
            </w:pPr>
            <w:r>
              <w:rPr>
                <w:rFonts w:hint="eastAsia"/>
                <w:b/>
              </w:rPr>
              <w:t>五、施工期固体废物环境影响分析</w:t>
            </w:r>
          </w:p>
          <w:p w14:paraId="1613BA5D">
            <w:pPr>
              <w:spacing w:line="360" w:lineRule="auto"/>
              <w:ind w:firstLine="480" w:firstLineChars="200"/>
            </w:pPr>
            <w:r>
              <w:rPr>
                <w:rFonts w:hint="eastAsia"/>
              </w:rPr>
              <w:t>本项目施工期固体废物</w:t>
            </w:r>
            <w:r>
              <w:rPr>
                <w:rFonts w:hint="eastAsia"/>
                <w:color w:val="000000" w:themeColor="text1"/>
                <w14:textFill>
                  <w14:solidFill>
                    <w14:schemeClr w14:val="tx1"/>
                  </w14:solidFill>
                </w14:textFill>
              </w:rPr>
              <w:t>主要为河道砂砾石开挖产生的砂卵石料</w:t>
            </w:r>
            <w:r>
              <w:rPr>
                <w:rFonts w:hint="eastAsia"/>
              </w:rPr>
              <w:t>、建筑垃圾、生活垃圾。</w:t>
            </w:r>
          </w:p>
          <w:p w14:paraId="0DE12F92">
            <w:pPr>
              <w:spacing w:line="360" w:lineRule="auto"/>
              <w:ind w:firstLine="482" w:firstLineChars="200"/>
              <w:rPr>
                <w:b/>
              </w:rPr>
            </w:pPr>
            <w:r>
              <w:rPr>
                <w:rFonts w:hint="eastAsia"/>
                <w:b/>
              </w:rPr>
              <w:t>1、废弃土石方</w:t>
            </w:r>
          </w:p>
          <w:p w14:paraId="12EAA6D8">
            <w:pPr>
              <w:spacing w:line="360" w:lineRule="auto"/>
              <w:ind w:firstLine="480" w:firstLineChars="200"/>
              <w:rPr>
                <w:lang w:val="zh-CN"/>
              </w:rPr>
            </w:pPr>
            <w:r>
              <w:rPr>
                <w:rFonts w:hint="eastAsia"/>
                <w:lang w:val="zh-CN"/>
              </w:rPr>
              <w:t>本项目土石方开挖总量</w:t>
            </w:r>
            <w:r>
              <w:t>2.32</w:t>
            </w:r>
            <w:r>
              <w:rPr>
                <w:rFonts w:hint="eastAsia"/>
                <w:lang w:val="zh-CN"/>
              </w:rPr>
              <w:t>万m³，土石方回填总量</w:t>
            </w:r>
            <w:r>
              <w:t>2.32</w:t>
            </w:r>
            <w:r>
              <w:rPr>
                <w:rFonts w:hint="eastAsia"/>
                <w:lang w:val="zh-CN"/>
              </w:rPr>
              <w:t>万m³，无借方，无弃方，</w:t>
            </w:r>
            <w:r>
              <w:rPr>
                <w:rFonts w:hint="eastAsia"/>
              </w:rPr>
              <w:t>不设置弃土场</w:t>
            </w:r>
            <w:r>
              <w:rPr>
                <w:rFonts w:hint="eastAsia"/>
                <w:lang w:val="zh-CN"/>
              </w:rPr>
              <w:t>。</w:t>
            </w:r>
          </w:p>
          <w:p w14:paraId="4F0F65CA">
            <w:pPr>
              <w:pStyle w:val="106"/>
            </w:pPr>
            <w:r>
              <w:rPr>
                <w:rFonts w:hint="eastAsia"/>
              </w:rPr>
              <w:t>已采取措施：</w:t>
            </w:r>
          </w:p>
          <w:p w14:paraId="1CC0CE80">
            <w:pPr>
              <w:pStyle w:val="106"/>
            </w:pPr>
            <w:r>
              <w:rPr>
                <w:rFonts w:hint="eastAsia"/>
                <w:color w:val="000000" w:themeColor="text1"/>
                <w14:textFill>
                  <w14:solidFill>
                    <w14:schemeClr w14:val="tx1"/>
                  </w14:solidFill>
                </w14:textFill>
              </w:rPr>
              <w:t>河道砂砾石开挖产生的合格土石方用于本河道堤防加固</w:t>
            </w:r>
            <w:r>
              <w:rPr>
                <w:rFonts w:hint="eastAsia"/>
              </w:rPr>
              <w:t>、岸坡回填、堤顶道路路基及低洼地整平。</w:t>
            </w:r>
          </w:p>
          <w:p w14:paraId="2BBECF5B">
            <w:pPr>
              <w:pStyle w:val="106"/>
            </w:pPr>
            <w:r>
              <w:rPr>
                <w:rFonts w:hint="eastAsia"/>
              </w:rPr>
              <w:t>存在问题：</w:t>
            </w:r>
          </w:p>
          <w:p w14:paraId="52259B24">
            <w:pPr>
              <w:pStyle w:val="106"/>
            </w:pPr>
            <w:r>
              <w:rPr>
                <w:rFonts w:hint="eastAsia"/>
              </w:rPr>
              <w:t>施工期间无遗留环境问题，通过现场调查无施工土石方乱堆乱放。</w:t>
            </w:r>
          </w:p>
          <w:p w14:paraId="07BDA00E">
            <w:pPr>
              <w:pStyle w:val="106"/>
            </w:pPr>
            <w:r>
              <w:rPr>
                <w:rFonts w:hint="eastAsia"/>
              </w:rPr>
              <w:t>整改措施：</w:t>
            </w:r>
          </w:p>
          <w:p w14:paraId="10B1E2C0">
            <w:pPr>
              <w:pStyle w:val="106"/>
            </w:pPr>
            <w:r>
              <w:rPr>
                <w:rFonts w:hint="eastAsia"/>
              </w:rPr>
              <w:t>无。</w:t>
            </w:r>
          </w:p>
          <w:p w14:paraId="135492EE">
            <w:pPr>
              <w:pStyle w:val="106"/>
              <w:ind w:firstLine="482"/>
              <w:rPr>
                <w:b/>
                <w:bCs/>
              </w:rPr>
            </w:pPr>
            <w:r>
              <w:rPr>
                <w:rFonts w:hint="eastAsia"/>
                <w:b/>
                <w:bCs/>
              </w:rPr>
              <w:t>2、建筑垃圾</w:t>
            </w:r>
          </w:p>
          <w:p w14:paraId="2E956A43">
            <w:pPr>
              <w:pStyle w:val="106"/>
            </w:pPr>
            <w:r>
              <w:rPr>
                <w:rFonts w:hint="eastAsia"/>
              </w:rPr>
              <w:t>本项目建筑垃圾主要来自施工作业，包括砂石、石块、水泥、废木料、废钢筋等杂物，产生量约10t。</w:t>
            </w:r>
          </w:p>
          <w:p w14:paraId="351A4FDA">
            <w:pPr>
              <w:pStyle w:val="106"/>
            </w:pPr>
            <w:r>
              <w:rPr>
                <w:rFonts w:hint="eastAsia"/>
              </w:rPr>
              <w:t>已采取措施：</w:t>
            </w:r>
          </w:p>
          <w:p w14:paraId="4D762AEC">
            <w:pPr>
              <w:pStyle w:val="106"/>
            </w:pPr>
            <w:r>
              <w:rPr>
                <w:rFonts w:hint="eastAsia"/>
              </w:rPr>
              <w:t>对于施工期间产生的建筑垃圾部分回收利用，不能综合利用的建筑垃圾运至建筑垃圾处置场堆存，严禁建筑垃圾倾倒至项目周边地表水体内。其中废钢筋、废钢板、废木料等可回收利用材料分类收集后交废品收购站回收利用；混凝土废料、砂浆等不能综合利用的，清运至当地建筑垃圾消纳场处置；严禁在河道管理范围内倾倒、填埋、堆放建筑垃圾。</w:t>
            </w:r>
          </w:p>
          <w:p w14:paraId="49597993">
            <w:pPr>
              <w:pStyle w:val="106"/>
            </w:pPr>
            <w:r>
              <w:rPr>
                <w:rFonts w:hint="eastAsia"/>
              </w:rPr>
              <w:t>存在问题：</w:t>
            </w:r>
          </w:p>
          <w:p w14:paraId="0899CE14">
            <w:pPr>
              <w:pStyle w:val="106"/>
            </w:pPr>
            <w:r>
              <w:rPr>
                <w:rFonts w:hint="eastAsia"/>
              </w:rPr>
              <w:t>施工期间无遗留环境问题，通过现场调查无施工建筑垃圾堆存。</w:t>
            </w:r>
          </w:p>
          <w:p w14:paraId="0F83884C">
            <w:pPr>
              <w:pStyle w:val="106"/>
            </w:pPr>
            <w:r>
              <w:rPr>
                <w:rFonts w:hint="eastAsia"/>
              </w:rPr>
              <w:t>整改措施：</w:t>
            </w:r>
          </w:p>
          <w:p w14:paraId="44107379">
            <w:pPr>
              <w:pStyle w:val="106"/>
            </w:pPr>
            <w:r>
              <w:rPr>
                <w:rFonts w:hint="eastAsia"/>
              </w:rPr>
              <w:t>无。</w:t>
            </w:r>
          </w:p>
          <w:p w14:paraId="462AB4B6">
            <w:pPr>
              <w:pStyle w:val="106"/>
              <w:ind w:firstLine="482"/>
              <w:rPr>
                <w:b/>
                <w:bCs/>
              </w:rPr>
            </w:pPr>
            <w:r>
              <w:rPr>
                <w:rFonts w:hint="eastAsia"/>
                <w:b/>
                <w:bCs/>
              </w:rPr>
              <w:t>3、生活垃圾</w:t>
            </w:r>
          </w:p>
          <w:p w14:paraId="6F637618">
            <w:pPr>
              <w:pStyle w:val="106"/>
            </w:pPr>
            <w:r>
              <w:rPr>
                <w:rFonts w:hint="eastAsia"/>
              </w:rPr>
              <w:t>本项目施工期施工高峰期施工人员按40人计，生活垃圾按0.5kg/人•d计，日产生量约20 kg/d。生活垃圾经袋装收集后，由环卫部门统一运送到垃圾处理厂集中处理。</w:t>
            </w:r>
          </w:p>
          <w:p w14:paraId="55B6579A">
            <w:pPr>
              <w:pStyle w:val="106"/>
            </w:pPr>
            <w:r>
              <w:rPr>
                <w:rFonts w:hint="eastAsia"/>
              </w:rPr>
              <w:t>已采取措施：</w:t>
            </w:r>
          </w:p>
          <w:p w14:paraId="4F4B838A">
            <w:pPr>
              <w:pStyle w:val="106"/>
            </w:pPr>
            <w:r>
              <w:rPr>
                <w:rFonts w:hint="eastAsia"/>
              </w:rPr>
              <w:t>项目在施工期间，施工区设置了垃圾桶，施工人员生活垃圾集中袋装收集后，全部交由环卫部门统一清运、处置，做到日产日清，严禁就地填埋或倾倒入河。</w:t>
            </w:r>
          </w:p>
          <w:p w14:paraId="1F0221BF">
            <w:pPr>
              <w:pStyle w:val="106"/>
            </w:pPr>
            <w:r>
              <w:rPr>
                <w:rFonts w:hint="eastAsia"/>
              </w:rPr>
              <w:t>存在问题：</w:t>
            </w:r>
          </w:p>
          <w:p w14:paraId="2FD56358">
            <w:pPr>
              <w:pStyle w:val="106"/>
            </w:pPr>
            <w:r>
              <w:rPr>
                <w:rFonts w:hint="eastAsia"/>
              </w:rPr>
              <w:t>施工期间无遗留环境问题，通过现场调查无施工生活垃圾堆存。</w:t>
            </w:r>
          </w:p>
          <w:p w14:paraId="28510156">
            <w:pPr>
              <w:pStyle w:val="106"/>
            </w:pPr>
            <w:r>
              <w:rPr>
                <w:rFonts w:hint="eastAsia"/>
              </w:rPr>
              <w:t>整改措施：</w:t>
            </w:r>
          </w:p>
          <w:p w14:paraId="46ACF5F7">
            <w:pPr>
              <w:pStyle w:val="106"/>
            </w:pPr>
            <w:r>
              <w:rPr>
                <w:rFonts w:hint="eastAsia"/>
              </w:rPr>
              <w:t>无。</w:t>
            </w:r>
          </w:p>
          <w:p w14:paraId="7464E7A2">
            <w:pPr>
              <w:pStyle w:val="106"/>
            </w:pPr>
            <w:r>
              <w:rPr>
                <w:rFonts w:hint="eastAsia"/>
              </w:rPr>
              <w:t>综上，施工单位已进行了土石方平衡，无弃土产生，施工建筑垃圾等已尽量回收利用，生活垃圾经集中收集后定期运至附近村镇垃圾回收点处理。施工过程中未受到周边居民投诉。</w:t>
            </w:r>
          </w:p>
          <w:p w14:paraId="5E172910">
            <w:pPr>
              <w:spacing w:line="360" w:lineRule="auto"/>
              <w:rPr>
                <w:b/>
              </w:rPr>
            </w:pPr>
            <w:r>
              <w:rPr>
                <w:rFonts w:hint="eastAsia"/>
                <w:b/>
              </w:rPr>
              <w:t>六、环境风险</w:t>
            </w:r>
          </w:p>
          <w:p w14:paraId="398F245A">
            <w:pPr>
              <w:spacing w:line="360" w:lineRule="auto"/>
              <w:ind w:firstLine="480" w:firstLineChars="200"/>
              <w:rPr>
                <w:bCs/>
              </w:rPr>
            </w:pPr>
            <w:r>
              <w:rPr>
                <w:rFonts w:hint="eastAsia"/>
                <w:bCs/>
              </w:rPr>
              <w:t>1、水质污染风险</w:t>
            </w:r>
          </w:p>
          <w:p w14:paraId="43726CDB">
            <w:pPr>
              <w:spacing w:line="360" w:lineRule="auto"/>
              <w:ind w:firstLine="480" w:firstLineChars="200"/>
              <w:rPr>
                <w:bCs/>
              </w:rPr>
            </w:pPr>
            <w:r>
              <w:rPr>
                <w:rFonts w:hint="eastAsia"/>
                <w:bCs/>
              </w:rPr>
              <w:t>施工期施工车辆发生交通事故漏油等，漏油进入水体，将对环境造成不利影响。</w:t>
            </w:r>
          </w:p>
          <w:p w14:paraId="17C6F76F">
            <w:pPr>
              <w:spacing w:line="360" w:lineRule="auto"/>
              <w:ind w:firstLine="480" w:firstLineChars="200"/>
              <w:rPr>
                <w:bCs/>
              </w:rPr>
            </w:pPr>
            <w:r>
              <w:rPr>
                <w:rFonts w:hint="eastAsia"/>
                <w:bCs/>
              </w:rPr>
              <w:t>2、生态环境风险</w:t>
            </w:r>
          </w:p>
          <w:p w14:paraId="470F2A0D">
            <w:pPr>
              <w:spacing w:line="360" w:lineRule="auto"/>
              <w:ind w:firstLine="480" w:firstLineChars="200"/>
              <w:rPr>
                <w:bCs/>
              </w:rPr>
            </w:pPr>
            <w:r>
              <w:rPr>
                <w:rFonts w:hint="eastAsia"/>
                <w:bCs/>
              </w:rPr>
              <w:t>工程施工过程中未引入外来物种、不涉及植被种植，故不涉及有害物种入侵等生态安全风险隐患。</w:t>
            </w:r>
          </w:p>
          <w:p w14:paraId="2BCD0E90">
            <w:pPr>
              <w:spacing w:line="360" w:lineRule="auto"/>
              <w:ind w:firstLine="480" w:firstLineChars="200"/>
              <w:rPr>
                <w:bCs/>
              </w:rPr>
            </w:pPr>
            <w:r>
              <w:rPr>
                <w:rFonts w:hint="eastAsia"/>
                <w:bCs/>
              </w:rPr>
              <w:t>3、施工期燃油、废矿物质油等泄漏风险</w:t>
            </w:r>
          </w:p>
          <w:p w14:paraId="74B47BFB">
            <w:pPr>
              <w:spacing w:line="360" w:lineRule="auto"/>
              <w:ind w:firstLine="480" w:firstLineChars="200"/>
              <w:rPr>
                <w:bCs/>
              </w:rPr>
            </w:pPr>
            <w:r>
              <w:rPr>
                <w:rFonts w:hint="eastAsia"/>
                <w:bCs/>
              </w:rPr>
              <w:t>本项目防洪治理工程涉及机械主要采用柴油作为燃料，本项目涉及的危险性物质为施工挖掘设备事故过程中溢出的柴油，但由于单车携带的燃油总量有限（一般油箱不超过200L），其泄漏量一般较小。</w:t>
            </w:r>
          </w:p>
          <w:p w14:paraId="4B054BF0">
            <w:pPr>
              <w:spacing w:line="360" w:lineRule="auto"/>
              <w:ind w:firstLine="480" w:firstLineChars="200"/>
              <w:rPr>
                <w:bCs/>
              </w:rPr>
            </w:pPr>
            <w:r>
              <w:rPr>
                <w:rFonts w:hint="eastAsia"/>
                <w:bCs/>
              </w:rPr>
              <w:t>已采取措施：</w:t>
            </w:r>
          </w:p>
          <w:p w14:paraId="253F047D">
            <w:pPr>
              <w:spacing w:line="360" w:lineRule="auto"/>
              <w:ind w:firstLine="480" w:firstLineChars="200"/>
              <w:rPr>
                <w:bCs/>
              </w:rPr>
            </w:pPr>
            <w:r>
              <w:rPr>
                <w:rFonts w:hint="eastAsia"/>
                <w:bCs/>
              </w:rPr>
              <w:t>项目施工过程中已设置隔油、除油措施进行风险防范。</w:t>
            </w:r>
          </w:p>
          <w:p w14:paraId="7D9C0221">
            <w:pPr>
              <w:spacing w:line="360" w:lineRule="auto"/>
              <w:ind w:firstLine="480" w:firstLineChars="200"/>
              <w:rPr>
                <w:bCs/>
              </w:rPr>
            </w:pPr>
            <w:r>
              <w:rPr>
                <w:rFonts w:hint="eastAsia"/>
                <w:bCs/>
              </w:rPr>
              <w:t>存在问题：</w:t>
            </w:r>
          </w:p>
          <w:p w14:paraId="650A9A35">
            <w:pPr>
              <w:spacing w:line="360" w:lineRule="auto"/>
              <w:ind w:firstLine="480" w:firstLineChars="200"/>
            </w:pPr>
            <w:r>
              <w:rPr>
                <w:rFonts w:hint="eastAsia"/>
              </w:rPr>
              <w:t>施工期间无遗留环境问题，通过现场调查无油类污染情况发生。</w:t>
            </w:r>
          </w:p>
          <w:p w14:paraId="62CAC495">
            <w:pPr>
              <w:spacing w:line="360" w:lineRule="auto"/>
              <w:ind w:firstLine="480" w:firstLineChars="200"/>
            </w:pPr>
            <w:r>
              <w:rPr>
                <w:rFonts w:hint="eastAsia"/>
              </w:rPr>
              <w:t>整改措施：</w:t>
            </w:r>
          </w:p>
          <w:p w14:paraId="17E48676">
            <w:pPr>
              <w:spacing w:line="360" w:lineRule="auto"/>
              <w:ind w:firstLine="480" w:firstLineChars="200"/>
            </w:pPr>
            <w:r>
              <w:rPr>
                <w:rFonts w:hint="eastAsia"/>
              </w:rPr>
              <w:t>无。</w:t>
            </w:r>
          </w:p>
          <w:p w14:paraId="350719C9">
            <w:pPr>
              <w:spacing w:line="360" w:lineRule="auto"/>
              <w:rPr>
                <w:b/>
                <w:bCs/>
              </w:rPr>
            </w:pPr>
            <w:r>
              <w:rPr>
                <w:rFonts w:hint="eastAsia"/>
                <w:b/>
                <w:bCs/>
              </w:rPr>
              <w:t>七、施工期土壤环境影响分析</w:t>
            </w:r>
          </w:p>
          <w:p w14:paraId="6C750158">
            <w:pPr>
              <w:pStyle w:val="106"/>
            </w:pPr>
            <w:r>
              <w:rPr>
                <w:rFonts w:hint="eastAsia"/>
              </w:rPr>
              <w:t>工程建设对土壤环境的影响体现在：工程施工活动从根本上改变了地表覆盖物的类型和性质，改变了表层土壤的结构和物理性质。工程永久占地区域内的土壤将被部分河道、人工绿地、绿道等取代，土壤生产能力在施工阶段将基本丧失，土壤结构和理化性质发生改变。临时占地及工程施工活动区域，由于施工人员的践踏和施工机械的碾压，将造成如下影响：</w:t>
            </w:r>
          </w:p>
          <w:p w14:paraId="5FC17831">
            <w:pPr>
              <w:pStyle w:val="106"/>
            </w:pPr>
            <w:r>
              <w:rPr>
                <w:rFonts w:hint="eastAsia"/>
              </w:rPr>
              <w:t>（1）破坏土壤结构施工过程中对土地的开挖和填埋，容易破坏团粒结构，干扰团粒结构的自然形成过程，施工过程中的机械碾压、人员践踏等活动都会对土壤结构产生不良影响。</w:t>
            </w:r>
          </w:p>
          <w:p w14:paraId="1C2CC6F2">
            <w:pPr>
              <w:pStyle w:val="106"/>
            </w:pPr>
            <w:r>
              <w:rPr>
                <w:rFonts w:hint="eastAsia"/>
              </w:rPr>
              <w:t>（2）破坏土壤层次、改变土壤质地土壤在形成过程中具有一定的分层特性。工程开挖和回填过程中，必然会对土壤原有层次产生扰动和破坏，不同层次、不同质地的土体产生混合，特别是表层土壤被混合后，直接影响植物的生长和产量。</w:t>
            </w:r>
          </w:p>
          <w:p w14:paraId="7CD8EEE7">
            <w:pPr>
              <w:pStyle w:val="106"/>
            </w:pPr>
            <w:r>
              <w:rPr>
                <w:rFonts w:hint="eastAsia"/>
              </w:rPr>
              <w:t>（3）影响土壤的紧实度施工机械作业中，机械设备的碾压、施工人员的踩踏使土壤紧实度增高、影响地表水的入渗，土体过于紧实不利于作物的生长。</w:t>
            </w:r>
          </w:p>
          <w:p w14:paraId="29520E94">
            <w:pPr>
              <w:pStyle w:val="106"/>
            </w:pPr>
            <w:r>
              <w:rPr>
                <w:rFonts w:hint="eastAsia"/>
              </w:rPr>
              <w:t>（4）土壤养分流失全氨、全磷均较其他层次高。施工作业对原有的土体构型带来扰动，发生变化，土壤养分状况受到影响，从而影响植物的生长。</w:t>
            </w:r>
          </w:p>
          <w:p w14:paraId="4C060494">
            <w:pPr>
              <w:pStyle w:val="106"/>
            </w:pPr>
            <w:r>
              <w:rPr>
                <w:rFonts w:hint="eastAsia"/>
              </w:rPr>
              <w:t>（5）对土壤生物的影响土壤理化性质和土体构型的改变，会使土壤中的微生物、原生动物及其它节肢动物、环节动物、软体动物的栖息环境改变。由于本施工区无珍稀土壤生物，且施工结束后大部分区域恢复成人工绿地，所以土壤生物的生态平衡很快会恢复。</w:t>
            </w:r>
          </w:p>
          <w:p w14:paraId="1DEA802D">
            <w:pPr>
              <w:pStyle w:val="106"/>
            </w:pPr>
            <w:r>
              <w:rPr>
                <w:rFonts w:hint="eastAsia"/>
              </w:rPr>
              <w:t>已采取措施：</w:t>
            </w:r>
          </w:p>
          <w:p w14:paraId="48441317">
            <w:pPr>
              <w:pStyle w:val="106"/>
            </w:pPr>
            <w:r>
              <w:rPr>
                <w:rFonts w:hint="eastAsia"/>
              </w:rPr>
              <w:t>项目施工期已做好施工期污水处理设施等防渗工作，防止污水下渗对土壤造成影响。施工期间加强机械设备的维护保养，防止漏油。固体废物分类收集、安全处置。</w:t>
            </w:r>
          </w:p>
          <w:p w14:paraId="769D43E7">
            <w:pPr>
              <w:pStyle w:val="106"/>
            </w:pPr>
            <w:r>
              <w:rPr>
                <w:rFonts w:hint="eastAsia"/>
              </w:rPr>
              <w:t>存在问题：</w:t>
            </w:r>
          </w:p>
          <w:p w14:paraId="0A42DA00">
            <w:pPr>
              <w:spacing w:line="360" w:lineRule="auto"/>
              <w:ind w:firstLine="480" w:firstLineChars="200"/>
            </w:pPr>
            <w:r>
              <w:rPr>
                <w:rFonts w:hint="eastAsia"/>
              </w:rPr>
              <w:t>施工期间无遗留环境问题，通过现场调查无油类污染情况发生。</w:t>
            </w:r>
          </w:p>
          <w:p w14:paraId="41B1E6D3">
            <w:pPr>
              <w:pStyle w:val="106"/>
            </w:pPr>
            <w:r>
              <w:rPr>
                <w:rFonts w:hint="eastAsia"/>
              </w:rPr>
              <w:t>整改措施：</w:t>
            </w:r>
          </w:p>
          <w:p w14:paraId="60F108AA">
            <w:pPr>
              <w:pStyle w:val="106"/>
            </w:pPr>
            <w:r>
              <w:rPr>
                <w:rFonts w:hint="eastAsia"/>
              </w:rPr>
              <w:t>无。</w:t>
            </w:r>
          </w:p>
          <w:p w14:paraId="19E63DB3">
            <w:pPr>
              <w:pStyle w:val="106"/>
            </w:pPr>
            <w:r>
              <w:rPr>
                <w:rFonts w:hint="eastAsia"/>
                <w:color w:val="000000" w:themeColor="text1"/>
                <w14:textFill>
                  <w14:solidFill>
                    <w14:schemeClr w14:val="tx1"/>
                  </w14:solidFill>
                </w14:textFill>
              </w:rPr>
              <w:t>本项目对河道砂砾石开挖及整治将改善河道水质，</w:t>
            </w:r>
            <w:r>
              <w:rPr>
                <w:rFonts w:hint="eastAsia"/>
              </w:rPr>
              <w:t>降低对地下水及土壤环境污染影响。施工区隔油沉淀池采取防渗措施，且是临时建筑，能有效防止对地下水和土壤环境的不利影响。总体而言本项目属于山洪沟治理项目，对土壤环境改善有利。</w:t>
            </w:r>
          </w:p>
          <w:p w14:paraId="30D9AAA2">
            <w:pPr>
              <w:spacing w:line="360" w:lineRule="auto"/>
              <w:rPr>
                <w:b/>
                <w:bCs/>
              </w:rPr>
            </w:pPr>
            <w:r>
              <w:rPr>
                <w:rFonts w:hint="eastAsia"/>
                <w:b/>
                <w:bCs/>
              </w:rPr>
              <w:t>八、社会环境影响分析</w:t>
            </w:r>
          </w:p>
          <w:p w14:paraId="2973E1F1">
            <w:pPr>
              <w:pStyle w:val="106"/>
              <w:ind w:firstLine="482"/>
              <w:rPr>
                <w:b/>
                <w:bCs/>
              </w:rPr>
            </w:pPr>
            <w:r>
              <w:rPr>
                <w:rFonts w:hint="eastAsia"/>
                <w:b/>
                <w:bCs/>
              </w:rPr>
              <w:t>1、施工期交通影响</w:t>
            </w:r>
          </w:p>
          <w:p w14:paraId="5DAFB344">
            <w:pPr>
              <w:pStyle w:val="106"/>
            </w:pPr>
            <w:r>
              <w:rPr>
                <w:rFonts w:hint="eastAsia"/>
              </w:rPr>
              <w:t>经过调查，项目施工过程中合理组织施工，提高管理效率、缩短施工工期，合理有效进行施工期间的交通组织，制定切实可行的交通应急预案，积极配合交管部门加强施工路段的交通管理，确保交通畅通，将项目施工对当地居民出行和交通运输造成的影响降到最低。本项目施工过程中，未发生妨碍施工区域及附近的车辆正常通行，未发生交通堵塞。</w:t>
            </w:r>
          </w:p>
          <w:p w14:paraId="387D13F1">
            <w:pPr>
              <w:pStyle w:val="106"/>
              <w:ind w:firstLine="482"/>
              <w:rPr>
                <w:b/>
                <w:bCs/>
              </w:rPr>
            </w:pPr>
            <w:r>
              <w:rPr>
                <w:rFonts w:hint="eastAsia"/>
                <w:b/>
                <w:bCs/>
              </w:rPr>
              <w:t>2、施工对当地居民的影响</w:t>
            </w:r>
          </w:p>
          <w:p w14:paraId="3172CF08">
            <w:pPr>
              <w:pStyle w:val="106"/>
            </w:pPr>
            <w:r>
              <w:rPr>
                <w:rFonts w:hint="eastAsia"/>
              </w:rPr>
              <w:t>本项目位于磨西镇柏秧村场镇周边，居民居住较集中，项目的施工在一定程度上会影响附近居民的日常生活。在过程中施工单位采用分阶段施工方式，在保证施工质量的前提下，尽量缩短施工周期，减轻对施工场地附近居民的影响。</w:t>
            </w:r>
          </w:p>
          <w:p w14:paraId="1C7D2E84">
            <w:pPr>
              <w:pStyle w:val="106"/>
            </w:pPr>
            <w:r>
              <w:rPr>
                <w:rFonts w:hint="eastAsia"/>
              </w:rPr>
              <w:t>工程的建设需要大量的人力物力支持，可适当拉动当地建材、建筑及与之配套相关行业的发展，并可增加就业人口，吸收当地剩余劳动力，就近解决劳动生产问题，对地方经济有一定的促进作用。</w:t>
            </w:r>
          </w:p>
        </w:tc>
      </w:tr>
      <w:tr w14:paraId="56B7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0" w:type="dxa"/>
            <w:vAlign w:val="center"/>
          </w:tcPr>
          <w:p w14:paraId="637979FC">
            <w:pPr>
              <w:spacing w:line="360" w:lineRule="auto"/>
              <w:jc w:val="center"/>
            </w:pPr>
            <w:r>
              <w:rPr>
                <w:rFonts w:hint="eastAsia"/>
                <w:b/>
                <w:bCs/>
              </w:rPr>
              <w:t>运营期生态环境影响分析</w:t>
            </w:r>
          </w:p>
        </w:tc>
        <w:tc>
          <w:tcPr>
            <w:tcW w:w="9262" w:type="dxa"/>
            <w:vAlign w:val="center"/>
          </w:tcPr>
          <w:p w14:paraId="4649A3B2">
            <w:pPr>
              <w:pStyle w:val="106"/>
            </w:pPr>
            <w:r>
              <w:rPr>
                <w:rFonts w:hint="eastAsia"/>
              </w:rPr>
              <w:t>本项目为非污染生态类项目，项目主要污染工序分布在施工期，项目竣工建成投入运营后，由于工程施工对水环境、大气和声环境的暂时影响将会得到恢复，施工扰动区域将随施工结束逐步恢复原有地表状态，工程设施不产生污染物。</w:t>
            </w:r>
          </w:p>
          <w:p w14:paraId="1219B3C4">
            <w:pPr>
              <w:pStyle w:val="106"/>
              <w:ind w:firstLine="0" w:firstLineChars="0"/>
              <w:rPr>
                <w:b/>
                <w:bCs/>
              </w:rPr>
            </w:pPr>
            <w:r>
              <w:rPr>
                <w:rFonts w:hint="eastAsia"/>
                <w:b/>
                <w:bCs/>
              </w:rPr>
              <w:t>一、运营期对生态环境的影响</w:t>
            </w:r>
          </w:p>
          <w:p w14:paraId="7F122058">
            <w:pPr>
              <w:pStyle w:val="106"/>
              <w:ind w:firstLine="482"/>
              <w:rPr>
                <w:b/>
                <w:bCs/>
              </w:rPr>
            </w:pPr>
            <w:r>
              <w:rPr>
                <w:rFonts w:hint="eastAsia"/>
                <w:b/>
                <w:bCs/>
              </w:rPr>
              <w:t>1、对陆生生态的影响</w:t>
            </w:r>
          </w:p>
          <w:p w14:paraId="756FCE5F">
            <w:pPr>
              <w:pStyle w:val="106"/>
            </w:pPr>
            <w:r>
              <w:rPr>
                <w:rFonts w:hint="eastAsia"/>
              </w:rPr>
              <w:t>本项目建成后，主要是原有陆生生态变化不大，无土地利用性质的变化。本项目区域生物量不大，项目建成后，区域内的陆生生物会向周围其他生态环境迁徙。项目建成初期可能导致区域部分陆生动物数量减少，但很快会得到恢复，重新实现生态平衡。</w:t>
            </w:r>
          </w:p>
          <w:p w14:paraId="5D4CFCD5">
            <w:pPr>
              <w:pStyle w:val="106"/>
              <w:ind w:firstLine="482"/>
              <w:rPr>
                <w:b/>
                <w:bCs/>
              </w:rPr>
            </w:pPr>
            <w:r>
              <w:rPr>
                <w:rFonts w:hint="eastAsia"/>
                <w:b/>
                <w:bCs/>
              </w:rPr>
              <w:t>2、对水生生态的影响</w:t>
            </w:r>
          </w:p>
          <w:p w14:paraId="6D8C6DFD">
            <w:pPr>
              <w:pStyle w:val="106"/>
            </w:pPr>
            <w:r>
              <w:rPr>
                <w:rFonts w:hint="eastAsia"/>
              </w:rPr>
              <w:t>据现场调查本项目海螺沟水生生物主要为浮游生物、底栖生物等，无鱼类。本项目建成后，对于水生生物而言，会提供较稳定的生存环境，区域内的水生生物将增加。</w:t>
            </w:r>
          </w:p>
          <w:p w14:paraId="3F64715B">
            <w:pPr>
              <w:pStyle w:val="106"/>
              <w:ind w:firstLine="0" w:firstLineChars="0"/>
              <w:rPr>
                <w:b/>
                <w:bCs/>
              </w:rPr>
            </w:pPr>
            <w:r>
              <w:rPr>
                <w:rFonts w:hint="eastAsia"/>
                <w:b/>
                <w:bCs/>
              </w:rPr>
              <w:t>二、运营期对水文情势的影响</w:t>
            </w:r>
          </w:p>
          <w:p w14:paraId="0B5D8003">
            <w:pPr>
              <w:pStyle w:val="106"/>
              <w:ind w:firstLine="482"/>
              <w:rPr>
                <w:b/>
                <w:bCs/>
              </w:rPr>
            </w:pPr>
            <w:r>
              <w:rPr>
                <w:rFonts w:hint="eastAsia"/>
                <w:b/>
                <w:bCs/>
              </w:rPr>
              <w:t>1、对沟势稳定和行洪的影响</w:t>
            </w:r>
          </w:p>
          <w:p w14:paraId="1D049F4D">
            <w:pPr>
              <w:pStyle w:val="106"/>
            </w:pPr>
            <w:r>
              <w:rPr>
                <w:rFonts w:hint="eastAsia"/>
              </w:rPr>
              <w:t>本项目堤线基本上是沿原岸线布置，堤线未侵占行洪断面，大部分沟段为天然沟岸，堤防建成后维持了现状行洪沟道的基本格局。工程对沟道进行了清理，增加沟道的行洪能力，对沟道的水位、流量、流速都为正面影响。防洪堤建成后，由于防洪堤的抗冲性能较强，对岸坡起到保护作用，更有利于沟势的稳定。</w:t>
            </w:r>
          </w:p>
          <w:p w14:paraId="556006E4">
            <w:pPr>
              <w:pStyle w:val="106"/>
            </w:pPr>
            <w:r>
              <w:rPr>
                <w:rFonts w:hint="eastAsia"/>
              </w:rPr>
              <w:t>沟道经过防洪堤建设和整治，水流顺畅，沟道行洪顶冲段消除，改变了洪水原有的流态，洪水主流沿沟道中泓线顺畅宣泄，减少了对两岸防洪堤护坡的冲击，稳定了沟势，有利于沟段沟槽的再造和行洪安全。</w:t>
            </w:r>
          </w:p>
          <w:p w14:paraId="5FF54253">
            <w:pPr>
              <w:pStyle w:val="106"/>
              <w:ind w:firstLine="482"/>
              <w:rPr>
                <w:b/>
                <w:bCs/>
              </w:rPr>
            </w:pPr>
            <w:r>
              <w:rPr>
                <w:rFonts w:hint="eastAsia"/>
                <w:b/>
                <w:bCs/>
              </w:rPr>
              <w:t>2、对水位的影响</w:t>
            </w:r>
          </w:p>
          <w:p w14:paraId="5EFE60C3">
            <w:pPr>
              <w:pStyle w:val="106"/>
            </w:pPr>
            <w:r>
              <w:rPr>
                <w:rFonts w:hint="eastAsia"/>
              </w:rPr>
              <w:t>据现场调查本项目侯家沟常年处于有水状态，本项目建成后，使得沟道的过流能力得到提高。本项目对水位的影响是正面的。</w:t>
            </w:r>
          </w:p>
          <w:p w14:paraId="5FD30748">
            <w:pPr>
              <w:pStyle w:val="106"/>
              <w:ind w:firstLine="482"/>
              <w:rPr>
                <w:b/>
                <w:bCs/>
              </w:rPr>
            </w:pPr>
            <w:r>
              <w:rPr>
                <w:rFonts w:hint="eastAsia"/>
                <w:b/>
                <w:bCs/>
              </w:rPr>
              <w:t>3、对泥沙情势的影响</w:t>
            </w:r>
          </w:p>
          <w:p w14:paraId="3DCB4B52">
            <w:pPr>
              <w:pStyle w:val="106"/>
            </w:pPr>
            <w:r>
              <w:rPr>
                <w:rFonts w:hint="eastAsia"/>
              </w:rPr>
              <w:t>本项目区上游沟段岸坡较陡，田少坡多，植被覆盖好，沟流输沙已逐渐趋于天然状态，泥沙主要来源于雨水冲刷地表，主要集中在汛期及大洪水期。经分析，工程处的多年平均输沙量为25.81万t，其中：悬移质输沙量为19.85万t，推移质沙量为5.96万t。本项目建成后，沟道两岸结构形式发生改变，本项目能够减少沟水对两岸的冲刷，沟道泥沙会减少，减少下游冲淤。因此，总体而言，本项目的建设会减少区域沟段输沙量，对沟道泥沙情势有正效益。</w:t>
            </w:r>
          </w:p>
          <w:p w14:paraId="3B154D6D">
            <w:pPr>
              <w:pStyle w:val="106"/>
              <w:ind w:firstLine="482"/>
              <w:rPr>
                <w:b/>
                <w:bCs/>
              </w:rPr>
            </w:pPr>
            <w:r>
              <w:rPr>
                <w:rFonts w:hint="eastAsia"/>
                <w:b/>
                <w:bCs/>
              </w:rPr>
              <w:t>4、对水文情势的影响</w:t>
            </w:r>
          </w:p>
          <w:p w14:paraId="3B4810C3">
            <w:pPr>
              <w:pStyle w:val="106"/>
              <w:rPr>
                <w:b/>
                <w:bCs/>
              </w:rPr>
            </w:pPr>
            <w:r>
              <w:rPr>
                <w:rFonts w:hint="eastAsia"/>
              </w:rPr>
              <w:t>本项目岸线的确定是充分考虑了水流的规律，与沟势流向相适应。项目在原有河道内建设，未改变主河道比降；工程按合理稳定河槽宽度</w:t>
            </w:r>
            <w:r>
              <w:rPr>
                <w:rFonts w:hint="eastAsia"/>
                <w:color w:val="000000" w:themeColor="text1"/>
                <w14:textFill>
                  <w14:solidFill>
                    <w14:schemeClr w14:val="tx1"/>
                  </w14:solidFill>
                </w14:textFill>
              </w:rPr>
              <w:t>对河道进行整治，</w:t>
            </w:r>
            <w:r>
              <w:rPr>
                <w:rFonts w:hint="eastAsia"/>
              </w:rPr>
              <w:t>河道过水断面面积增加，洪泛期洪水水位下降；新建护脚堤防、丁坝、固床梁等建筑物引导水流平顺归槽，减轻洪水对两岸冲刷；工程建成后维持了现状行洪沟道的基本格局，对河道水文情势的影响为有利影响。</w:t>
            </w:r>
          </w:p>
        </w:tc>
      </w:tr>
      <w:tr w14:paraId="7409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0" w:type="dxa"/>
            <w:vAlign w:val="center"/>
          </w:tcPr>
          <w:p w14:paraId="63FC475C">
            <w:pPr>
              <w:spacing w:line="360" w:lineRule="auto"/>
              <w:jc w:val="center"/>
            </w:pPr>
            <w:r>
              <w:rPr>
                <w:rFonts w:hint="eastAsia"/>
                <w:b/>
              </w:rPr>
              <w:t>选址选线环境合理性分析</w:t>
            </w:r>
          </w:p>
        </w:tc>
        <w:tc>
          <w:tcPr>
            <w:tcW w:w="9262" w:type="dxa"/>
            <w:vAlign w:val="center"/>
          </w:tcPr>
          <w:p w14:paraId="604A85B6">
            <w:pPr>
              <w:spacing w:line="360" w:lineRule="auto"/>
              <w:ind w:firstLine="482"/>
              <w:rPr>
                <w:b/>
                <w:bCs/>
              </w:rPr>
            </w:pPr>
            <w:r>
              <w:rPr>
                <w:rFonts w:hint="eastAsia"/>
                <w:b/>
                <w:bCs/>
              </w:rPr>
              <w:t>1、项目选线合理性分析</w:t>
            </w:r>
          </w:p>
          <w:p w14:paraId="25F88989">
            <w:pPr>
              <w:spacing w:line="360" w:lineRule="auto"/>
              <w:ind w:firstLine="482"/>
            </w:pPr>
            <w:r>
              <w:rPr>
                <w:rFonts w:hint="eastAsia"/>
              </w:rPr>
              <w:t>根据资料分析及现场踏勘，本项目沿线200m范围内的敏感点主要为居民区，项目不涉及生态保护红线，项目沿线不涉及自然保护区、风景名胜区、饮用水源取水口、饮用水源保护区等环境敏感区，项目涉及国家森林公园、国家地质公园等自然公园，但不涉及核心保护区，无明显的环境制约因素。项目用电量较小，就近接引当地电网，能满足项目用电需求，沿线道路通畅，交通便利，建筑材料及其运输都十分方便。再采取相应的废水、废气、固废、噪声等治理措施，可将项目对周边的影响降至最小。</w:t>
            </w:r>
          </w:p>
          <w:p w14:paraId="4AC10E42">
            <w:pPr>
              <w:spacing w:line="360" w:lineRule="auto"/>
              <w:ind w:firstLine="482"/>
            </w:pPr>
            <w:r>
              <w:rPr>
                <w:rFonts w:hint="eastAsia"/>
              </w:rPr>
              <w:t>本项目选线唯一，是针对海螺沟防洪治理工程，无相关比选方案。因此，项目外环境不存在明显的环境制约因素，本项目建设选线合理。</w:t>
            </w:r>
          </w:p>
          <w:p w14:paraId="6B4CCA5F">
            <w:pPr>
              <w:spacing w:line="360" w:lineRule="auto"/>
              <w:ind w:firstLine="482"/>
              <w:rPr>
                <w:b/>
                <w:bCs/>
              </w:rPr>
            </w:pPr>
            <w:r>
              <w:rPr>
                <w:rFonts w:hint="eastAsia"/>
                <w:b/>
                <w:bCs/>
              </w:rPr>
              <w:t>2、临时用地选址合理性分析</w:t>
            </w:r>
          </w:p>
          <w:p w14:paraId="7BFC9AE4">
            <w:pPr>
              <w:spacing w:line="360" w:lineRule="auto"/>
              <w:ind w:firstLine="482"/>
            </w:pPr>
            <w:r>
              <w:rPr>
                <w:rFonts w:hint="eastAsia"/>
              </w:rPr>
              <w:t>项目施工临时工程施工营地租用附近民房；临时道路以建设区现有道路为基础，不涉及施工便道；建材外购，不涉及建设料场；施工过程无借方、弃方产生，不设置弃土场。</w:t>
            </w:r>
          </w:p>
          <w:p w14:paraId="24CF0AC0">
            <w:pPr>
              <w:spacing w:line="360" w:lineRule="auto"/>
              <w:ind w:firstLine="482"/>
            </w:pPr>
            <w:r>
              <w:rPr>
                <w:rFonts w:hint="eastAsia"/>
              </w:rPr>
              <w:t>本项目设置1个施工场地，施工场地主要用于材料存放、钢筋木材加工、机械停放等。本项目施工工区占地类型为商服用地。施工工区临近道路，交通方便。施工工区距离最近的敏感点为柏秧坪村居民，采取相应的措施后，可将项目对敏感点影响降至最小。</w:t>
            </w:r>
          </w:p>
          <w:p w14:paraId="35DC2D36">
            <w:pPr>
              <w:spacing w:line="360" w:lineRule="auto"/>
              <w:ind w:firstLine="482"/>
            </w:pPr>
            <w:r>
              <w:rPr>
                <w:rFonts w:hint="eastAsia"/>
              </w:rPr>
              <w:t>施工期间挖掘机、推土机、自卸汽车等机械车辆仅在早、晚期间进出施工机械停放场，产生的扬尘、噪声影响时段较短，通过洒水降尘、合理安排施工时间，禁止夜间施工等措施降低施工机械进出施工区对周边居民、大气环境及周边声环境的影响，施工人员产生的生活污水通过租赁民房现有污水处理设施处理后用作农肥不外排，施工工区废水通过设置沉淀池循环使用不外排。施工区产生的生活垃圾交由环卫部门定期清运处置。</w:t>
            </w:r>
          </w:p>
          <w:p w14:paraId="5ABF32B4">
            <w:pPr>
              <w:adjustRightInd w:val="0"/>
              <w:snapToGrid w:val="0"/>
              <w:spacing w:line="360" w:lineRule="auto"/>
              <w:ind w:firstLine="480" w:firstLineChars="200"/>
              <w:rPr>
                <w:b/>
                <w:bCs/>
              </w:rPr>
            </w:pPr>
            <w:r>
              <w:rPr>
                <w:rFonts w:hint="eastAsia"/>
              </w:rPr>
              <w:t>综上，本项目建设无制约性因素，选址合理。</w:t>
            </w:r>
          </w:p>
        </w:tc>
      </w:tr>
    </w:tbl>
    <w:p w14:paraId="19184466">
      <w:pPr>
        <w:spacing w:line="360" w:lineRule="auto"/>
        <w:rPr>
          <w:b/>
          <w:sz w:val="28"/>
          <w:szCs w:val="28"/>
        </w:rPr>
        <w:sectPr>
          <w:pgSz w:w="11906" w:h="16838"/>
          <w:pgMar w:top="1440" w:right="1080" w:bottom="1440" w:left="1080" w:header="851" w:footer="992" w:gutter="0"/>
          <w:cols w:space="720" w:num="1"/>
          <w:docGrid w:type="lines" w:linePitch="312" w:charSpace="0"/>
        </w:sectPr>
      </w:pPr>
    </w:p>
    <w:p w14:paraId="26000D28">
      <w:pPr>
        <w:pStyle w:val="52"/>
        <w:jc w:val="center"/>
        <w:rPr>
          <w:rFonts w:eastAsia="黑体"/>
          <w:b w:val="0"/>
          <w:sz w:val="30"/>
          <w:szCs w:val="30"/>
        </w:rPr>
      </w:pPr>
      <w:bookmarkStart w:id="8" w:name="_Toc32515"/>
      <w:bookmarkStart w:id="9" w:name="_Toc11493"/>
      <w:r>
        <w:rPr>
          <w:rFonts w:hint="eastAsia" w:eastAsia="黑体"/>
          <w:b w:val="0"/>
          <w:sz w:val="30"/>
          <w:szCs w:val="30"/>
        </w:rPr>
        <w:t>五、主要生态环境保护措施</w:t>
      </w:r>
      <w:bookmarkEnd w:id="8"/>
    </w:p>
    <w:tbl>
      <w:tblPr>
        <w:tblStyle w:val="28"/>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9262"/>
      </w:tblGrid>
      <w:tr w14:paraId="50C4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0" w:type="dxa"/>
            <w:vAlign w:val="center"/>
          </w:tcPr>
          <w:p w14:paraId="6B0573C6">
            <w:pPr>
              <w:spacing w:line="360" w:lineRule="auto"/>
              <w:jc w:val="center"/>
              <w:rPr>
                <w:b/>
                <w:bCs/>
              </w:rPr>
            </w:pPr>
            <w:r>
              <w:rPr>
                <w:rFonts w:hint="eastAsia"/>
                <w:b/>
                <w:bCs/>
              </w:rPr>
              <w:t>施工期生态环境保护措施</w:t>
            </w:r>
          </w:p>
        </w:tc>
        <w:tc>
          <w:tcPr>
            <w:tcW w:w="9262" w:type="dxa"/>
            <w:vAlign w:val="center"/>
          </w:tcPr>
          <w:p w14:paraId="4B376545">
            <w:pPr>
              <w:pStyle w:val="106"/>
            </w:pPr>
            <w:r>
              <w:rPr>
                <w:rFonts w:hint="eastAsia"/>
              </w:rPr>
              <w:t>本项目为山洪沟治理工程，在未办理环评审批手续前擅自开工建设，属于未批先建。项目建设过程中，建设单位已主动落实各项生态环境保护与污染防治措施，施工期严格控制扬尘、噪声及废水排放，</w:t>
            </w:r>
            <w:r>
              <w:rPr>
                <w:rFonts w:hint="eastAsia"/>
                <w:color w:val="000000" w:themeColor="text1"/>
                <w14:textFill>
                  <w14:solidFill>
                    <w14:schemeClr w14:val="tx1"/>
                  </w14:solidFill>
                </w14:textFill>
              </w:rPr>
              <w:t>河道砂砾石开挖料及建筑垃圾均规范收集、</w:t>
            </w:r>
            <w:r>
              <w:rPr>
                <w:rFonts w:hint="eastAsia"/>
              </w:rPr>
              <w:t>合理处置，未随意倾倒堆放；针对河道水生生态及岸带植被采取了临时保护措施，有效降低施工扰动对生态环境的影响。目前工程已建设完成，现场无施工废料遗留，无污水直排、扬尘污染及固废堆存等现象，不存在土壤、水体及生态环境污染遗留问题，对区域生态环境未造成明显不利影响，生态环境可得到逐步恢复。</w:t>
            </w:r>
          </w:p>
          <w:p w14:paraId="2734E91A">
            <w:pPr>
              <w:pStyle w:val="106"/>
            </w:pPr>
            <w:r>
              <w:rPr>
                <w:rFonts w:hint="eastAsia"/>
              </w:rPr>
              <w:t>一、大气环境保护措施：本项目施工期间施工现场设置了围挡墙；在基础开挖过程中若出现四级及以上风力天气情况禁止进行土石方施工，在土石方装卸时降低料斗高度，减少卸料落差，同时对地面进行洒水，减少扬尘产生。</w:t>
            </w:r>
            <w:r>
              <w:rPr>
                <w:rFonts w:hint="eastAsia"/>
                <w:kern w:val="0"/>
              </w:rPr>
              <w:t>采取洒水降尘作业，并对裸露区域遮盖密目防尘网，定期洒水降尘，大风天暂停作业，减轻了施工扬尘对周围的影响。</w:t>
            </w:r>
            <w:r>
              <w:rPr>
                <w:rFonts w:hint="eastAsia"/>
              </w:rPr>
              <w:t>施工期间运输道路定期洒水清扫、加盖篷布运输，运输车辆尽可能减缓行驶速度，避免对交通道路造成扬尘污染。</w:t>
            </w:r>
          </w:p>
          <w:p w14:paraId="19408FCF">
            <w:pPr>
              <w:pStyle w:val="106"/>
            </w:pPr>
            <w:r>
              <w:rPr>
                <w:rFonts w:hint="eastAsia"/>
              </w:rPr>
              <w:t>二、陆生生态保护措施：严格控制了施工占地范围，施工活动限制在河道管理范围及施工场地红线以内，禁止越界扰动；施工机械车辆固定行驶路线，禁止乱压乱碾；施工结束后已对施工场地、临时堆料区进行场地清理和平整；加强施工人员生态保护宣传教育，严禁捕猎野生动物、破坏岸带植被。工程占地区域为水域及水利设施用地和商服用地，未占用耕地、林地。三、水生生态与水岸生态保护与恢复措施：施工安排在2025年9月至次年1月（枯水期），采用围堰导流、分段施工，减少涉水作业时间；施工废水经沉淀处理后回用或达标排放，未排入河道；施工弃渣、建筑垃圾及生活垃圾等严禁倾倒入河，统一收集外运处置；加强施工机械维护保养，防止油类泄漏污染水体；施工结束后拆除了围堰等临时建筑物，清除了河道内残留弃渣，恢复河道过水断面，保持岸坡稳定与水流畅通；通过设置宣传牌、开展培训等方式加强施工人员水生生物保护意识，不捕捞、不惊扰水生生物。</w:t>
            </w:r>
          </w:p>
          <w:p w14:paraId="7966C3EB">
            <w:pPr>
              <w:pStyle w:val="106"/>
            </w:pPr>
            <w:r>
              <w:rPr>
                <w:rFonts w:hint="eastAsia"/>
              </w:rPr>
              <w:t>四、底栖生物保护措施：评价河段底栖动物种类简单、现存量低，均为水生昆虫及幼虫，多分布于上游急流段；本项目为河道治理工程，</w:t>
            </w:r>
            <w:r>
              <w:rPr>
                <w:rFonts w:hint="eastAsia"/>
                <w:color w:val="000000" w:themeColor="text1"/>
                <w14:textFill>
                  <w14:solidFill>
                    <w14:schemeClr w14:val="tx1"/>
                  </w14:solidFill>
                </w14:textFill>
              </w:rPr>
              <w:t>仅对淤积砂卵石进行开挖清理并新建护脚</w:t>
            </w:r>
            <w:r>
              <w:rPr>
                <w:rFonts w:hint="eastAsia"/>
              </w:rPr>
              <w:t>、固床梁等，施工范围有限，底栖生物受影响区域较小，且周边同类生境分布广泛，可通过上游迁移自然补充。施工期间控制了施工范围与开挖深度，避免大面积扰动河床底质；施工废水沉淀处理后排放，减少了悬浮物对底栖生物的影响；施工结束后尽快恢复河床自然形态，为底栖生物提供适宜生境。据水生生物影响专题评价结论，底栖动物生物量、密度、种群结构可在1～2年内恢复。</w:t>
            </w:r>
          </w:p>
          <w:p w14:paraId="76771098">
            <w:pPr>
              <w:pStyle w:val="106"/>
            </w:pPr>
            <w:r>
              <w:rPr>
                <w:rFonts w:hint="eastAsia"/>
              </w:rPr>
              <w:t>五、鱼类及“三场”保护：根据《泸定县海螺沟山洪沟（共和村、柏秧坪村段）治理工程对水生生物影响及补救措施专题评价报告》及甘孜州农牧农村局审查意见（甘农牧函〔2026〕144号），工程评价范围内不涉及鱼类产卵场、索饵场、越冬场“三场”及洄游通道，不涉及珍稀濒危保护野生鱼类和珍稀水生植物。建设单位按审查意见要求开展水生生物保护宣传、鱼类保护巡护监管，后续与当地渔业渔政主管部门签订水生生态补偿协议，相关资料报渔业主管部门备案。</w:t>
            </w:r>
          </w:p>
        </w:tc>
      </w:tr>
      <w:tr w14:paraId="6689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480" w:type="dxa"/>
            <w:vAlign w:val="center"/>
          </w:tcPr>
          <w:p w14:paraId="1F317029">
            <w:pPr>
              <w:spacing w:line="360" w:lineRule="auto"/>
              <w:jc w:val="center"/>
              <w:rPr>
                <w:b/>
                <w:bCs/>
              </w:rPr>
            </w:pPr>
            <w:r>
              <w:rPr>
                <w:rFonts w:hint="eastAsia"/>
                <w:b/>
                <w:bCs/>
              </w:rPr>
              <w:t>运营期生态环境保护措施</w:t>
            </w:r>
          </w:p>
        </w:tc>
        <w:tc>
          <w:tcPr>
            <w:tcW w:w="9262" w:type="dxa"/>
            <w:vAlign w:val="center"/>
          </w:tcPr>
          <w:p w14:paraId="46A88599">
            <w:pPr>
              <w:spacing w:line="360" w:lineRule="auto"/>
              <w:ind w:firstLine="480" w:firstLineChars="200"/>
            </w:pPr>
            <w:r>
              <w:rPr>
                <w:rFonts w:hint="eastAsia"/>
              </w:rPr>
              <w:t>本项目运营期不涉及产污，也不会对生态环境造成持续影响。</w:t>
            </w:r>
          </w:p>
          <w:p w14:paraId="4A1A1AF8">
            <w:pPr>
              <w:spacing w:line="360" w:lineRule="auto"/>
              <w:ind w:firstLine="480" w:firstLineChars="200"/>
            </w:pPr>
            <w:r>
              <w:rPr>
                <w:rFonts w:hint="eastAsia"/>
              </w:rPr>
              <w:t>本项目作为防洪工程，营运期有极小的溃堤风险，建设单位应对项目设计、施工提出严格要求，确保工程质量，并加强运营期监管和维护建（构）筑物运行和安全水平，定期进行观测，确保长期发挥防洪功能。</w:t>
            </w:r>
          </w:p>
        </w:tc>
      </w:tr>
      <w:tr w14:paraId="44C6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0" w:type="dxa"/>
            <w:vAlign w:val="center"/>
          </w:tcPr>
          <w:p w14:paraId="424785F4">
            <w:pPr>
              <w:spacing w:line="360" w:lineRule="auto"/>
              <w:jc w:val="center"/>
              <w:rPr>
                <w:b/>
                <w:bCs/>
              </w:rPr>
            </w:pPr>
            <w:r>
              <w:rPr>
                <w:rFonts w:hint="eastAsia"/>
                <w:b/>
                <w:bCs/>
              </w:rPr>
              <w:t>其他</w:t>
            </w:r>
          </w:p>
        </w:tc>
        <w:tc>
          <w:tcPr>
            <w:tcW w:w="9262" w:type="dxa"/>
            <w:vAlign w:val="center"/>
          </w:tcPr>
          <w:p w14:paraId="4CEABC9A">
            <w:pPr>
              <w:spacing w:line="360" w:lineRule="auto"/>
              <w:ind w:firstLine="482" w:firstLineChars="200"/>
              <w:rPr>
                <w:b/>
                <w:bCs/>
              </w:rPr>
            </w:pPr>
            <w:r>
              <w:rPr>
                <w:rFonts w:hint="eastAsia"/>
                <w:b/>
                <w:bCs/>
              </w:rPr>
              <w:t>一、环境管理</w:t>
            </w:r>
          </w:p>
          <w:p w14:paraId="64524D6A">
            <w:pPr>
              <w:spacing w:line="360" w:lineRule="auto"/>
              <w:ind w:firstLine="480" w:firstLineChars="200"/>
            </w:pPr>
            <w:r>
              <w:rPr>
                <w:rFonts w:hint="eastAsia"/>
              </w:rPr>
              <w:t>建设单位已配备环保管理人员，负责环境管理工作，加强对山洪沟治理各项环境保护措施的监测、检查和验收，着重做好环境管理工作，加强环保法规教育和技术培训，组织落实各项环境监测计划、各项环境保护措施，积累环境资料，规范各项环境管理制度。</w:t>
            </w:r>
          </w:p>
          <w:p w14:paraId="4470C3CF">
            <w:pPr>
              <w:spacing w:line="360" w:lineRule="auto"/>
              <w:ind w:firstLine="482" w:firstLineChars="200"/>
              <w:rPr>
                <w:b/>
                <w:bCs/>
              </w:rPr>
            </w:pPr>
            <w:r>
              <w:rPr>
                <w:rFonts w:hint="eastAsia"/>
                <w:b/>
                <w:bCs/>
              </w:rPr>
              <w:t>二、竣工环境保护验收要求</w:t>
            </w:r>
          </w:p>
          <w:p w14:paraId="3514B00C">
            <w:pPr>
              <w:spacing w:line="360" w:lineRule="auto"/>
              <w:ind w:firstLine="480" w:firstLineChars="200"/>
            </w:pPr>
            <w:r>
              <w:rPr>
                <w:rFonts w:hint="eastAsia"/>
              </w:rPr>
              <w:t>建设项目竣工后，建设单位应该按照《建设项目竣工环境保护验收暂行办法》（国环规环评〔2017〕4号）、《建设项目竣工环境保护验收技术规范 生态影响类》（HJ/T394-2007）等要求组织进行验收，编制验收调查报告。</w:t>
            </w:r>
          </w:p>
          <w:p w14:paraId="75B279A6">
            <w:pPr>
              <w:spacing w:line="360" w:lineRule="auto"/>
              <w:ind w:firstLine="482" w:firstLineChars="200"/>
              <w:rPr>
                <w:b/>
                <w:bCs/>
              </w:rPr>
            </w:pPr>
            <w:r>
              <w:rPr>
                <w:rFonts w:hint="eastAsia"/>
                <w:b/>
                <w:bCs/>
              </w:rPr>
              <w:t>三、环境监测计划</w:t>
            </w:r>
          </w:p>
          <w:p w14:paraId="5AF1C579">
            <w:pPr>
              <w:spacing w:line="360" w:lineRule="auto"/>
              <w:ind w:firstLine="480" w:firstLineChars="200"/>
            </w:pPr>
            <w:r>
              <w:rPr>
                <w:rFonts w:hint="eastAsia"/>
              </w:rPr>
              <w:t>项目施工期已完成，根据现场踏勘，现场无遗留环境问题，建设单位严格执行了相应的施工期环境保护措施，本次评价不再列举施工期环境监测计划。</w:t>
            </w:r>
          </w:p>
          <w:p w14:paraId="083189A7">
            <w:pPr>
              <w:spacing w:line="360" w:lineRule="auto"/>
              <w:ind w:firstLine="480" w:firstLineChars="200"/>
            </w:pPr>
            <w:r>
              <w:rPr>
                <w:rFonts w:hint="eastAsia"/>
              </w:rPr>
              <w:t>运营期监测计划</w:t>
            </w:r>
            <w:r>
              <w:t>依据《中华人民共和国渔业法》和《四川省&lt;中华人民共和国渔业法&gt;实施办法》、以及《四川省农业厅关于全省涉渔工程渔业资源生态补偿管理工作的通知》（川农函〔2022〕59号）等法律的相关规定，建设单位必须对因工程建设和运行引起的水环境变化和对鱼类资源造成的损失采取补救措施，所采取的措施落实均在渔业行政主管部门的监督下实施。依据本报告提出的水生生态保护和补救措施，落实相关的水生生态环境保护和补救措施经费5.0万元，详见下表。</w:t>
            </w:r>
          </w:p>
          <w:p w14:paraId="6F7A8536">
            <w:pPr>
              <w:pStyle w:val="7"/>
              <w:keepNext/>
            </w:pPr>
            <w:r>
              <w:rPr>
                <w:rFonts w:hint="eastAsia"/>
              </w:rPr>
              <w:t xml:space="preserve">表5- </w:t>
            </w:r>
            <w:r>
              <w:fldChar w:fldCharType="begin"/>
            </w:r>
            <w:r>
              <w:instrText xml:space="preserve"> </w:instrText>
            </w:r>
            <w:r>
              <w:rPr>
                <w:rFonts w:hint="eastAsia"/>
              </w:rPr>
              <w:instrText xml:space="preserve">SEQ 表5- \* ARABIC</w:instrText>
            </w:r>
            <w:r>
              <w:instrText xml:space="preserve"> </w:instrText>
            </w:r>
            <w:r>
              <w:fldChar w:fldCharType="separate"/>
            </w:r>
            <w:r>
              <w:t>1</w:t>
            </w:r>
            <w:r>
              <w:fldChar w:fldCharType="end"/>
            </w:r>
            <w:r>
              <w:rPr>
                <w:rFonts w:cs="Times New Roman"/>
              </w:rPr>
              <w:t>水生生态保护和补救措施经费概算</w:t>
            </w:r>
          </w:p>
          <w:tbl>
            <w:tblPr>
              <w:tblStyle w:val="28"/>
              <w:tblW w:w="9005" w:type="dxa"/>
              <w:tblInd w:w="2" w:type="dxa"/>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699"/>
              <w:gridCol w:w="1619"/>
              <w:gridCol w:w="1621"/>
              <w:gridCol w:w="5066"/>
            </w:tblGrid>
            <w:tr w14:paraId="42F051E2">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PrEx>
              <w:trPr>
                <w:trHeight w:val="336" w:hRule="atLeast"/>
              </w:trPr>
              <w:tc>
                <w:tcPr>
                  <w:tcW w:w="699" w:type="dxa"/>
                  <w:vAlign w:val="center"/>
                </w:tcPr>
                <w:p w14:paraId="4A5555A3">
                  <w:pPr>
                    <w:pStyle w:val="46"/>
                    <w:rPr>
                      <w:sz w:val="21"/>
                    </w:rPr>
                  </w:pPr>
                  <w:r>
                    <w:rPr>
                      <w:sz w:val="21"/>
                    </w:rPr>
                    <w:t>编号</w:t>
                  </w:r>
                </w:p>
              </w:tc>
              <w:tc>
                <w:tcPr>
                  <w:tcW w:w="1619" w:type="dxa"/>
                  <w:vAlign w:val="center"/>
                </w:tcPr>
                <w:p w14:paraId="46C33325">
                  <w:pPr>
                    <w:pStyle w:val="46"/>
                    <w:rPr>
                      <w:sz w:val="21"/>
                    </w:rPr>
                  </w:pPr>
                  <w:r>
                    <w:rPr>
                      <w:sz w:val="21"/>
                    </w:rPr>
                    <w:t>项目</w:t>
                  </w:r>
                </w:p>
              </w:tc>
              <w:tc>
                <w:tcPr>
                  <w:tcW w:w="1621" w:type="dxa"/>
                  <w:vAlign w:val="center"/>
                </w:tcPr>
                <w:p w14:paraId="498DDF9E">
                  <w:pPr>
                    <w:pStyle w:val="46"/>
                    <w:rPr>
                      <w:sz w:val="21"/>
                    </w:rPr>
                  </w:pPr>
                  <w:r>
                    <w:rPr>
                      <w:sz w:val="21"/>
                    </w:rPr>
                    <w:t>经费（万元）</w:t>
                  </w:r>
                </w:p>
              </w:tc>
              <w:tc>
                <w:tcPr>
                  <w:tcW w:w="5066" w:type="dxa"/>
                  <w:vAlign w:val="center"/>
                </w:tcPr>
                <w:p w14:paraId="62C88DAF">
                  <w:pPr>
                    <w:pStyle w:val="46"/>
                    <w:rPr>
                      <w:sz w:val="21"/>
                    </w:rPr>
                  </w:pPr>
                  <w:r>
                    <w:rPr>
                      <w:sz w:val="21"/>
                    </w:rPr>
                    <w:t>备  注</w:t>
                  </w:r>
                </w:p>
              </w:tc>
            </w:tr>
            <w:tr w14:paraId="4D259F4F">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57" w:hRule="atLeast"/>
              </w:trPr>
              <w:tc>
                <w:tcPr>
                  <w:tcW w:w="699" w:type="dxa"/>
                  <w:vAlign w:val="center"/>
                </w:tcPr>
                <w:p w14:paraId="188226BE">
                  <w:pPr>
                    <w:pStyle w:val="46"/>
                    <w:rPr>
                      <w:sz w:val="21"/>
                    </w:rPr>
                  </w:pPr>
                  <w:r>
                    <w:rPr>
                      <w:sz w:val="21"/>
                    </w:rPr>
                    <w:t>1</w:t>
                  </w:r>
                </w:p>
              </w:tc>
              <w:tc>
                <w:tcPr>
                  <w:tcW w:w="1619" w:type="dxa"/>
                  <w:vAlign w:val="center"/>
                </w:tcPr>
                <w:p w14:paraId="5415001E">
                  <w:pPr>
                    <w:pStyle w:val="46"/>
                    <w:rPr>
                      <w:sz w:val="21"/>
                    </w:rPr>
                  </w:pPr>
                  <w:r>
                    <w:rPr>
                      <w:sz w:val="21"/>
                    </w:rPr>
                    <w:t>水生生物保护宣传</w:t>
                  </w:r>
                </w:p>
              </w:tc>
              <w:tc>
                <w:tcPr>
                  <w:tcW w:w="1621" w:type="dxa"/>
                  <w:vAlign w:val="center"/>
                </w:tcPr>
                <w:p w14:paraId="44B26879">
                  <w:pPr>
                    <w:pStyle w:val="46"/>
                    <w:rPr>
                      <w:sz w:val="21"/>
                    </w:rPr>
                  </w:pPr>
                  <w:r>
                    <w:rPr>
                      <w:sz w:val="21"/>
                    </w:rPr>
                    <w:t>2.0</w:t>
                  </w:r>
                </w:p>
              </w:tc>
              <w:tc>
                <w:tcPr>
                  <w:tcW w:w="5066" w:type="dxa"/>
                  <w:vAlign w:val="center"/>
                </w:tcPr>
                <w:p w14:paraId="0B5EC12D">
                  <w:pPr>
                    <w:pStyle w:val="46"/>
                    <w:rPr>
                      <w:sz w:val="21"/>
                    </w:rPr>
                  </w:pPr>
                  <w:r>
                    <w:rPr>
                      <w:sz w:val="21"/>
                    </w:rPr>
                    <w:t>设置宣传牌、发放宣传材料费用</w:t>
                  </w:r>
                </w:p>
              </w:tc>
            </w:tr>
            <w:tr w14:paraId="3C4FA1C3">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57" w:hRule="atLeast"/>
              </w:trPr>
              <w:tc>
                <w:tcPr>
                  <w:tcW w:w="699" w:type="dxa"/>
                  <w:vAlign w:val="center"/>
                </w:tcPr>
                <w:p w14:paraId="375D69E0">
                  <w:pPr>
                    <w:pStyle w:val="46"/>
                    <w:rPr>
                      <w:sz w:val="21"/>
                    </w:rPr>
                  </w:pPr>
                  <w:r>
                    <w:rPr>
                      <w:sz w:val="21"/>
                    </w:rPr>
                    <w:t>2</w:t>
                  </w:r>
                </w:p>
              </w:tc>
              <w:tc>
                <w:tcPr>
                  <w:tcW w:w="1619" w:type="dxa"/>
                  <w:vAlign w:val="center"/>
                </w:tcPr>
                <w:p w14:paraId="15B3777E">
                  <w:pPr>
                    <w:pStyle w:val="46"/>
                    <w:rPr>
                      <w:sz w:val="21"/>
                    </w:rPr>
                  </w:pPr>
                  <w:r>
                    <w:rPr>
                      <w:sz w:val="21"/>
                    </w:rPr>
                    <w:t>鱼类保护巡护监管</w:t>
                  </w:r>
                </w:p>
              </w:tc>
              <w:tc>
                <w:tcPr>
                  <w:tcW w:w="1621" w:type="dxa"/>
                  <w:vAlign w:val="center"/>
                </w:tcPr>
                <w:p w14:paraId="20FBCA55">
                  <w:pPr>
                    <w:pStyle w:val="46"/>
                    <w:rPr>
                      <w:sz w:val="21"/>
                    </w:rPr>
                  </w:pPr>
                  <w:r>
                    <w:rPr>
                      <w:sz w:val="21"/>
                    </w:rPr>
                    <w:t>3.0</w:t>
                  </w:r>
                </w:p>
              </w:tc>
              <w:tc>
                <w:tcPr>
                  <w:tcW w:w="5066" w:type="dxa"/>
                  <w:vAlign w:val="center"/>
                </w:tcPr>
                <w:p w14:paraId="768DE323">
                  <w:pPr>
                    <w:pStyle w:val="46"/>
                    <w:rPr>
                      <w:sz w:val="21"/>
                    </w:rPr>
                  </w:pPr>
                  <w:r>
                    <w:rPr>
                      <w:sz w:val="21"/>
                    </w:rPr>
                    <w:t>主要用于巡护人员劳务补助、交通通讯等日常巡护监管支出</w:t>
                  </w:r>
                </w:p>
              </w:tc>
            </w:tr>
            <w:tr w14:paraId="3A0FB2C6">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36" w:hRule="atLeast"/>
              </w:trPr>
              <w:tc>
                <w:tcPr>
                  <w:tcW w:w="2318" w:type="dxa"/>
                  <w:gridSpan w:val="2"/>
                  <w:vAlign w:val="center"/>
                </w:tcPr>
                <w:p w14:paraId="55FD8CFB">
                  <w:pPr>
                    <w:pStyle w:val="46"/>
                    <w:rPr>
                      <w:sz w:val="21"/>
                    </w:rPr>
                  </w:pPr>
                  <w:r>
                    <w:rPr>
                      <w:sz w:val="21"/>
                    </w:rPr>
                    <w:t>合计</w:t>
                  </w:r>
                </w:p>
              </w:tc>
              <w:tc>
                <w:tcPr>
                  <w:tcW w:w="1621" w:type="dxa"/>
                  <w:vAlign w:val="center"/>
                </w:tcPr>
                <w:p w14:paraId="7B165C89">
                  <w:pPr>
                    <w:pStyle w:val="46"/>
                    <w:rPr>
                      <w:sz w:val="21"/>
                    </w:rPr>
                  </w:pPr>
                  <w:r>
                    <w:rPr>
                      <w:sz w:val="21"/>
                    </w:rPr>
                    <w:t>5.0</w:t>
                  </w:r>
                </w:p>
              </w:tc>
              <w:tc>
                <w:tcPr>
                  <w:tcW w:w="5066" w:type="dxa"/>
                  <w:vAlign w:val="center"/>
                </w:tcPr>
                <w:p w14:paraId="23E8EE6E">
                  <w:pPr>
                    <w:pStyle w:val="45"/>
                  </w:pPr>
                </w:p>
              </w:tc>
            </w:tr>
          </w:tbl>
          <w:p w14:paraId="074A3458">
            <w:pPr>
              <w:spacing w:line="360" w:lineRule="auto"/>
              <w:ind w:firstLine="480" w:firstLineChars="200"/>
            </w:pPr>
          </w:p>
        </w:tc>
      </w:tr>
      <w:tr w14:paraId="2A79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1" w:hRule="atLeast"/>
          <w:jc w:val="center"/>
        </w:trPr>
        <w:tc>
          <w:tcPr>
            <w:tcW w:w="480" w:type="dxa"/>
            <w:vAlign w:val="center"/>
          </w:tcPr>
          <w:p w14:paraId="181ABAE2">
            <w:pPr>
              <w:spacing w:line="360" w:lineRule="auto"/>
              <w:jc w:val="center"/>
              <w:rPr>
                <w:b/>
                <w:bCs/>
              </w:rPr>
            </w:pPr>
            <w:r>
              <w:rPr>
                <w:rFonts w:hint="eastAsia"/>
                <w:b/>
                <w:bCs/>
              </w:rPr>
              <w:t>环保投资</w:t>
            </w:r>
          </w:p>
        </w:tc>
        <w:tc>
          <w:tcPr>
            <w:tcW w:w="9262" w:type="dxa"/>
            <w:vAlign w:val="center"/>
          </w:tcPr>
          <w:p w14:paraId="54802ED1">
            <w:pPr>
              <w:adjustRightInd w:val="0"/>
              <w:snapToGrid w:val="0"/>
              <w:spacing w:line="360" w:lineRule="auto"/>
              <w:ind w:firstLine="480" w:firstLineChars="200"/>
            </w:pPr>
            <w:r>
              <w:rPr>
                <w:rFonts w:hint="eastAsia"/>
              </w:rPr>
              <w:t>本项目总投资***万元，环保投资***万元，占工程总投资的***%。其环保措施及投资额基本合理。项目环保投资及其建设内容见下表。</w:t>
            </w:r>
          </w:p>
          <w:p w14:paraId="5490E30A">
            <w:pPr>
              <w:pStyle w:val="7"/>
              <w:keepNext/>
            </w:pPr>
            <w:r>
              <w:rPr>
                <w:rFonts w:hint="eastAsia"/>
              </w:rPr>
              <w:t xml:space="preserve">表5- </w:t>
            </w:r>
            <w:r>
              <w:fldChar w:fldCharType="begin"/>
            </w:r>
            <w:r>
              <w:instrText xml:space="preserve"> </w:instrText>
            </w:r>
            <w:r>
              <w:rPr>
                <w:rFonts w:hint="eastAsia"/>
              </w:rPr>
              <w:instrText xml:space="preserve">SEQ 表5- \* ARABIC</w:instrText>
            </w:r>
            <w:r>
              <w:instrText xml:space="preserve"> </w:instrText>
            </w:r>
            <w:r>
              <w:fldChar w:fldCharType="separate"/>
            </w:r>
            <w:r>
              <w:t>2</w:t>
            </w:r>
            <w:r>
              <w:fldChar w:fldCharType="end"/>
            </w:r>
            <w:r>
              <w:rPr>
                <w:rFonts w:hint="eastAsia"/>
              </w:rPr>
              <w:t xml:space="preserve">  </w:t>
            </w:r>
            <w:r>
              <w:rPr>
                <w:rFonts w:hint="eastAsia" w:cs="Times New Roman"/>
              </w:rPr>
              <w:t>工程环保设施（措施）及投资估算一览表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108"/>
              <w:gridCol w:w="1541"/>
              <w:gridCol w:w="4778"/>
              <w:gridCol w:w="1092"/>
            </w:tblGrid>
            <w:tr w14:paraId="4C9D1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27" w:type="dxa"/>
                  <w:tcBorders>
                    <w:tl2br w:val="nil"/>
                    <w:tr2bl w:val="nil"/>
                  </w:tcBorders>
                  <w:vAlign w:val="center"/>
                </w:tcPr>
                <w:p w14:paraId="5562CBAD">
                  <w:pPr>
                    <w:adjustRightInd w:val="0"/>
                    <w:snapToGrid w:val="0"/>
                    <w:jc w:val="center"/>
                    <w:rPr>
                      <w:b/>
                      <w:sz w:val="21"/>
                      <w:szCs w:val="21"/>
                    </w:rPr>
                  </w:pPr>
                  <w:r>
                    <w:rPr>
                      <w:rFonts w:hint="eastAsia"/>
                      <w:b/>
                      <w:sz w:val="21"/>
                      <w:szCs w:val="21"/>
                    </w:rPr>
                    <w:t>时段</w:t>
                  </w:r>
                </w:p>
              </w:tc>
              <w:tc>
                <w:tcPr>
                  <w:tcW w:w="1108" w:type="dxa"/>
                  <w:tcBorders>
                    <w:tl2br w:val="nil"/>
                    <w:tr2bl w:val="nil"/>
                  </w:tcBorders>
                  <w:vAlign w:val="center"/>
                </w:tcPr>
                <w:p w14:paraId="4A2C8BE8">
                  <w:pPr>
                    <w:adjustRightInd w:val="0"/>
                    <w:snapToGrid w:val="0"/>
                    <w:jc w:val="center"/>
                    <w:rPr>
                      <w:b/>
                      <w:sz w:val="21"/>
                      <w:szCs w:val="21"/>
                    </w:rPr>
                  </w:pPr>
                  <w:r>
                    <w:rPr>
                      <w:rFonts w:hint="eastAsia"/>
                      <w:b/>
                      <w:sz w:val="21"/>
                      <w:szCs w:val="21"/>
                    </w:rPr>
                    <w:t>项目</w:t>
                  </w:r>
                </w:p>
              </w:tc>
              <w:tc>
                <w:tcPr>
                  <w:tcW w:w="1541" w:type="dxa"/>
                  <w:tcBorders>
                    <w:tl2br w:val="nil"/>
                    <w:tr2bl w:val="nil"/>
                  </w:tcBorders>
                  <w:vAlign w:val="center"/>
                </w:tcPr>
                <w:p w14:paraId="2A0017E1">
                  <w:pPr>
                    <w:adjustRightInd w:val="0"/>
                    <w:snapToGrid w:val="0"/>
                    <w:jc w:val="center"/>
                    <w:rPr>
                      <w:b/>
                      <w:sz w:val="21"/>
                      <w:szCs w:val="21"/>
                    </w:rPr>
                  </w:pPr>
                  <w:r>
                    <w:rPr>
                      <w:rFonts w:hint="eastAsia"/>
                      <w:b/>
                      <w:sz w:val="21"/>
                      <w:szCs w:val="21"/>
                    </w:rPr>
                    <w:t>污染物内容</w:t>
                  </w:r>
                </w:p>
              </w:tc>
              <w:tc>
                <w:tcPr>
                  <w:tcW w:w="4778" w:type="dxa"/>
                  <w:tcBorders>
                    <w:tl2br w:val="nil"/>
                    <w:tr2bl w:val="nil"/>
                  </w:tcBorders>
                  <w:vAlign w:val="center"/>
                </w:tcPr>
                <w:p w14:paraId="60A0C8FC">
                  <w:pPr>
                    <w:adjustRightInd w:val="0"/>
                    <w:snapToGrid w:val="0"/>
                    <w:jc w:val="center"/>
                    <w:rPr>
                      <w:b/>
                      <w:sz w:val="21"/>
                      <w:szCs w:val="21"/>
                    </w:rPr>
                  </w:pPr>
                  <w:r>
                    <w:rPr>
                      <w:rFonts w:hint="eastAsia"/>
                      <w:b/>
                      <w:sz w:val="21"/>
                      <w:szCs w:val="21"/>
                    </w:rPr>
                    <w:t>采取措施</w:t>
                  </w:r>
                </w:p>
              </w:tc>
              <w:tc>
                <w:tcPr>
                  <w:tcW w:w="1092" w:type="dxa"/>
                  <w:tcBorders>
                    <w:tl2br w:val="nil"/>
                    <w:tr2bl w:val="nil"/>
                  </w:tcBorders>
                  <w:tcMar>
                    <w:left w:w="0" w:type="dxa"/>
                    <w:right w:w="0" w:type="dxa"/>
                  </w:tcMar>
                  <w:vAlign w:val="center"/>
                </w:tcPr>
                <w:p w14:paraId="134B58DF">
                  <w:pPr>
                    <w:adjustRightInd w:val="0"/>
                    <w:snapToGrid w:val="0"/>
                    <w:jc w:val="center"/>
                    <w:rPr>
                      <w:b/>
                      <w:sz w:val="21"/>
                      <w:szCs w:val="21"/>
                    </w:rPr>
                  </w:pPr>
                  <w:r>
                    <w:rPr>
                      <w:rFonts w:hint="eastAsia"/>
                      <w:b/>
                      <w:sz w:val="21"/>
                      <w:szCs w:val="21"/>
                    </w:rPr>
                    <w:t>投资估算（万元）</w:t>
                  </w:r>
                </w:p>
              </w:tc>
            </w:tr>
            <w:tr w14:paraId="71F20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restart"/>
                  <w:tcBorders>
                    <w:tl2br w:val="nil"/>
                    <w:tr2bl w:val="nil"/>
                  </w:tcBorders>
                  <w:vAlign w:val="center"/>
                </w:tcPr>
                <w:p w14:paraId="4188AA2D">
                  <w:pPr>
                    <w:adjustRightInd w:val="0"/>
                    <w:snapToGrid w:val="0"/>
                    <w:jc w:val="center"/>
                    <w:rPr>
                      <w:sz w:val="21"/>
                      <w:szCs w:val="21"/>
                    </w:rPr>
                  </w:pPr>
                  <w:r>
                    <w:rPr>
                      <w:rFonts w:hint="eastAsia"/>
                      <w:sz w:val="21"/>
                      <w:szCs w:val="21"/>
                    </w:rPr>
                    <w:t>施工期</w:t>
                  </w:r>
                </w:p>
              </w:tc>
              <w:tc>
                <w:tcPr>
                  <w:tcW w:w="1108" w:type="dxa"/>
                  <w:vMerge w:val="restart"/>
                  <w:tcBorders>
                    <w:tl2br w:val="nil"/>
                    <w:tr2bl w:val="nil"/>
                  </w:tcBorders>
                  <w:vAlign w:val="center"/>
                </w:tcPr>
                <w:p w14:paraId="32F56341">
                  <w:pPr>
                    <w:adjustRightInd w:val="0"/>
                    <w:snapToGrid w:val="0"/>
                    <w:jc w:val="center"/>
                    <w:rPr>
                      <w:sz w:val="21"/>
                      <w:szCs w:val="21"/>
                    </w:rPr>
                  </w:pPr>
                  <w:r>
                    <w:rPr>
                      <w:rFonts w:hint="eastAsia"/>
                      <w:sz w:val="21"/>
                      <w:szCs w:val="21"/>
                    </w:rPr>
                    <w:t>废气治理</w:t>
                  </w:r>
                </w:p>
              </w:tc>
              <w:tc>
                <w:tcPr>
                  <w:tcW w:w="1541" w:type="dxa"/>
                  <w:tcBorders>
                    <w:tl2br w:val="nil"/>
                    <w:tr2bl w:val="nil"/>
                  </w:tcBorders>
                  <w:vAlign w:val="center"/>
                </w:tcPr>
                <w:p w14:paraId="0AED8577">
                  <w:pPr>
                    <w:adjustRightInd w:val="0"/>
                    <w:snapToGrid w:val="0"/>
                    <w:jc w:val="center"/>
                    <w:rPr>
                      <w:bCs/>
                      <w:sz w:val="21"/>
                      <w:szCs w:val="21"/>
                    </w:rPr>
                  </w:pPr>
                  <w:r>
                    <w:rPr>
                      <w:rFonts w:hint="eastAsia"/>
                      <w:bCs/>
                      <w:sz w:val="21"/>
                      <w:szCs w:val="21"/>
                    </w:rPr>
                    <w:t>施工扬尘</w:t>
                  </w:r>
                </w:p>
              </w:tc>
              <w:tc>
                <w:tcPr>
                  <w:tcW w:w="4778" w:type="dxa"/>
                  <w:tcBorders>
                    <w:tl2br w:val="nil"/>
                    <w:tr2bl w:val="nil"/>
                  </w:tcBorders>
                  <w:vAlign w:val="center"/>
                </w:tcPr>
                <w:p w14:paraId="5525D955">
                  <w:pPr>
                    <w:adjustRightInd w:val="0"/>
                    <w:snapToGrid w:val="0"/>
                    <w:rPr>
                      <w:bCs/>
                      <w:sz w:val="21"/>
                      <w:szCs w:val="21"/>
                    </w:rPr>
                  </w:pPr>
                  <w:r>
                    <w:rPr>
                      <w:rFonts w:hint="eastAsia"/>
                      <w:sz w:val="21"/>
                      <w:szCs w:val="21"/>
                    </w:rPr>
                    <w:t>定时现场洒水降尘、修建围挡、车辆运输时覆盖帆布、临时堆土场采取</w:t>
                  </w:r>
                  <w:r>
                    <w:rPr>
                      <w:rFonts w:hint="eastAsia"/>
                      <w:bCs/>
                      <w:sz w:val="21"/>
                      <w:szCs w:val="21"/>
                    </w:rPr>
                    <w:t>密目网覆盖并及时回填</w:t>
                  </w:r>
                  <w:r>
                    <w:rPr>
                      <w:rFonts w:hint="eastAsia"/>
                      <w:sz w:val="21"/>
                      <w:szCs w:val="21"/>
                    </w:rPr>
                    <w:t>、清运渣土、设置车辆冲洗平台、进出施工场地车胎清洗、加强施工区域管理。</w:t>
                  </w:r>
                </w:p>
              </w:tc>
              <w:tc>
                <w:tcPr>
                  <w:tcW w:w="1092" w:type="dxa"/>
                  <w:vMerge w:val="restart"/>
                  <w:tcBorders>
                    <w:tl2br w:val="nil"/>
                    <w:tr2bl w:val="nil"/>
                  </w:tcBorders>
                  <w:tcMar>
                    <w:left w:w="0" w:type="dxa"/>
                    <w:right w:w="0" w:type="dxa"/>
                  </w:tcMar>
                  <w:vAlign w:val="center"/>
                </w:tcPr>
                <w:p w14:paraId="280F6713">
                  <w:pPr>
                    <w:adjustRightInd w:val="0"/>
                    <w:snapToGrid w:val="0"/>
                    <w:jc w:val="center"/>
                    <w:rPr>
                      <w:sz w:val="21"/>
                      <w:szCs w:val="21"/>
                    </w:rPr>
                  </w:pPr>
                  <w:r>
                    <w:rPr>
                      <w:rFonts w:hint="eastAsia"/>
                      <w:sz w:val="21"/>
                      <w:szCs w:val="21"/>
                    </w:rPr>
                    <w:t>***</w:t>
                  </w:r>
                </w:p>
              </w:tc>
            </w:tr>
            <w:tr w14:paraId="15931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6DB1531E">
                  <w:pPr>
                    <w:adjustRightInd w:val="0"/>
                    <w:snapToGrid w:val="0"/>
                    <w:jc w:val="center"/>
                    <w:rPr>
                      <w:sz w:val="21"/>
                      <w:szCs w:val="21"/>
                    </w:rPr>
                  </w:pPr>
                </w:p>
              </w:tc>
              <w:tc>
                <w:tcPr>
                  <w:tcW w:w="1108" w:type="dxa"/>
                  <w:vMerge w:val="continue"/>
                  <w:tcBorders>
                    <w:tl2br w:val="nil"/>
                    <w:tr2bl w:val="nil"/>
                  </w:tcBorders>
                  <w:vAlign w:val="center"/>
                </w:tcPr>
                <w:p w14:paraId="46CEA9B2">
                  <w:pPr>
                    <w:adjustRightInd w:val="0"/>
                    <w:snapToGrid w:val="0"/>
                    <w:jc w:val="center"/>
                    <w:rPr>
                      <w:sz w:val="21"/>
                      <w:szCs w:val="21"/>
                    </w:rPr>
                  </w:pPr>
                </w:p>
              </w:tc>
              <w:tc>
                <w:tcPr>
                  <w:tcW w:w="1541" w:type="dxa"/>
                  <w:tcBorders>
                    <w:tl2br w:val="nil"/>
                    <w:tr2bl w:val="nil"/>
                  </w:tcBorders>
                  <w:vAlign w:val="center"/>
                </w:tcPr>
                <w:p w14:paraId="0150FEFD">
                  <w:pPr>
                    <w:adjustRightInd w:val="0"/>
                    <w:snapToGrid w:val="0"/>
                    <w:jc w:val="center"/>
                    <w:rPr>
                      <w:sz w:val="21"/>
                      <w:szCs w:val="21"/>
                    </w:rPr>
                  </w:pPr>
                  <w:r>
                    <w:rPr>
                      <w:rFonts w:hint="eastAsia"/>
                      <w:sz w:val="21"/>
                      <w:szCs w:val="21"/>
                    </w:rPr>
                    <w:t>道路运输扬尘</w:t>
                  </w:r>
                </w:p>
              </w:tc>
              <w:tc>
                <w:tcPr>
                  <w:tcW w:w="4778" w:type="dxa"/>
                  <w:tcBorders>
                    <w:tl2br w:val="nil"/>
                    <w:tr2bl w:val="nil"/>
                  </w:tcBorders>
                  <w:vAlign w:val="center"/>
                </w:tcPr>
                <w:p w14:paraId="1B52E3EA">
                  <w:pPr>
                    <w:adjustRightInd w:val="0"/>
                    <w:snapToGrid w:val="0"/>
                    <w:rPr>
                      <w:sz w:val="21"/>
                      <w:szCs w:val="21"/>
                    </w:rPr>
                  </w:pPr>
                  <w:r>
                    <w:rPr>
                      <w:rFonts w:hint="eastAsia"/>
                      <w:bCs/>
                      <w:sz w:val="21"/>
                      <w:szCs w:val="21"/>
                      <w:lang w:bidi="ar"/>
                    </w:rPr>
                    <w:t>洒水降尘、及时清扫路面尘土、限制车速等。</w:t>
                  </w:r>
                </w:p>
              </w:tc>
              <w:tc>
                <w:tcPr>
                  <w:tcW w:w="1092" w:type="dxa"/>
                  <w:vMerge w:val="continue"/>
                  <w:tcBorders>
                    <w:tl2br w:val="nil"/>
                    <w:tr2bl w:val="nil"/>
                  </w:tcBorders>
                  <w:tcMar>
                    <w:left w:w="0" w:type="dxa"/>
                    <w:right w:w="0" w:type="dxa"/>
                  </w:tcMar>
                  <w:vAlign w:val="center"/>
                </w:tcPr>
                <w:p w14:paraId="55FE3DBB">
                  <w:pPr>
                    <w:adjustRightInd w:val="0"/>
                    <w:snapToGrid w:val="0"/>
                    <w:jc w:val="center"/>
                    <w:rPr>
                      <w:sz w:val="21"/>
                      <w:szCs w:val="21"/>
                    </w:rPr>
                  </w:pPr>
                </w:p>
              </w:tc>
            </w:tr>
            <w:tr w14:paraId="6ABAA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47D97210">
                  <w:pPr>
                    <w:adjustRightInd w:val="0"/>
                    <w:snapToGrid w:val="0"/>
                    <w:jc w:val="center"/>
                    <w:rPr>
                      <w:sz w:val="21"/>
                      <w:szCs w:val="21"/>
                    </w:rPr>
                  </w:pPr>
                </w:p>
              </w:tc>
              <w:tc>
                <w:tcPr>
                  <w:tcW w:w="1108" w:type="dxa"/>
                  <w:vMerge w:val="continue"/>
                  <w:tcBorders>
                    <w:tl2br w:val="nil"/>
                    <w:tr2bl w:val="nil"/>
                  </w:tcBorders>
                  <w:vAlign w:val="center"/>
                </w:tcPr>
                <w:p w14:paraId="7BF9B962">
                  <w:pPr>
                    <w:adjustRightInd w:val="0"/>
                    <w:snapToGrid w:val="0"/>
                    <w:jc w:val="center"/>
                    <w:rPr>
                      <w:sz w:val="21"/>
                      <w:szCs w:val="21"/>
                    </w:rPr>
                  </w:pPr>
                </w:p>
              </w:tc>
              <w:tc>
                <w:tcPr>
                  <w:tcW w:w="1541" w:type="dxa"/>
                  <w:tcBorders>
                    <w:tl2br w:val="nil"/>
                    <w:tr2bl w:val="nil"/>
                  </w:tcBorders>
                  <w:vAlign w:val="center"/>
                </w:tcPr>
                <w:p w14:paraId="3649E22F">
                  <w:pPr>
                    <w:adjustRightInd w:val="0"/>
                    <w:snapToGrid w:val="0"/>
                    <w:jc w:val="center"/>
                    <w:rPr>
                      <w:sz w:val="21"/>
                      <w:szCs w:val="21"/>
                    </w:rPr>
                  </w:pPr>
                  <w:r>
                    <w:rPr>
                      <w:rFonts w:hint="eastAsia"/>
                      <w:sz w:val="21"/>
                      <w:szCs w:val="21"/>
                    </w:rPr>
                    <w:t>施工机械燃油废气</w:t>
                  </w:r>
                </w:p>
              </w:tc>
              <w:tc>
                <w:tcPr>
                  <w:tcW w:w="4778" w:type="dxa"/>
                  <w:tcBorders>
                    <w:tl2br w:val="nil"/>
                    <w:tr2bl w:val="nil"/>
                  </w:tcBorders>
                  <w:vAlign w:val="center"/>
                </w:tcPr>
                <w:p w14:paraId="4B76E909">
                  <w:pPr>
                    <w:adjustRightInd w:val="0"/>
                    <w:snapToGrid w:val="0"/>
                    <w:rPr>
                      <w:bCs/>
                      <w:sz w:val="21"/>
                      <w:szCs w:val="21"/>
                      <w:lang w:bidi="ar"/>
                    </w:rPr>
                  </w:pPr>
                  <w:r>
                    <w:rPr>
                      <w:rFonts w:hint="eastAsia"/>
                      <w:bCs/>
                      <w:sz w:val="21"/>
                      <w:szCs w:val="21"/>
                    </w:rPr>
                    <w:t>加强施工设备维护、保养。</w:t>
                  </w:r>
                </w:p>
              </w:tc>
              <w:tc>
                <w:tcPr>
                  <w:tcW w:w="1092" w:type="dxa"/>
                  <w:vMerge w:val="continue"/>
                  <w:tcBorders>
                    <w:tl2br w:val="nil"/>
                    <w:tr2bl w:val="nil"/>
                  </w:tcBorders>
                  <w:tcMar>
                    <w:left w:w="0" w:type="dxa"/>
                    <w:right w:w="0" w:type="dxa"/>
                  </w:tcMar>
                  <w:vAlign w:val="center"/>
                </w:tcPr>
                <w:p w14:paraId="2BD6CE72">
                  <w:pPr>
                    <w:adjustRightInd w:val="0"/>
                    <w:snapToGrid w:val="0"/>
                    <w:jc w:val="center"/>
                    <w:rPr>
                      <w:sz w:val="21"/>
                      <w:szCs w:val="21"/>
                    </w:rPr>
                  </w:pPr>
                </w:p>
              </w:tc>
            </w:tr>
            <w:tr w14:paraId="765A68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16798AF7">
                  <w:pPr>
                    <w:adjustRightInd w:val="0"/>
                    <w:snapToGrid w:val="0"/>
                    <w:jc w:val="center"/>
                    <w:rPr>
                      <w:sz w:val="21"/>
                      <w:szCs w:val="21"/>
                    </w:rPr>
                  </w:pPr>
                </w:p>
              </w:tc>
              <w:tc>
                <w:tcPr>
                  <w:tcW w:w="1108" w:type="dxa"/>
                  <w:vMerge w:val="restart"/>
                  <w:tcBorders>
                    <w:tl2br w:val="nil"/>
                    <w:tr2bl w:val="nil"/>
                  </w:tcBorders>
                  <w:vAlign w:val="center"/>
                </w:tcPr>
                <w:p w14:paraId="4FD4E9FD">
                  <w:pPr>
                    <w:adjustRightInd w:val="0"/>
                    <w:snapToGrid w:val="0"/>
                    <w:jc w:val="center"/>
                    <w:rPr>
                      <w:sz w:val="21"/>
                      <w:szCs w:val="21"/>
                    </w:rPr>
                  </w:pPr>
                  <w:r>
                    <w:rPr>
                      <w:rFonts w:hint="eastAsia"/>
                      <w:sz w:val="21"/>
                      <w:szCs w:val="21"/>
                    </w:rPr>
                    <w:t>废水治理</w:t>
                  </w:r>
                </w:p>
              </w:tc>
              <w:tc>
                <w:tcPr>
                  <w:tcW w:w="1541" w:type="dxa"/>
                  <w:tcBorders>
                    <w:tl2br w:val="nil"/>
                    <w:tr2bl w:val="nil"/>
                  </w:tcBorders>
                  <w:vAlign w:val="center"/>
                </w:tcPr>
                <w:p w14:paraId="36217AF5">
                  <w:pPr>
                    <w:adjustRightInd w:val="0"/>
                    <w:snapToGrid w:val="0"/>
                    <w:jc w:val="center"/>
                    <w:rPr>
                      <w:sz w:val="21"/>
                      <w:szCs w:val="21"/>
                    </w:rPr>
                  </w:pPr>
                  <w:r>
                    <w:rPr>
                      <w:rFonts w:hint="eastAsia"/>
                      <w:sz w:val="21"/>
                      <w:szCs w:val="21"/>
                    </w:rPr>
                    <w:t>施工人员生活污水</w:t>
                  </w:r>
                </w:p>
              </w:tc>
              <w:tc>
                <w:tcPr>
                  <w:tcW w:w="4778" w:type="dxa"/>
                  <w:tcBorders>
                    <w:tl2br w:val="nil"/>
                    <w:tr2bl w:val="nil"/>
                  </w:tcBorders>
                  <w:vAlign w:val="center"/>
                </w:tcPr>
                <w:p w14:paraId="3D76DFFF">
                  <w:pPr>
                    <w:adjustRightInd w:val="0"/>
                    <w:snapToGrid w:val="0"/>
                    <w:rPr>
                      <w:b/>
                      <w:sz w:val="21"/>
                      <w:szCs w:val="21"/>
                    </w:rPr>
                  </w:pPr>
                  <w:r>
                    <w:rPr>
                      <w:rFonts w:hint="eastAsia"/>
                      <w:sz w:val="21"/>
                      <w:szCs w:val="21"/>
                    </w:rPr>
                    <w:t>通过租赁民房现有污水处理设备处理后用作农肥不外排。</w:t>
                  </w:r>
                </w:p>
              </w:tc>
              <w:tc>
                <w:tcPr>
                  <w:tcW w:w="1092" w:type="dxa"/>
                  <w:vMerge w:val="restart"/>
                  <w:tcBorders>
                    <w:tl2br w:val="nil"/>
                    <w:tr2bl w:val="nil"/>
                  </w:tcBorders>
                  <w:tcMar>
                    <w:left w:w="0" w:type="dxa"/>
                    <w:right w:w="0" w:type="dxa"/>
                  </w:tcMar>
                  <w:vAlign w:val="center"/>
                </w:tcPr>
                <w:p w14:paraId="147C0F0F">
                  <w:pPr>
                    <w:adjustRightInd w:val="0"/>
                    <w:snapToGrid w:val="0"/>
                    <w:jc w:val="center"/>
                    <w:rPr>
                      <w:sz w:val="21"/>
                      <w:szCs w:val="21"/>
                    </w:rPr>
                  </w:pPr>
                  <w:r>
                    <w:rPr>
                      <w:rFonts w:hint="eastAsia"/>
                      <w:sz w:val="21"/>
                      <w:szCs w:val="21"/>
                    </w:rPr>
                    <w:t>***</w:t>
                  </w:r>
                </w:p>
              </w:tc>
            </w:tr>
            <w:tr w14:paraId="59C54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056C821E">
                  <w:pPr>
                    <w:adjustRightInd w:val="0"/>
                    <w:snapToGrid w:val="0"/>
                    <w:jc w:val="center"/>
                    <w:rPr>
                      <w:sz w:val="21"/>
                      <w:szCs w:val="21"/>
                    </w:rPr>
                  </w:pPr>
                </w:p>
              </w:tc>
              <w:tc>
                <w:tcPr>
                  <w:tcW w:w="1108" w:type="dxa"/>
                  <w:vMerge w:val="continue"/>
                  <w:tcBorders>
                    <w:tl2br w:val="nil"/>
                    <w:tr2bl w:val="nil"/>
                  </w:tcBorders>
                  <w:vAlign w:val="center"/>
                </w:tcPr>
                <w:p w14:paraId="2EC8712C">
                  <w:pPr>
                    <w:adjustRightInd w:val="0"/>
                    <w:snapToGrid w:val="0"/>
                    <w:jc w:val="center"/>
                    <w:rPr>
                      <w:sz w:val="21"/>
                      <w:szCs w:val="21"/>
                    </w:rPr>
                  </w:pPr>
                </w:p>
              </w:tc>
              <w:tc>
                <w:tcPr>
                  <w:tcW w:w="1541" w:type="dxa"/>
                  <w:tcBorders>
                    <w:tl2br w:val="nil"/>
                    <w:tr2bl w:val="nil"/>
                  </w:tcBorders>
                  <w:vAlign w:val="center"/>
                </w:tcPr>
                <w:p w14:paraId="5AAA6845">
                  <w:pPr>
                    <w:adjustRightInd w:val="0"/>
                    <w:snapToGrid w:val="0"/>
                    <w:jc w:val="center"/>
                    <w:rPr>
                      <w:sz w:val="21"/>
                      <w:szCs w:val="21"/>
                    </w:rPr>
                  </w:pPr>
                  <w:r>
                    <w:rPr>
                      <w:rFonts w:hint="eastAsia"/>
                      <w:bCs/>
                      <w:sz w:val="21"/>
                      <w:szCs w:val="21"/>
                    </w:rPr>
                    <w:t>机械、车辆冲洗废水</w:t>
                  </w:r>
                </w:p>
              </w:tc>
              <w:tc>
                <w:tcPr>
                  <w:tcW w:w="4778" w:type="dxa"/>
                  <w:tcBorders>
                    <w:tl2br w:val="nil"/>
                    <w:tr2bl w:val="nil"/>
                  </w:tcBorders>
                  <w:vAlign w:val="center"/>
                </w:tcPr>
                <w:p w14:paraId="566EFD40">
                  <w:pPr>
                    <w:adjustRightInd w:val="0"/>
                    <w:snapToGrid w:val="0"/>
                    <w:rPr>
                      <w:bCs/>
                      <w:sz w:val="21"/>
                      <w:szCs w:val="21"/>
                    </w:rPr>
                  </w:pPr>
                  <w:r>
                    <w:rPr>
                      <w:rFonts w:hint="eastAsia"/>
                      <w:bCs/>
                      <w:sz w:val="21"/>
                      <w:szCs w:val="21"/>
                    </w:rPr>
                    <w:t>施工工区四周设置临时排水沟，并在施工工区低洼处设置隔油沉淀池，在车辆、机械进出口对车辆、机械进行冲洗，冲洗废水经隔油沉淀处理后洒水降尘，不外排。</w:t>
                  </w:r>
                </w:p>
              </w:tc>
              <w:tc>
                <w:tcPr>
                  <w:tcW w:w="1092" w:type="dxa"/>
                  <w:vMerge w:val="continue"/>
                  <w:tcBorders>
                    <w:tl2br w:val="nil"/>
                    <w:tr2bl w:val="nil"/>
                  </w:tcBorders>
                  <w:tcMar>
                    <w:left w:w="0" w:type="dxa"/>
                    <w:right w:w="0" w:type="dxa"/>
                  </w:tcMar>
                  <w:vAlign w:val="center"/>
                </w:tcPr>
                <w:p w14:paraId="7AF66673">
                  <w:pPr>
                    <w:adjustRightInd w:val="0"/>
                    <w:snapToGrid w:val="0"/>
                    <w:jc w:val="center"/>
                    <w:rPr>
                      <w:sz w:val="21"/>
                      <w:szCs w:val="21"/>
                    </w:rPr>
                  </w:pPr>
                </w:p>
              </w:tc>
            </w:tr>
            <w:tr w14:paraId="608C0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7F4F83F7">
                  <w:pPr>
                    <w:adjustRightInd w:val="0"/>
                    <w:snapToGrid w:val="0"/>
                    <w:jc w:val="center"/>
                    <w:rPr>
                      <w:sz w:val="21"/>
                      <w:szCs w:val="21"/>
                    </w:rPr>
                  </w:pPr>
                </w:p>
              </w:tc>
              <w:tc>
                <w:tcPr>
                  <w:tcW w:w="1108" w:type="dxa"/>
                  <w:vMerge w:val="continue"/>
                  <w:tcBorders>
                    <w:tl2br w:val="nil"/>
                    <w:tr2bl w:val="nil"/>
                  </w:tcBorders>
                  <w:vAlign w:val="center"/>
                </w:tcPr>
                <w:p w14:paraId="28868761">
                  <w:pPr>
                    <w:adjustRightInd w:val="0"/>
                    <w:snapToGrid w:val="0"/>
                    <w:jc w:val="center"/>
                    <w:rPr>
                      <w:sz w:val="21"/>
                      <w:szCs w:val="21"/>
                    </w:rPr>
                  </w:pPr>
                </w:p>
              </w:tc>
              <w:tc>
                <w:tcPr>
                  <w:tcW w:w="1541" w:type="dxa"/>
                  <w:tcBorders>
                    <w:tl2br w:val="nil"/>
                    <w:tr2bl w:val="nil"/>
                  </w:tcBorders>
                  <w:vAlign w:val="center"/>
                </w:tcPr>
                <w:p w14:paraId="4C045666">
                  <w:pPr>
                    <w:adjustRightInd w:val="0"/>
                    <w:snapToGrid w:val="0"/>
                    <w:jc w:val="center"/>
                    <w:rPr>
                      <w:bCs/>
                      <w:sz w:val="21"/>
                      <w:szCs w:val="21"/>
                    </w:rPr>
                  </w:pPr>
                  <w:r>
                    <w:rPr>
                      <w:rFonts w:hint="eastAsia"/>
                      <w:bCs/>
                      <w:sz w:val="21"/>
                      <w:szCs w:val="21"/>
                    </w:rPr>
                    <w:t>混凝土养护废水</w:t>
                  </w:r>
                </w:p>
              </w:tc>
              <w:tc>
                <w:tcPr>
                  <w:tcW w:w="4778" w:type="dxa"/>
                  <w:tcBorders>
                    <w:tl2br w:val="nil"/>
                    <w:tr2bl w:val="nil"/>
                  </w:tcBorders>
                  <w:vAlign w:val="center"/>
                </w:tcPr>
                <w:p w14:paraId="5D736FCE">
                  <w:pPr>
                    <w:adjustRightInd w:val="0"/>
                    <w:snapToGrid w:val="0"/>
                    <w:rPr>
                      <w:bCs/>
                      <w:sz w:val="21"/>
                      <w:szCs w:val="21"/>
                    </w:rPr>
                  </w:pPr>
                  <w:r>
                    <w:rPr>
                      <w:rFonts w:hint="eastAsia"/>
                      <w:bCs/>
                      <w:sz w:val="21"/>
                      <w:szCs w:val="21"/>
                    </w:rPr>
                    <w:t>经沉淀池处理后回用于工序。</w:t>
                  </w:r>
                </w:p>
              </w:tc>
              <w:tc>
                <w:tcPr>
                  <w:tcW w:w="1092" w:type="dxa"/>
                  <w:vMerge w:val="continue"/>
                  <w:tcBorders>
                    <w:tl2br w:val="nil"/>
                    <w:tr2bl w:val="nil"/>
                  </w:tcBorders>
                  <w:tcMar>
                    <w:left w:w="0" w:type="dxa"/>
                    <w:right w:w="0" w:type="dxa"/>
                  </w:tcMar>
                  <w:vAlign w:val="center"/>
                </w:tcPr>
                <w:p w14:paraId="30950921">
                  <w:pPr>
                    <w:adjustRightInd w:val="0"/>
                    <w:snapToGrid w:val="0"/>
                    <w:jc w:val="center"/>
                    <w:rPr>
                      <w:sz w:val="21"/>
                      <w:szCs w:val="21"/>
                    </w:rPr>
                  </w:pPr>
                </w:p>
              </w:tc>
            </w:tr>
            <w:tr w14:paraId="6EC82E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7632606C">
                  <w:pPr>
                    <w:adjustRightInd w:val="0"/>
                    <w:snapToGrid w:val="0"/>
                    <w:jc w:val="center"/>
                    <w:rPr>
                      <w:sz w:val="21"/>
                      <w:szCs w:val="21"/>
                    </w:rPr>
                  </w:pPr>
                </w:p>
              </w:tc>
              <w:tc>
                <w:tcPr>
                  <w:tcW w:w="1108" w:type="dxa"/>
                  <w:vMerge w:val="continue"/>
                  <w:tcBorders>
                    <w:tl2br w:val="nil"/>
                    <w:tr2bl w:val="nil"/>
                  </w:tcBorders>
                  <w:vAlign w:val="center"/>
                </w:tcPr>
                <w:p w14:paraId="05A9F717">
                  <w:pPr>
                    <w:adjustRightInd w:val="0"/>
                    <w:snapToGrid w:val="0"/>
                    <w:jc w:val="center"/>
                    <w:rPr>
                      <w:sz w:val="21"/>
                      <w:szCs w:val="21"/>
                    </w:rPr>
                  </w:pPr>
                </w:p>
              </w:tc>
              <w:tc>
                <w:tcPr>
                  <w:tcW w:w="1541" w:type="dxa"/>
                  <w:tcBorders>
                    <w:tl2br w:val="nil"/>
                    <w:tr2bl w:val="nil"/>
                  </w:tcBorders>
                  <w:vAlign w:val="center"/>
                </w:tcPr>
                <w:p w14:paraId="6478D78A">
                  <w:pPr>
                    <w:adjustRightInd w:val="0"/>
                    <w:snapToGrid w:val="0"/>
                    <w:jc w:val="center"/>
                    <w:rPr>
                      <w:bCs/>
                      <w:sz w:val="21"/>
                      <w:szCs w:val="21"/>
                    </w:rPr>
                  </w:pPr>
                  <w:r>
                    <w:rPr>
                      <w:rFonts w:hint="eastAsia"/>
                      <w:bCs/>
                      <w:sz w:val="21"/>
                      <w:szCs w:val="21"/>
                    </w:rPr>
                    <w:t>基坑排水</w:t>
                  </w:r>
                </w:p>
              </w:tc>
              <w:tc>
                <w:tcPr>
                  <w:tcW w:w="4778" w:type="dxa"/>
                  <w:tcBorders>
                    <w:tl2br w:val="nil"/>
                    <w:tr2bl w:val="nil"/>
                  </w:tcBorders>
                  <w:vAlign w:val="center"/>
                </w:tcPr>
                <w:p w14:paraId="0AF1AD17">
                  <w:pPr>
                    <w:adjustRightInd w:val="0"/>
                    <w:snapToGrid w:val="0"/>
                    <w:rPr>
                      <w:bCs/>
                      <w:sz w:val="21"/>
                      <w:szCs w:val="21"/>
                    </w:rPr>
                  </w:pPr>
                  <w:r>
                    <w:rPr>
                      <w:rFonts w:hint="eastAsia"/>
                      <w:bCs/>
                      <w:sz w:val="21"/>
                      <w:szCs w:val="21"/>
                    </w:rPr>
                    <w:t>基坑内设置截流槽，每100m设置一个集水坑，每段基坑排水选用水泵抽排，并在下游设置一个沉淀池，基坑排水静置经沉淀池沉淀处理后排入沟道</w:t>
                  </w:r>
                </w:p>
              </w:tc>
              <w:tc>
                <w:tcPr>
                  <w:tcW w:w="1092" w:type="dxa"/>
                  <w:vMerge w:val="continue"/>
                  <w:tcBorders>
                    <w:tl2br w:val="nil"/>
                    <w:tr2bl w:val="nil"/>
                  </w:tcBorders>
                  <w:tcMar>
                    <w:left w:w="0" w:type="dxa"/>
                    <w:right w:w="0" w:type="dxa"/>
                  </w:tcMar>
                  <w:vAlign w:val="center"/>
                </w:tcPr>
                <w:p w14:paraId="748A0AAB">
                  <w:pPr>
                    <w:adjustRightInd w:val="0"/>
                    <w:snapToGrid w:val="0"/>
                    <w:jc w:val="center"/>
                    <w:rPr>
                      <w:sz w:val="21"/>
                      <w:szCs w:val="21"/>
                    </w:rPr>
                  </w:pPr>
                </w:p>
              </w:tc>
            </w:tr>
            <w:tr w14:paraId="3D403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10B13DD7">
                  <w:pPr>
                    <w:adjustRightInd w:val="0"/>
                    <w:snapToGrid w:val="0"/>
                    <w:jc w:val="center"/>
                    <w:rPr>
                      <w:sz w:val="21"/>
                      <w:szCs w:val="21"/>
                    </w:rPr>
                  </w:pPr>
                </w:p>
              </w:tc>
              <w:tc>
                <w:tcPr>
                  <w:tcW w:w="1108" w:type="dxa"/>
                  <w:tcBorders>
                    <w:tl2br w:val="nil"/>
                    <w:tr2bl w:val="nil"/>
                  </w:tcBorders>
                  <w:vAlign w:val="center"/>
                </w:tcPr>
                <w:p w14:paraId="7A9E1DDE">
                  <w:pPr>
                    <w:adjustRightInd w:val="0"/>
                    <w:snapToGrid w:val="0"/>
                    <w:jc w:val="center"/>
                    <w:rPr>
                      <w:sz w:val="21"/>
                      <w:szCs w:val="21"/>
                    </w:rPr>
                  </w:pPr>
                  <w:r>
                    <w:rPr>
                      <w:rFonts w:hint="eastAsia"/>
                      <w:sz w:val="21"/>
                      <w:szCs w:val="21"/>
                    </w:rPr>
                    <w:t>噪声治理</w:t>
                  </w:r>
                </w:p>
              </w:tc>
              <w:tc>
                <w:tcPr>
                  <w:tcW w:w="1541" w:type="dxa"/>
                  <w:tcBorders>
                    <w:tl2br w:val="nil"/>
                    <w:tr2bl w:val="nil"/>
                  </w:tcBorders>
                  <w:vAlign w:val="center"/>
                </w:tcPr>
                <w:p w14:paraId="1EECD9C4">
                  <w:pPr>
                    <w:adjustRightInd w:val="0"/>
                    <w:snapToGrid w:val="0"/>
                    <w:jc w:val="center"/>
                    <w:rPr>
                      <w:sz w:val="21"/>
                      <w:szCs w:val="21"/>
                    </w:rPr>
                  </w:pPr>
                  <w:r>
                    <w:rPr>
                      <w:rFonts w:hint="eastAsia"/>
                      <w:sz w:val="21"/>
                      <w:szCs w:val="21"/>
                    </w:rPr>
                    <w:t>施工机械噪声</w:t>
                  </w:r>
                </w:p>
              </w:tc>
              <w:tc>
                <w:tcPr>
                  <w:tcW w:w="4778" w:type="dxa"/>
                  <w:tcBorders>
                    <w:tl2br w:val="nil"/>
                    <w:tr2bl w:val="nil"/>
                  </w:tcBorders>
                  <w:vAlign w:val="center"/>
                </w:tcPr>
                <w:p w14:paraId="7F6B0173">
                  <w:pPr>
                    <w:adjustRightInd w:val="0"/>
                    <w:snapToGrid w:val="0"/>
                    <w:rPr>
                      <w:sz w:val="21"/>
                      <w:szCs w:val="21"/>
                    </w:rPr>
                  </w:pPr>
                  <w:r>
                    <w:rPr>
                      <w:rFonts w:hint="eastAsia"/>
                      <w:bCs/>
                      <w:sz w:val="21"/>
                      <w:szCs w:val="21"/>
                    </w:rPr>
                    <w:t>选用低噪声设备、加强机械设备维修保养；合理布置施工场地，在敏感点附近施工加设临时隔声围挡；合理安排施工时间、避开敏感时段施工；合理安排工期，把施工时间控制在最短时间内。运输车辆交通噪声：合理安排运输路线和时间，避开敏感路段和敏感时间。</w:t>
                  </w:r>
                </w:p>
              </w:tc>
              <w:tc>
                <w:tcPr>
                  <w:tcW w:w="1092" w:type="dxa"/>
                  <w:tcBorders>
                    <w:tl2br w:val="nil"/>
                    <w:tr2bl w:val="nil"/>
                  </w:tcBorders>
                  <w:tcMar>
                    <w:left w:w="0" w:type="dxa"/>
                    <w:right w:w="0" w:type="dxa"/>
                  </w:tcMar>
                  <w:vAlign w:val="center"/>
                </w:tcPr>
                <w:p w14:paraId="4723A365">
                  <w:pPr>
                    <w:adjustRightInd w:val="0"/>
                    <w:snapToGrid w:val="0"/>
                    <w:jc w:val="center"/>
                    <w:rPr>
                      <w:sz w:val="21"/>
                      <w:szCs w:val="21"/>
                    </w:rPr>
                  </w:pPr>
                  <w:r>
                    <w:rPr>
                      <w:rFonts w:hint="eastAsia"/>
                      <w:sz w:val="21"/>
                      <w:szCs w:val="21"/>
                    </w:rPr>
                    <w:t>***</w:t>
                  </w:r>
                </w:p>
              </w:tc>
            </w:tr>
            <w:tr w14:paraId="143D9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633F377D">
                  <w:pPr>
                    <w:adjustRightInd w:val="0"/>
                    <w:snapToGrid w:val="0"/>
                    <w:jc w:val="center"/>
                    <w:rPr>
                      <w:sz w:val="21"/>
                      <w:szCs w:val="21"/>
                    </w:rPr>
                  </w:pPr>
                </w:p>
              </w:tc>
              <w:tc>
                <w:tcPr>
                  <w:tcW w:w="1108" w:type="dxa"/>
                  <w:vMerge w:val="restart"/>
                  <w:tcBorders>
                    <w:tl2br w:val="nil"/>
                    <w:tr2bl w:val="nil"/>
                  </w:tcBorders>
                  <w:vAlign w:val="center"/>
                </w:tcPr>
                <w:p w14:paraId="0B40B079">
                  <w:pPr>
                    <w:adjustRightInd w:val="0"/>
                    <w:snapToGrid w:val="0"/>
                    <w:jc w:val="center"/>
                    <w:rPr>
                      <w:sz w:val="21"/>
                      <w:szCs w:val="21"/>
                    </w:rPr>
                  </w:pPr>
                  <w:r>
                    <w:rPr>
                      <w:rFonts w:hint="eastAsia"/>
                      <w:sz w:val="21"/>
                      <w:szCs w:val="21"/>
                    </w:rPr>
                    <w:t>固体废物处置</w:t>
                  </w:r>
                </w:p>
              </w:tc>
              <w:tc>
                <w:tcPr>
                  <w:tcW w:w="1541" w:type="dxa"/>
                  <w:tcBorders>
                    <w:tl2br w:val="nil"/>
                    <w:tr2bl w:val="nil"/>
                  </w:tcBorders>
                  <w:vAlign w:val="center"/>
                </w:tcPr>
                <w:p w14:paraId="4BBEC150">
                  <w:pPr>
                    <w:adjustRightInd w:val="0"/>
                    <w:snapToGrid w:val="0"/>
                    <w:jc w:val="center"/>
                    <w:rPr>
                      <w:sz w:val="21"/>
                      <w:szCs w:val="21"/>
                    </w:rPr>
                  </w:pPr>
                  <w:r>
                    <w:rPr>
                      <w:rFonts w:hint="eastAsia"/>
                      <w:sz w:val="21"/>
                      <w:szCs w:val="21"/>
                    </w:rPr>
                    <w:t>废弃土石方</w:t>
                  </w:r>
                </w:p>
              </w:tc>
              <w:tc>
                <w:tcPr>
                  <w:tcW w:w="4778" w:type="dxa"/>
                  <w:tcBorders>
                    <w:tl2br w:val="nil"/>
                    <w:tr2bl w:val="nil"/>
                  </w:tcBorders>
                  <w:vAlign w:val="center"/>
                </w:tcPr>
                <w:p w14:paraId="700AEC1B">
                  <w:pPr>
                    <w:adjustRightInd w:val="0"/>
                    <w:snapToGrid w:val="0"/>
                    <w:rPr>
                      <w:sz w:val="21"/>
                      <w:szCs w:val="21"/>
                    </w:rPr>
                  </w:pPr>
                  <w:r>
                    <w:rPr>
                      <w:rFonts w:hint="eastAsia"/>
                      <w:color w:val="000000" w:themeColor="text1"/>
                      <w:sz w:val="21"/>
                      <w:szCs w:val="21"/>
                      <w14:textFill>
                        <w14:solidFill>
                          <w14:schemeClr w14:val="tx1"/>
                        </w14:solidFill>
                      </w14:textFill>
                    </w:rPr>
                    <w:t>河道砂砾石开挖产生的合格土石方</w:t>
                  </w:r>
                  <w:r>
                    <w:rPr>
                      <w:rFonts w:hint="eastAsia"/>
                      <w:sz w:val="21"/>
                      <w:szCs w:val="21"/>
                    </w:rPr>
                    <w:t>经分类拣选后全部回用，用于本河道堤防加固、岸坡回填、堤顶道路路基及低洼地整平，无弃方。</w:t>
                  </w:r>
                </w:p>
              </w:tc>
              <w:tc>
                <w:tcPr>
                  <w:tcW w:w="1092" w:type="dxa"/>
                  <w:tcBorders>
                    <w:tl2br w:val="nil"/>
                    <w:tr2bl w:val="nil"/>
                  </w:tcBorders>
                  <w:tcMar>
                    <w:left w:w="0" w:type="dxa"/>
                    <w:right w:w="0" w:type="dxa"/>
                  </w:tcMar>
                  <w:vAlign w:val="center"/>
                </w:tcPr>
                <w:p w14:paraId="6E10C40A">
                  <w:pPr>
                    <w:adjustRightInd w:val="0"/>
                    <w:snapToGrid w:val="0"/>
                    <w:jc w:val="center"/>
                    <w:rPr>
                      <w:sz w:val="21"/>
                      <w:szCs w:val="21"/>
                    </w:rPr>
                  </w:pPr>
                  <w:r>
                    <w:rPr>
                      <w:rFonts w:hint="eastAsia"/>
                      <w:sz w:val="21"/>
                      <w:szCs w:val="21"/>
                    </w:rPr>
                    <w:t>***</w:t>
                  </w:r>
                </w:p>
              </w:tc>
            </w:tr>
            <w:tr w14:paraId="3FDA78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195AA1D8">
                  <w:pPr>
                    <w:adjustRightInd w:val="0"/>
                    <w:snapToGrid w:val="0"/>
                    <w:jc w:val="center"/>
                    <w:rPr>
                      <w:sz w:val="21"/>
                      <w:szCs w:val="21"/>
                    </w:rPr>
                  </w:pPr>
                </w:p>
              </w:tc>
              <w:tc>
                <w:tcPr>
                  <w:tcW w:w="1108" w:type="dxa"/>
                  <w:vMerge w:val="continue"/>
                  <w:tcBorders>
                    <w:tl2br w:val="nil"/>
                    <w:tr2bl w:val="nil"/>
                  </w:tcBorders>
                  <w:vAlign w:val="center"/>
                </w:tcPr>
                <w:p w14:paraId="44FF9490">
                  <w:pPr>
                    <w:adjustRightInd w:val="0"/>
                    <w:snapToGrid w:val="0"/>
                    <w:jc w:val="center"/>
                    <w:rPr>
                      <w:sz w:val="21"/>
                      <w:szCs w:val="21"/>
                    </w:rPr>
                  </w:pPr>
                </w:p>
              </w:tc>
              <w:tc>
                <w:tcPr>
                  <w:tcW w:w="1541" w:type="dxa"/>
                  <w:tcBorders>
                    <w:tl2br w:val="nil"/>
                    <w:tr2bl w:val="nil"/>
                  </w:tcBorders>
                  <w:vAlign w:val="center"/>
                </w:tcPr>
                <w:p w14:paraId="1BF341E4">
                  <w:pPr>
                    <w:adjustRightInd w:val="0"/>
                    <w:snapToGrid w:val="0"/>
                    <w:jc w:val="center"/>
                    <w:rPr>
                      <w:sz w:val="21"/>
                      <w:szCs w:val="21"/>
                    </w:rPr>
                  </w:pPr>
                  <w:r>
                    <w:rPr>
                      <w:rFonts w:hint="eastAsia"/>
                      <w:sz w:val="21"/>
                      <w:szCs w:val="21"/>
                    </w:rPr>
                    <w:t>建筑垃圾</w:t>
                  </w:r>
                </w:p>
              </w:tc>
              <w:tc>
                <w:tcPr>
                  <w:tcW w:w="4778" w:type="dxa"/>
                  <w:tcBorders>
                    <w:tl2br w:val="nil"/>
                    <w:tr2bl w:val="nil"/>
                  </w:tcBorders>
                  <w:vAlign w:val="center"/>
                </w:tcPr>
                <w:p w14:paraId="5E3378AE">
                  <w:pPr>
                    <w:adjustRightInd w:val="0"/>
                    <w:snapToGrid w:val="0"/>
                    <w:rPr>
                      <w:sz w:val="21"/>
                      <w:szCs w:val="21"/>
                    </w:rPr>
                  </w:pPr>
                  <w:r>
                    <w:rPr>
                      <w:rFonts w:hint="eastAsia"/>
                      <w:sz w:val="21"/>
                      <w:szCs w:val="21"/>
                    </w:rPr>
                    <w:t>加强对废物的收集和管理，将建筑垃圾中能回收利用的废料（如钢筋、钢板、木材等下脚料）通过分类收集后交废物收购站处理；对不能回收的建筑废物不能随意倾倒，而应用编织袋包装后清运到建筑垃圾处置场。</w:t>
                  </w:r>
                </w:p>
              </w:tc>
              <w:tc>
                <w:tcPr>
                  <w:tcW w:w="1092" w:type="dxa"/>
                  <w:tcBorders>
                    <w:tl2br w:val="nil"/>
                    <w:tr2bl w:val="nil"/>
                  </w:tcBorders>
                  <w:tcMar>
                    <w:left w:w="0" w:type="dxa"/>
                    <w:right w:w="0" w:type="dxa"/>
                  </w:tcMar>
                  <w:vAlign w:val="center"/>
                </w:tcPr>
                <w:p w14:paraId="77A99588">
                  <w:pPr>
                    <w:adjustRightInd w:val="0"/>
                    <w:snapToGrid w:val="0"/>
                    <w:jc w:val="center"/>
                    <w:rPr>
                      <w:sz w:val="21"/>
                      <w:szCs w:val="21"/>
                    </w:rPr>
                  </w:pPr>
                  <w:r>
                    <w:rPr>
                      <w:rFonts w:hint="eastAsia"/>
                      <w:sz w:val="21"/>
                      <w:szCs w:val="21"/>
                    </w:rPr>
                    <w:t>***</w:t>
                  </w:r>
                </w:p>
              </w:tc>
            </w:tr>
            <w:tr w14:paraId="28AC3B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3B5E9D2D">
                  <w:pPr>
                    <w:adjustRightInd w:val="0"/>
                    <w:snapToGrid w:val="0"/>
                    <w:jc w:val="center"/>
                    <w:rPr>
                      <w:sz w:val="21"/>
                      <w:szCs w:val="21"/>
                    </w:rPr>
                  </w:pPr>
                </w:p>
              </w:tc>
              <w:tc>
                <w:tcPr>
                  <w:tcW w:w="1108" w:type="dxa"/>
                  <w:vMerge w:val="continue"/>
                  <w:tcBorders>
                    <w:tl2br w:val="nil"/>
                    <w:tr2bl w:val="nil"/>
                  </w:tcBorders>
                  <w:vAlign w:val="center"/>
                </w:tcPr>
                <w:p w14:paraId="37C0A934">
                  <w:pPr>
                    <w:adjustRightInd w:val="0"/>
                    <w:snapToGrid w:val="0"/>
                    <w:jc w:val="center"/>
                    <w:rPr>
                      <w:sz w:val="21"/>
                      <w:szCs w:val="21"/>
                    </w:rPr>
                  </w:pPr>
                </w:p>
              </w:tc>
              <w:tc>
                <w:tcPr>
                  <w:tcW w:w="1541" w:type="dxa"/>
                  <w:tcBorders>
                    <w:tl2br w:val="nil"/>
                    <w:tr2bl w:val="nil"/>
                  </w:tcBorders>
                  <w:vAlign w:val="center"/>
                </w:tcPr>
                <w:p w14:paraId="75281245">
                  <w:pPr>
                    <w:adjustRightInd w:val="0"/>
                    <w:snapToGrid w:val="0"/>
                    <w:jc w:val="center"/>
                    <w:rPr>
                      <w:sz w:val="21"/>
                      <w:szCs w:val="21"/>
                    </w:rPr>
                  </w:pPr>
                  <w:r>
                    <w:rPr>
                      <w:rFonts w:hint="eastAsia"/>
                      <w:sz w:val="21"/>
                      <w:szCs w:val="21"/>
                    </w:rPr>
                    <w:t>生活垃圾</w:t>
                  </w:r>
                </w:p>
              </w:tc>
              <w:tc>
                <w:tcPr>
                  <w:tcW w:w="4778" w:type="dxa"/>
                  <w:tcBorders>
                    <w:tl2br w:val="nil"/>
                    <w:tr2bl w:val="nil"/>
                  </w:tcBorders>
                  <w:vAlign w:val="center"/>
                </w:tcPr>
                <w:p w14:paraId="1D51CDDD">
                  <w:pPr>
                    <w:adjustRightInd w:val="0"/>
                    <w:snapToGrid w:val="0"/>
                    <w:rPr>
                      <w:sz w:val="21"/>
                      <w:szCs w:val="21"/>
                    </w:rPr>
                  </w:pPr>
                  <w:r>
                    <w:rPr>
                      <w:rFonts w:hint="eastAsia"/>
                      <w:sz w:val="21"/>
                      <w:szCs w:val="21"/>
                    </w:rPr>
                    <w:t>生活垃圾经袋装收集后，由环卫单位统一运送到垃圾处理厂集中处理。</w:t>
                  </w:r>
                </w:p>
              </w:tc>
              <w:tc>
                <w:tcPr>
                  <w:tcW w:w="1092" w:type="dxa"/>
                  <w:tcBorders>
                    <w:tl2br w:val="nil"/>
                    <w:tr2bl w:val="nil"/>
                  </w:tcBorders>
                  <w:tcMar>
                    <w:left w:w="0" w:type="dxa"/>
                    <w:right w:w="0" w:type="dxa"/>
                  </w:tcMar>
                  <w:vAlign w:val="center"/>
                </w:tcPr>
                <w:p w14:paraId="6653673B">
                  <w:pPr>
                    <w:adjustRightInd w:val="0"/>
                    <w:snapToGrid w:val="0"/>
                    <w:jc w:val="center"/>
                    <w:rPr>
                      <w:sz w:val="21"/>
                      <w:szCs w:val="21"/>
                    </w:rPr>
                  </w:pPr>
                  <w:r>
                    <w:rPr>
                      <w:rFonts w:hint="eastAsia"/>
                      <w:sz w:val="21"/>
                      <w:szCs w:val="21"/>
                    </w:rPr>
                    <w:t>***</w:t>
                  </w:r>
                </w:p>
              </w:tc>
            </w:tr>
            <w:tr w14:paraId="7A9C2B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726E656E">
                  <w:pPr>
                    <w:adjustRightInd w:val="0"/>
                    <w:snapToGrid w:val="0"/>
                    <w:jc w:val="center"/>
                    <w:rPr>
                      <w:sz w:val="21"/>
                      <w:szCs w:val="21"/>
                    </w:rPr>
                  </w:pPr>
                </w:p>
              </w:tc>
              <w:tc>
                <w:tcPr>
                  <w:tcW w:w="1108" w:type="dxa"/>
                  <w:vMerge w:val="restart"/>
                  <w:tcBorders>
                    <w:tl2br w:val="nil"/>
                    <w:tr2bl w:val="nil"/>
                  </w:tcBorders>
                  <w:vAlign w:val="center"/>
                </w:tcPr>
                <w:p w14:paraId="10361677">
                  <w:pPr>
                    <w:adjustRightInd w:val="0"/>
                    <w:snapToGrid w:val="0"/>
                    <w:jc w:val="center"/>
                    <w:rPr>
                      <w:sz w:val="21"/>
                      <w:szCs w:val="21"/>
                    </w:rPr>
                  </w:pPr>
                  <w:r>
                    <w:rPr>
                      <w:rFonts w:hint="eastAsia"/>
                      <w:sz w:val="21"/>
                      <w:szCs w:val="21"/>
                    </w:rPr>
                    <w:t>生态保护</w:t>
                  </w:r>
                </w:p>
              </w:tc>
              <w:tc>
                <w:tcPr>
                  <w:tcW w:w="1541" w:type="dxa"/>
                  <w:tcBorders>
                    <w:tl2br w:val="nil"/>
                    <w:tr2bl w:val="nil"/>
                  </w:tcBorders>
                  <w:vAlign w:val="center"/>
                </w:tcPr>
                <w:p w14:paraId="06087D1F">
                  <w:pPr>
                    <w:tabs>
                      <w:tab w:val="left" w:pos="9765"/>
                    </w:tabs>
                    <w:jc w:val="center"/>
                    <w:rPr>
                      <w:bCs/>
                      <w:sz w:val="21"/>
                      <w:szCs w:val="21"/>
                    </w:rPr>
                  </w:pPr>
                  <w:r>
                    <w:rPr>
                      <w:rFonts w:hint="eastAsia"/>
                      <w:bCs/>
                      <w:sz w:val="21"/>
                      <w:szCs w:val="21"/>
                    </w:rPr>
                    <w:t>施工场地治理</w:t>
                  </w:r>
                </w:p>
              </w:tc>
              <w:tc>
                <w:tcPr>
                  <w:tcW w:w="4778" w:type="dxa"/>
                  <w:tcBorders>
                    <w:tl2br w:val="nil"/>
                    <w:tr2bl w:val="nil"/>
                  </w:tcBorders>
                  <w:vAlign w:val="center"/>
                </w:tcPr>
                <w:p w14:paraId="0EB4AFFC">
                  <w:pPr>
                    <w:tabs>
                      <w:tab w:val="left" w:pos="9765"/>
                    </w:tabs>
                    <w:rPr>
                      <w:bCs/>
                      <w:sz w:val="21"/>
                      <w:szCs w:val="21"/>
                    </w:rPr>
                  </w:pPr>
                  <w:r>
                    <w:rPr>
                      <w:rFonts w:hint="eastAsia"/>
                      <w:bCs/>
                      <w:sz w:val="21"/>
                      <w:szCs w:val="21"/>
                    </w:rPr>
                    <w:t>控制作业面积，裸露地面采取临时遮盖措施，施工区域设置排水沟、截水沟等设施。</w:t>
                  </w:r>
                </w:p>
              </w:tc>
              <w:tc>
                <w:tcPr>
                  <w:tcW w:w="1092" w:type="dxa"/>
                  <w:tcBorders>
                    <w:tl2br w:val="nil"/>
                    <w:tr2bl w:val="nil"/>
                  </w:tcBorders>
                  <w:tcMar>
                    <w:left w:w="0" w:type="dxa"/>
                    <w:right w:w="0" w:type="dxa"/>
                  </w:tcMar>
                  <w:vAlign w:val="center"/>
                </w:tcPr>
                <w:p w14:paraId="44CFFFFB">
                  <w:pPr>
                    <w:adjustRightInd w:val="0"/>
                    <w:snapToGrid w:val="0"/>
                    <w:jc w:val="center"/>
                    <w:rPr>
                      <w:sz w:val="21"/>
                      <w:szCs w:val="21"/>
                    </w:rPr>
                  </w:pPr>
                  <w:r>
                    <w:rPr>
                      <w:rFonts w:hint="eastAsia"/>
                      <w:sz w:val="21"/>
                      <w:szCs w:val="21"/>
                    </w:rPr>
                    <w:t>***</w:t>
                  </w:r>
                </w:p>
              </w:tc>
            </w:tr>
            <w:tr w14:paraId="67852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54316C3C">
                  <w:pPr>
                    <w:adjustRightInd w:val="0"/>
                    <w:snapToGrid w:val="0"/>
                    <w:jc w:val="center"/>
                    <w:rPr>
                      <w:sz w:val="21"/>
                      <w:szCs w:val="21"/>
                    </w:rPr>
                  </w:pPr>
                </w:p>
              </w:tc>
              <w:tc>
                <w:tcPr>
                  <w:tcW w:w="1108" w:type="dxa"/>
                  <w:vMerge w:val="continue"/>
                  <w:tcBorders>
                    <w:tl2br w:val="nil"/>
                    <w:tr2bl w:val="nil"/>
                  </w:tcBorders>
                  <w:vAlign w:val="center"/>
                </w:tcPr>
                <w:p w14:paraId="071222A0">
                  <w:pPr>
                    <w:adjustRightInd w:val="0"/>
                    <w:snapToGrid w:val="0"/>
                    <w:jc w:val="center"/>
                    <w:rPr>
                      <w:sz w:val="21"/>
                      <w:szCs w:val="21"/>
                    </w:rPr>
                  </w:pPr>
                </w:p>
              </w:tc>
              <w:tc>
                <w:tcPr>
                  <w:tcW w:w="1541" w:type="dxa"/>
                  <w:tcBorders>
                    <w:tl2br w:val="nil"/>
                    <w:tr2bl w:val="nil"/>
                  </w:tcBorders>
                  <w:vAlign w:val="center"/>
                </w:tcPr>
                <w:p w14:paraId="5DC70C05">
                  <w:pPr>
                    <w:tabs>
                      <w:tab w:val="left" w:pos="9765"/>
                    </w:tabs>
                    <w:jc w:val="center"/>
                    <w:rPr>
                      <w:bCs/>
                      <w:sz w:val="21"/>
                      <w:szCs w:val="21"/>
                    </w:rPr>
                  </w:pPr>
                  <w:r>
                    <w:rPr>
                      <w:rFonts w:hint="eastAsia"/>
                      <w:bCs/>
                      <w:sz w:val="21"/>
                      <w:szCs w:val="21"/>
                    </w:rPr>
                    <w:t>陆生生态保护措施</w:t>
                  </w:r>
                </w:p>
              </w:tc>
              <w:tc>
                <w:tcPr>
                  <w:tcW w:w="4778" w:type="dxa"/>
                  <w:tcBorders>
                    <w:tl2br w:val="nil"/>
                    <w:tr2bl w:val="nil"/>
                  </w:tcBorders>
                  <w:vAlign w:val="center"/>
                </w:tcPr>
                <w:p w14:paraId="382508FD">
                  <w:pPr>
                    <w:tabs>
                      <w:tab w:val="left" w:pos="9765"/>
                    </w:tabs>
                    <w:rPr>
                      <w:bCs/>
                      <w:sz w:val="21"/>
                      <w:szCs w:val="21"/>
                    </w:rPr>
                  </w:pPr>
                  <w:r>
                    <w:rPr>
                      <w:rFonts w:hint="eastAsia"/>
                      <w:bCs/>
                      <w:sz w:val="21"/>
                      <w:szCs w:val="21"/>
                    </w:rPr>
                    <w:t>加强环保宣传，减少临时占地，控制施工作业面，表土分层开挖、堆放、回填，严禁捕猎野生动物，设置警示牌。</w:t>
                  </w:r>
                </w:p>
              </w:tc>
              <w:tc>
                <w:tcPr>
                  <w:tcW w:w="1092" w:type="dxa"/>
                  <w:tcBorders>
                    <w:tl2br w:val="nil"/>
                    <w:tr2bl w:val="nil"/>
                  </w:tcBorders>
                  <w:tcMar>
                    <w:left w:w="0" w:type="dxa"/>
                    <w:right w:w="0" w:type="dxa"/>
                  </w:tcMar>
                  <w:vAlign w:val="center"/>
                </w:tcPr>
                <w:p w14:paraId="7FD69E55">
                  <w:pPr>
                    <w:adjustRightInd w:val="0"/>
                    <w:snapToGrid w:val="0"/>
                    <w:jc w:val="center"/>
                    <w:rPr>
                      <w:sz w:val="21"/>
                      <w:szCs w:val="21"/>
                    </w:rPr>
                  </w:pPr>
                  <w:r>
                    <w:rPr>
                      <w:rFonts w:hint="eastAsia"/>
                      <w:sz w:val="21"/>
                      <w:szCs w:val="21"/>
                    </w:rPr>
                    <w:t>***</w:t>
                  </w:r>
                </w:p>
              </w:tc>
            </w:tr>
            <w:tr w14:paraId="08958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7B321C44">
                  <w:pPr>
                    <w:adjustRightInd w:val="0"/>
                    <w:snapToGrid w:val="0"/>
                    <w:jc w:val="center"/>
                    <w:rPr>
                      <w:sz w:val="21"/>
                      <w:szCs w:val="21"/>
                    </w:rPr>
                  </w:pPr>
                </w:p>
              </w:tc>
              <w:tc>
                <w:tcPr>
                  <w:tcW w:w="1108" w:type="dxa"/>
                  <w:vMerge w:val="continue"/>
                  <w:tcBorders>
                    <w:tl2br w:val="nil"/>
                    <w:tr2bl w:val="nil"/>
                  </w:tcBorders>
                  <w:vAlign w:val="center"/>
                </w:tcPr>
                <w:p w14:paraId="4C7361ED">
                  <w:pPr>
                    <w:adjustRightInd w:val="0"/>
                    <w:snapToGrid w:val="0"/>
                    <w:jc w:val="center"/>
                    <w:rPr>
                      <w:sz w:val="21"/>
                      <w:szCs w:val="21"/>
                    </w:rPr>
                  </w:pPr>
                </w:p>
              </w:tc>
              <w:tc>
                <w:tcPr>
                  <w:tcW w:w="1541" w:type="dxa"/>
                  <w:tcBorders>
                    <w:tl2br w:val="nil"/>
                    <w:tr2bl w:val="nil"/>
                  </w:tcBorders>
                  <w:vAlign w:val="center"/>
                </w:tcPr>
                <w:p w14:paraId="01809971">
                  <w:pPr>
                    <w:tabs>
                      <w:tab w:val="left" w:pos="9765"/>
                    </w:tabs>
                    <w:jc w:val="center"/>
                    <w:rPr>
                      <w:bCs/>
                      <w:sz w:val="21"/>
                      <w:szCs w:val="21"/>
                    </w:rPr>
                  </w:pPr>
                  <w:r>
                    <w:rPr>
                      <w:rFonts w:hint="eastAsia"/>
                      <w:bCs/>
                      <w:sz w:val="21"/>
                      <w:szCs w:val="21"/>
                    </w:rPr>
                    <w:t>水生生态保护措施</w:t>
                  </w:r>
                </w:p>
              </w:tc>
              <w:tc>
                <w:tcPr>
                  <w:tcW w:w="4778" w:type="dxa"/>
                  <w:tcBorders>
                    <w:tl2br w:val="nil"/>
                    <w:tr2bl w:val="nil"/>
                  </w:tcBorders>
                  <w:vAlign w:val="center"/>
                </w:tcPr>
                <w:p w14:paraId="3D8B3D72">
                  <w:pPr>
                    <w:tabs>
                      <w:tab w:val="left" w:pos="9765"/>
                    </w:tabs>
                    <w:rPr>
                      <w:bCs/>
                      <w:sz w:val="21"/>
                      <w:szCs w:val="21"/>
                    </w:rPr>
                  </w:pPr>
                  <w:r>
                    <w:rPr>
                      <w:rFonts w:hint="eastAsia"/>
                      <w:bCs/>
                      <w:sz w:val="21"/>
                      <w:szCs w:val="21"/>
                    </w:rPr>
                    <w:t>施工已安排在枯水期，严禁捕捞鱼类，禁止弃渣、废水等排入河道，加强设备维护，避免油类物质进入河道，加强水生生物及其生境的保护；按《泸定县海螺沟山洪沟（共和村、柏秧坪村段）治理工程对水生生物影响及补救措施专题评价报告》及甘孜州农牧农村局审查意见（甘农牧函〔2026〕144号）要求，落实水生生态资源补偿费（鱼类监测、保护宣传及巡护）5万元。</w:t>
                  </w:r>
                </w:p>
              </w:tc>
              <w:tc>
                <w:tcPr>
                  <w:tcW w:w="1092" w:type="dxa"/>
                  <w:tcBorders>
                    <w:tl2br w:val="nil"/>
                    <w:tr2bl w:val="nil"/>
                  </w:tcBorders>
                  <w:tcMar>
                    <w:left w:w="0" w:type="dxa"/>
                    <w:right w:w="0" w:type="dxa"/>
                  </w:tcMar>
                  <w:vAlign w:val="center"/>
                </w:tcPr>
                <w:p w14:paraId="21C11D80">
                  <w:pPr>
                    <w:adjustRightInd w:val="0"/>
                    <w:snapToGrid w:val="0"/>
                    <w:jc w:val="center"/>
                    <w:rPr>
                      <w:sz w:val="21"/>
                      <w:szCs w:val="21"/>
                    </w:rPr>
                  </w:pPr>
                  <w:r>
                    <w:rPr>
                      <w:rFonts w:hint="eastAsia"/>
                      <w:sz w:val="21"/>
                      <w:szCs w:val="21"/>
                    </w:rPr>
                    <w:t>***</w:t>
                  </w:r>
                </w:p>
              </w:tc>
            </w:tr>
            <w:tr w14:paraId="57BFAA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6BD05577">
                  <w:pPr>
                    <w:adjustRightInd w:val="0"/>
                    <w:snapToGrid w:val="0"/>
                    <w:jc w:val="center"/>
                    <w:rPr>
                      <w:sz w:val="21"/>
                      <w:szCs w:val="21"/>
                    </w:rPr>
                  </w:pPr>
                </w:p>
              </w:tc>
              <w:tc>
                <w:tcPr>
                  <w:tcW w:w="1108" w:type="dxa"/>
                  <w:vMerge w:val="continue"/>
                  <w:tcBorders>
                    <w:tl2br w:val="nil"/>
                    <w:tr2bl w:val="nil"/>
                  </w:tcBorders>
                  <w:vAlign w:val="center"/>
                </w:tcPr>
                <w:p w14:paraId="326BB456">
                  <w:pPr>
                    <w:adjustRightInd w:val="0"/>
                    <w:snapToGrid w:val="0"/>
                    <w:jc w:val="center"/>
                    <w:rPr>
                      <w:sz w:val="21"/>
                      <w:szCs w:val="21"/>
                    </w:rPr>
                  </w:pPr>
                </w:p>
              </w:tc>
              <w:tc>
                <w:tcPr>
                  <w:tcW w:w="1541" w:type="dxa"/>
                  <w:tcBorders>
                    <w:tl2br w:val="nil"/>
                    <w:tr2bl w:val="nil"/>
                  </w:tcBorders>
                  <w:vAlign w:val="center"/>
                </w:tcPr>
                <w:p w14:paraId="68F215B1">
                  <w:pPr>
                    <w:tabs>
                      <w:tab w:val="left" w:pos="9765"/>
                    </w:tabs>
                    <w:jc w:val="center"/>
                    <w:rPr>
                      <w:bCs/>
                      <w:sz w:val="21"/>
                      <w:szCs w:val="21"/>
                    </w:rPr>
                  </w:pPr>
                  <w:r>
                    <w:rPr>
                      <w:rFonts w:hint="eastAsia"/>
                      <w:bCs/>
                      <w:sz w:val="21"/>
                      <w:szCs w:val="21"/>
                    </w:rPr>
                    <w:t>水土流失防治措施</w:t>
                  </w:r>
                </w:p>
              </w:tc>
              <w:tc>
                <w:tcPr>
                  <w:tcW w:w="4778" w:type="dxa"/>
                  <w:tcBorders>
                    <w:tl2br w:val="nil"/>
                    <w:tr2bl w:val="nil"/>
                  </w:tcBorders>
                  <w:vAlign w:val="center"/>
                </w:tcPr>
                <w:p w14:paraId="2A3707F6">
                  <w:pPr>
                    <w:tabs>
                      <w:tab w:val="left" w:pos="9765"/>
                    </w:tabs>
                    <w:rPr>
                      <w:bCs/>
                      <w:sz w:val="21"/>
                      <w:szCs w:val="21"/>
                    </w:rPr>
                  </w:pPr>
                  <w:r>
                    <w:rPr>
                      <w:rFonts w:hint="eastAsia"/>
                      <w:bCs/>
                      <w:sz w:val="21"/>
                      <w:szCs w:val="21"/>
                    </w:rPr>
                    <w:t>优化施工方法，减少地表扰动，避开雨季施工，控制施工区域，临时堆场设置围挡和遮盖措施。</w:t>
                  </w:r>
                </w:p>
              </w:tc>
              <w:tc>
                <w:tcPr>
                  <w:tcW w:w="1092" w:type="dxa"/>
                  <w:tcBorders>
                    <w:tl2br w:val="nil"/>
                    <w:tr2bl w:val="nil"/>
                  </w:tcBorders>
                  <w:tcMar>
                    <w:left w:w="0" w:type="dxa"/>
                    <w:right w:w="0" w:type="dxa"/>
                  </w:tcMar>
                  <w:vAlign w:val="center"/>
                </w:tcPr>
                <w:p w14:paraId="1C3927FC">
                  <w:pPr>
                    <w:adjustRightInd w:val="0"/>
                    <w:snapToGrid w:val="0"/>
                    <w:jc w:val="center"/>
                    <w:rPr>
                      <w:sz w:val="21"/>
                      <w:szCs w:val="21"/>
                    </w:rPr>
                  </w:pPr>
                  <w:r>
                    <w:rPr>
                      <w:rFonts w:hint="eastAsia"/>
                      <w:sz w:val="21"/>
                      <w:szCs w:val="21"/>
                    </w:rPr>
                    <w:t>***</w:t>
                  </w:r>
                </w:p>
              </w:tc>
            </w:tr>
            <w:tr w14:paraId="2AECAD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7" w:type="dxa"/>
                  <w:vMerge w:val="continue"/>
                  <w:tcBorders>
                    <w:tl2br w:val="nil"/>
                    <w:tr2bl w:val="nil"/>
                  </w:tcBorders>
                  <w:vAlign w:val="center"/>
                </w:tcPr>
                <w:p w14:paraId="6EF0E3C1">
                  <w:pPr>
                    <w:adjustRightInd w:val="0"/>
                    <w:snapToGrid w:val="0"/>
                    <w:jc w:val="center"/>
                    <w:rPr>
                      <w:sz w:val="21"/>
                      <w:szCs w:val="21"/>
                    </w:rPr>
                  </w:pPr>
                </w:p>
              </w:tc>
              <w:tc>
                <w:tcPr>
                  <w:tcW w:w="2649" w:type="dxa"/>
                  <w:gridSpan w:val="2"/>
                  <w:tcBorders>
                    <w:tl2br w:val="nil"/>
                    <w:tr2bl w:val="nil"/>
                  </w:tcBorders>
                  <w:vAlign w:val="center"/>
                </w:tcPr>
                <w:p w14:paraId="2A5E47AB">
                  <w:pPr>
                    <w:adjustRightInd w:val="0"/>
                    <w:snapToGrid w:val="0"/>
                    <w:jc w:val="center"/>
                    <w:rPr>
                      <w:sz w:val="21"/>
                      <w:szCs w:val="21"/>
                    </w:rPr>
                  </w:pPr>
                  <w:r>
                    <w:rPr>
                      <w:rFonts w:hint="eastAsia"/>
                      <w:sz w:val="21"/>
                      <w:szCs w:val="21"/>
                    </w:rPr>
                    <w:t>环境管理及监测</w:t>
                  </w:r>
                </w:p>
              </w:tc>
              <w:tc>
                <w:tcPr>
                  <w:tcW w:w="4778" w:type="dxa"/>
                  <w:tcBorders>
                    <w:tl2br w:val="nil"/>
                    <w:tr2bl w:val="nil"/>
                  </w:tcBorders>
                  <w:vAlign w:val="center"/>
                </w:tcPr>
                <w:p w14:paraId="7DF03BF7">
                  <w:pPr>
                    <w:adjustRightInd w:val="0"/>
                    <w:snapToGrid w:val="0"/>
                    <w:rPr>
                      <w:sz w:val="21"/>
                      <w:szCs w:val="21"/>
                    </w:rPr>
                  </w:pPr>
                  <w:r>
                    <w:rPr>
                      <w:rFonts w:hint="eastAsia"/>
                      <w:sz w:val="21"/>
                      <w:szCs w:val="21"/>
                    </w:rPr>
                    <w:t>加强员工环保培训，并对施工现场进行环境监理，制定运营期自行监测计划</w:t>
                  </w:r>
                </w:p>
              </w:tc>
              <w:tc>
                <w:tcPr>
                  <w:tcW w:w="1092" w:type="dxa"/>
                  <w:tcBorders>
                    <w:tl2br w:val="nil"/>
                    <w:tr2bl w:val="nil"/>
                  </w:tcBorders>
                  <w:tcMar>
                    <w:left w:w="0" w:type="dxa"/>
                    <w:right w:w="0" w:type="dxa"/>
                  </w:tcMar>
                  <w:vAlign w:val="center"/>
                </w:tcPr>
                <w:p w14:paraId="04397290">
                  <w:pPr>
                    <w:adjustRightInd w:val="0"/>
                    <w:snapToGrid w:val="0"/>
                    <w:jc w:val="center"/>
                    <w:rPr>
                      <w:sz w:val="21"/>
                      <w:szCs w:val="21"/>
                    </w:rPr>
                  </w:pPr>
                  <w:r>
                    <w:rPr>
                      <w:rFonts w:hint="eastAsia"/>
                      <w:sz w:val="21"/>
                      <w:szCs w:val="21"/>
                    </w:rPr>
                    <w:t>***</w:t>
                  </w:r>
                </w:p>
              </w:tc>
            </w:tr>
            <w:tr w14:paraId="534DB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54" w:type="dxa"/>
                  <w:gridSpan w:val="4"/>
                  <w:tcBorders>
                    <w:tl2br w:val="nil"/>
                    <w:tr2bl w:val="nil"/>
                  </w:tcBorders>
                  <w:vAlign w:val="center"/>
                </w:tcPr>
                <w:p w14:paraId="54C0EBD0">
                  <w:pPr>
                    <w:adjustRightInd w:val="0"/>
                    <w:snapToGrid w:val="0"/>
                    <w:rPr>
                      <w:b/>
                      <w:sz w:val="21"/>
                      <w:szCs w:val="21"/>
                    </w:rPr>
                  </w:pPr>
                  <w:r>
                    <w:rPr>
                      <w:rFonts w:hint="eastAsia"/>
                      <w:b/>
                      <w:sz w:val="21"/>
                      <w:szCs w:val="21"/>
                    </w:rPr>
                    <w:t>合计</w:t>
                  </w:r>
                </w:p>
              </w:tc>
              <w:tc>
                <w:tcPr>
                  <w:tcW w:w="1092" w:type="dxa"/>
                  <w:tcBorders>
                    <w:tl2br w:val="nil"/>
                    <w:tr2bl w:val="nil"/>
                  </w:tcBorders>
                  <w:tcMar>
                    <w:left w:w="0" w:type="dxa"/>
                    <w:right w:w="0" w:type="dxa"/>
                  </w:tcMar>
                  <w:vAlign w:val="center"/>
                </w:tcPr>
                <w:p w14:paraId="0823750A">
                  <w:pPr>
                    <w:adjustRightInd w:val="0"/>
                    <w:snapToGrid w:val="0"/>
                    <w:jc w:val="center"/>
                    <w:rPr>
                      <w:sz w:val="21"/>
                      <w:szCs w:val="21"/>
                    </w:rPr>
                  </w:pPr>
                  <w:r>
                    <w:rPr>
                      <w:rFonts w:hint="eastAsia"/>
                      <w:sz w:val="21"/>
                      <w:szCs w:val="21"/>
                    </w:rPr>
                    <w:t>***</w:t>
                  </w:r>
                </w:p>
              </w:tc>
            </w:tr>
          </w:tbl>
          <w:p w14:paraId="67A74078">
            <w:pPr>
              <w:pStyle w:val="11"/>
            </w:pPr>
          </w:p>
          <w:p w14:paraId="166136A1">
            <w:pPr>
              <w:pStyle w:val="11"/>
            </w:pPr>
          </w:p>
        </w:tc>
      </w:tr>
    </w:tbl>
    <w:p w14:paraId="118B9198">
      <w:pPr>
        <w:pStyle w:val="17"/>
        <w:ind w:left="0" w:leftChars="0"/>
        <w:sectPr>
          <w:pgSz w:w="11906" w:h="16838"/>
          <w:pgMar w:top="1440" w:right="1080" w:bottom="1440" w:left="1080" w:header="851" w:footer="992" w:gutter="0"/>
          <w:cols w:space="720" w:num="1"/>
          <w:docGrid w:type="lines" w:linePitch="312" w:charSpace="0"/>
        </w:sectPr>
      </w:pPr>
    </w:p>
    <w:p w14:paraId="7B5C7AA9">
      <w:pPr>
        <w:tabs>
          <w:tab w:val="left" w:pos="1005"/>
        </w:tabs>
        <w:jc w:val="center"/>
        <w:outlineLvl w:val="0"/>
        <w:rPr>
          <w:rFonts w:eastAsia="黑体"/>
          <w:sz w:val="30"/>
          <w:szCs w:val="30"/>
        </w:rPr>
      </w:pPr>
      <w:r>
        <w:rPr>
          <w:rFonts w:hint="eastAsia" w:eastAsia="黑体"/>
          <w:sz w:val="30"/>
          <w:szCs w:val="30"/>
        </w:rPr>
        <w:t>六、生态环境保护措施监督检查清单</w:t>
      </w:r>
      <w:bookmarkEnd w:id="9"/>
    </w:p>
    <w:tbl>
      <w:tblPr>
        <w:tblStyle w:val="28"/>
        <w:tblW w:w="48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4849"/>
        <w:gridCol w:w="1447"/>
        <w:gridCol w:w="923"/>
        <w:gridCol w:w="1020"/>
      </w:tblGrid>
      <w:tr w14:paraId="6E2F2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Merge w:val="restart"/>
            <w:tcBorders>
              <w:tl2br w:val="single" w:color="auto" w:sz="4" w:space="0"/>
            </w:tcBorders>
          </w:tcPr>
          <w:p w14:paraId="25DAAD04">
            <w:pPr>
              <w:pStyle w:val="24"/>
              <w:adjustRightInd w:val="0"/>
              <w:snapToGrid w:val="0"/>
              <w:spacing w:beforeAutospacing="0" w:afterAutospacing="0"/>
              <w:jc w:val="center"/>
              <w:outlineLvl w:val="0"/>
              <w:rPr>
                <w:b/>
                <w:bCs/>
                <w:kern w:val="2"/>
                <w:sz w:val="21"/>
                <w:szCs w:val="21"/>
              </w:rPr>
            </w:pPr>
            <w:bookmarkStart w:id="10" w:name="_Toc13691"/>
            <w:r>
              <w:rPr>
                <w:rFonts w:hint="eastAsia"/>
                <w:b/>
                <w:bCs/>
                <w:kern w:val="2"/>
                <w:sz w:val="21"/>
                <w:szCs w:val="21"/>
              </w:rPr>
              <w:t>内容</w:t>
            </w:r>
            <w:bookmarkEnd w:id="10"/>
          </w:p>
          <w:p w14:paraId="512C439A">
            <w:pPr>
              <w:pStyle w:val="24"/>
              <w:adjustRightInd w:val="0"/>
              <w:snapToGrid w:val="0"/>
              <w:spacing w:beforeAutospacing="0" w:afterAutospacing="0"/>
              <w:jc w:val="center"/>
              <w:outlineLvl w:val="0"/>
              <w:rPr>
                <w:b/>
                <w:bCs/>
                <w:kern w:val="2"/>
                <w:sz w:val="21"/>
                <w:szCs w:val="21"/>
              </w:rPr>
            </w:pPr>
          </w:p>
          <w:p w14:paraId="2A2A39EC">
            <w:pPr>
              <w:pStyle w:val="24"/>
              <w:adjustRightInd w:val="0"/>
              <w:snapToGrid w:val="0"/>
              <w:spacing w:beforeAutospacing="0" w:afterAutospacing="0"/>
              <w:jc w:val="center"/>
              <w:outlineLvl w:val="0"/>
              <w:rPr>
                <w:b/>
                <w:bCs/>
                <w:kern w:val="2"/>
                <w:sz w:val="21"/>
                <w:szCs w:val="21"/>
              </w:rPr>
            </w:pPr>
            <w:bookmarkStart w:id="11" w:name="_Toc9075"/>
            <w:r>
              <w:rPr>
                <w:rFonts w:hint="eastAsia"/>
                <w:b/>
                <w:bCs/>
                <w:kern w:val="2"/>
                <w:sz w:val="21"/>
                <w:szCs w:val="21"/>
              </w:rPr>
              <w:t>要素</w:t>
            </w:r>
            <w:bookmarkEnd w:id="11"/>
          </w:p>
        </w:tc>
        <w:tc>
          <w:tcPr>
            <w:tcW w:w="3302" w:type="pct"/>
            <w:gridSpan w:val="2"/>
            <w:vAlign w:val="center"/>
          </w:tcPr>
          <w:p w14:paraId="30FCD772">
            <w:pPr>
              <w:pStyle w:val="24"/>
              <w:adjustRightInd w:val="0"/>
              <w:snapToGrid w:val="0"/>
              <w:spacing w:beforeAutospacing="0" w:afterAutospacing="0"/>
              <w:jc w:val="center"/>
              <w:outlineLvl w:val="0"/>
              <w:rPr>
                <w:b/>
                <w:bCs/>
                <w:kern w:val="2"/>
                <w:sz w:val="21"/>
                <w:szCs w:val="21"/>
              </w:rPr>
            </w:pPr>
            <w:bookmarkStart w:id="12" w:name="_Toc18192"/>
            <w:r>
              <w:rPr>
                <w:rFonts w:hint="eastAsia"/>
                <w:b/>
                <w:bCs/>
                <w:kern w:val="2"/>
                <w:sz w:val="21"/>
                <w:szCs w:val="21"/>
              </w:rPr>
              <w:t>施工期</w:t>
            </w:r>
            <w:bookmarkEnd w:id="12"/>
          </w:p>
        </w:tc>
        <w:tc>
          <w:tcPr>
            <w:tcW w:w="1019" w:type="pct"/>
            <w:gridSpan w:val="2"/>
            <w:vAlign w:val="center"/>
          </w:tcPr>
          <w:p w14:paraId="6EE1F98B">
            <w:pPr>
              <w:pStyle w:val="24"/>
              <w:adjustRightInd w:val="0"/>
              <w:snapToGrid w:val="0"/>
              <w:spacing w:beforeAutospacing="0" w:afterAutospacing="0"/>
              <w:jc w:val="center"/>
              <w:outlineLvl w:val="0"/>
              <w:rPr>
                <w:b/>
                <w:bCs/>
                <w:kern w:val="2"/>
                <w:sz w:val="21"/>
                <w:szCs w:val="21"/>
              </w:rPr>
            </w:pPr>
            <w:bookmarkStart w:id="13" w:name="_Toc17823"/>
            <w:r>
              <w:rPr>
                <w:rFonts w:hint="eastAsia"/>
                <w:b/>
                <w:bCs/>
                <w:kern w:val="2"/>
                <w:sz w:val="21"/>
                <w:szCs w:val="21"/>
              </w:rPr>
              <w:t>运营期</w:t>
            </w:r>
            <w:bookmarkEnd w:id="13"/>
          </w:p>
        </w:tc>
      </w:tr>
      <w:tr w14:paraId="29848C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Merge w:val="continue"/>
          </w:tcPr>
          <w:p w14:paraId="2309595E">
            <w:pPr>
              <w:pStyle w:val="24"/>
              <w:adjustRightInd w:val="0"/>
              <w:snapToGrid w:val="0"/>
              <w:spacing w:beforeAutospacing="0" w:afterAutospacing="0"/>
              <w:ind w:firstLine="840"/>
              <w:jc w:val="center"/>
              <w:outlineLvl w:val="0"/>
              <w:rPr>
                <w:b/>
                <w:bCs/>
                <w:kern w:val="2"/>
                <w:sz w:val="21"/>
                <w:szCs w:val="21"/>
              </w:rPr>
            </w:pPr>
          </w:p>
        </w:tc>
        <w:tc>
          <w:tcPr>
            <w:tcW w:w="2543" w:type="pct"/>
            <w:vAlign w:val="center"/>
          </w:tcPr>
          <w:p w14:paraId="38B63999">
            <w:pPr>
              <w:pStyle w:val="24"/>
              <w:adjustRightInd w:val="0"/>
              <w:snapToGrid w:val="0"/>
              <w:spacing w:beforeAutospacing="0" w:afterAutospacing="0"/>
              <w:jc w:val="center"/>
              <w:outlineLvl w:val="0"/>
              <w:rPr>
                <w:b/>
                <w:bCs/>
                <w:kern w:val="2"/>
                <w:sz w:val="21"/>
                <w:szCs w:val="21"/>
              </w:rPr>
            </w:pPr>
            <w:bookmarkStart w:id="14" w:name="_Toc14323"/>
            <w:r>
              <w:rPr>
                <w:rFonts w:hint="eastAsia"/>
                <w:b/>
                <w:bCs/>
                <w:kern w:val="2"/>
                <w:sz w:val="21"/>
                <w:szCs w:val="21"/>
              </w:rPr>
              <w:t>环境保护措施</w:t>
            </w:r>
            <w:bookmarkEnd w:id="14"/>
          </w:p>
        </w:tc>
        <w:tc>
          <w:tcPr>
            <w:tcW w:w="759" w:type="pct"/>
            <w:vAlign w:val="center"/>
          </w:tcPr>
          <w:p w14:paraId="41CC833D">
            <w:pPr>
              <w:pStyle w:val="24"/>
              <w:adjustRightInd w:val="0"/>
              <w:snapToGrid w:val="0"/>
              <w:spacing w:beforeAutospacing="0" w:afterAutospacing="0"/>
              <w:jc w:val="center"/>
              <w:outlineLvl w:val="0"/>
              <w:rPr>
                <w:b/>
                <w:bCs/>
                <w:kern w:val="2"/>
                <w:sz w:val="21"/>
                <w:szCs w:val="21"/>
              </w:rPr>
            </w:pPr>
            <w:bookmarkStart w:id="15" w:name="_Toc22624"/>
            <w:r>
              <w:rPr>
                <w:rFonts w:hint="eastAsia"/>
                <w:b/>
                <w:bCs/>
                <w:kern w:val="2"/>
                <w:sz w:val="21"/>
                <w:szCs w:val="21"/>
              </w:rPr>
              <w:t>验收要求</w:t>
            </w:r>
            <w:bookmarkEnd w:id="15"/>
          </w:p>
        </w:tc>
        <w:tc>
          <w:tcPr>
            <w:tcW w:w="484" w:type="pct"/>
            <w:vAlign w:val="center"/>
          </w:tcPr>
          <w:p w14:paraId="5DD3A123">
            <w:pPr>
              <w:pStyle w:val="24"/>
              <w:adjustRightInd w:val="0"/>
              <w:snapToGrid w:val="0"/>
              <w:spacing w:beforeAutospacing="0" w:afterAutospacing="0"/>
              <w:jc w:val="center"/>
              <w:outlineLvl w:val="0"/>
              <w:rPr>
                <w:b/>
                <w:bCs/>
                <w:kern w:val="2"/>
                <w:sz w:val="21"/>
                <w:szCs w:val="21"/>
              </w:rPr>
            </w:pPr>
            <w:bookmarkStart w:id="16" w:name="_Toc3207"/>
            <w:r>
              <w:rPr>
                <w:rFonts w:hint="eastAsia"/>
                <w:b/>
                <w:bCs/>
                <w:kern w:val="2"/>
                <w:sz w:val="21"/>
                <w:szCs w:val="21"/>
              </w:rPr>
              <w:t>环境保护措施</w:t>
            </w:r>
            <w:bookmarkEnd w:id="16"/>
          </w:p>
        </w:tc>
        <w:tc>
          <w:tcPr>
            <w:tcW w:w="535" w:type="pct"/>
            <w:vAlign w:val="center"/>
          </w:tcPr>
          <w:p w14:paraId="1AD99DB9">
            <w:pPr>
              <w:pStyle w:val="24"/>
              <w:adjustRightInd w:val="0"/>
              <w:snapToGrid w:val="0"/>
              <w:spacing w:beforeAutospacing="0" w:afterAutospacing="0"/>
              <w:jc w:val="center"/>
              <w:outlineLvl w:val="0"/>
              <w:rPr>
                <w:b/>
                <w:bCs/>
                <w:kern w:val="2"/>
                <w:sz w:val="21"/>
                <w:szCs w:val="21"/>
              </w:rPr>
            </w:pPr>
            <w:bookmarkStart w:id="17" w:name="_Toc31927"/>
            <w:r>
              <w:rPr>
                <w:rFonts w:hint="eastAsia"/>
                <w:b/>
                <w:bCs/>
                <w:kern w:val="2"/>
                <w:sz w:val="21"/>
                <w:szCs w:val="21"/>
              </w:rPr>
              <w:t>验收要求</w:t>
            </w:r>
            <w:bookmarkEnd w:id="17"/>
          </w:p>
        </w:tc>
      </w:tr>
      <w:tr w14:paraId="2D9CE4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5D01E572">
            <w:pPr>
              <w:adjustRightInd w:val="0"/>
              <w:snapToGrid w:val="0"/>
              <w:jc w:val="center"/>
              <w:rPr>
                <w:sz w:val="21"/>
                <w:szCs w:val="21"/>
              </w:rPr>
            </w:pPr>
            <w:r>
              <w:rPr>
                <w:rFonts w:hint="eastAsia"/>
                <w:sz w:val="21"/>
                <w:szCs w:val="21"/>
              </w:rPr>
              <w:t>陆生生态</w:t>
            </w:r>
          </w:p>
        </w:tc>
        <w:tc>
          <w:tcPr>
            <w:tcW w:w="2543" w:type="pct"/>
            <w:vAlign w:val="center"/>
          </w:tcPr>
          <w:p w14:paraId="2CCC3D7A">
            <w:pPr>
              <w:adjustRightInd w:val="0"/>
              <w:snapToGrid w:val="0"/>
              <w:jc w:val="left"/>
              <w:rPr>
                <w:b/>
                <w:sz w:val="21"/>
                <w:szCs w:val="21"/>
              </w:rPr>
            </w:pPr>
            <w:r>
              <w:rPr>
                <w:rFonts w:hint="eastAsia"/>
                <w:sz w:val="21"/>
                <w:szCs w:val="21"/>
              </w:rPr>
              <w:t>严格控制施工占用土地，剥离表土暂存于临时堆土场，用于植物绿化的表土回覆；控制施工作业带；临时堆土场四周修建排水沟、沉淀池，施工结束后对施工工区、临时堆土场等进行迹地清理、整治。</w:t>
            </w:r>
          </w:p>
        </w:tc>
        <w:tc>
          <w:tcPr>
            <w:tcW w:w="759" w:type="pct"/>
            <w:vAlign w:val="center"/>
          </w:tcPr>
          <w:p w14:paraId="325F3CD9">
            <w:pPr>
              <w:adjustRightInd w:val="0"/>
              <w:snapToGrid w:val="0"/>
              <w:jc w:val="center"/>
              <w:rPr>
                <w:sz w:val="21"/>
                <w:szCs w:val="21"/>
              </w:rPr>
            </w:pPr>
            <w:r>
              <w:rPr>
                <w:rFonts w:hint="eastAsia"/>
                <w:sz w:val="21"/>
                <w:szCs w:val="21"/>
              </w:rPr>
              <w:t>不造成生态环境质量下降</w:t>
            </w:r>
          </w:p>
        </w:tc>
        <w:tc>
          <w:tcPr>
            <w:tcW w:w="484" w:type="pct"/>
            <w:vAlign w:val="center"/>
          </w:tcPr>
          <w:p w14:paraId="0AAE2E45">
            <w:pPr>
              <w:adjustRightInd w:val="0"/>
              <w:snapToGrid w:val="0"/>
              <w:jc w:val="center"/>
              <w:rPr>
                <w:sz w:val="21"/>
                <w:szCs w:val="21"/>
              </w:rPr>
            </w:pPr>
            <w:r>
              <w:rPr>
                <w:sz w:val="21"/>
                <w:szCs w:val="21"/>
              </w:rPr>
              <w:t>/</w:t>
            </w:r>
          </w:p>
        </w:tc>
        <w:tc>
          <w:tcPr>
            <w:tcW w:w="535" w:type="pct"/>
            <w:vAlign w:val="center"/>
          </w:tcPr>
          <w:p w14:paraId="5731D3F3">
            <w:pPr>
              <w:adjustRightInd w:val="0"/>
              <w:snapToGrid w:val="0"/>
              <w:jc w:val="center"/>
              <w:rPr>
                <w:sz w:val="21"/>
                <w:szCs w:val="21"/>
              </w:rPr>
            </w:pPr>
            <w:r>
              <w:rPr>
                <w:sz w:val="21"/>
                <w:szCs w:val="21"/>
              </w:rPr>
              <w:t>/</w:t>
            </w:r>
          </w:p>
        </w:tc>
      </w:tr>
      <w:tr w14:paraId="465E8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76FD7AB0">
            <w:pPr>
              <w:adjustRightInd w:val="0"/>
              <w:snapToGrid w:val="0"/>
              <w:jc w:val="center"/>
              <w:rPr>
                <w:sz w:val="21"/>
                <w:szCs w:val="21"/>
              </w:rPr>
            </w:pPr>
            <w:r>
              <w:rPr>
                <w:rFonts w:hint="eastAsia"/>
                <w:sz w:val="21"/>
                <w:szCs w:val="21"/>
              </w:rPr>
              <w:t>水生生态</w:t>
            </w:r>
          </w:p>
        </w:tc>
        <w:tc>
          <w:tcPr>
            <w:tcW w:w="2543" w:type="pct"/>
            <w:vAlign w:val="center"/>
          </w:tcPr>
          <w:p w14:paraId="7558BAD4">
            <w:pPr>
              <w:adjustRightInd w:val="0"/>
              <w:snapToGrid w:val="0"/>
              <w:jc w:val="left"/>
              <w:rPr>
                <w:sz w:val="21"/>
                <w:szCs w:val="21"/>
              </w:rPr>
            </w:pPr>
            <w:r>
              <w:rPr>
                <w:rFonts w:hint="eastAsia"/>
                <w:sz w:val="21"/>
                <w:szCs w:val="21"/>
              </w:rPr>
              <w:t>施工期最大程度地减少废水产生，避免石油类、SS等污染物对水体造成局部污染，施工结束后清除围堰等临时建筑。禁止将污水、垃圾及其他施工机械的废油等污染物排入水体，应收集后和工地上的污染物一并处理。通过宣传，加强对施工人员保护动植物意识的教育培养。做好工程完工后施工迹地的清理、整治工作。</w:t>
            </w:r>
          </w:p>
        </w:tc>
        <w:tc>
          <w:tcPr>
            <w:tcW w:w="759" w:type="pct"/>
            <w:vAlign w:val="center"/>
          </w:tcPr>
          <w:p w14:paraId="680451D2">
            <w:pPr>
              <w:adjustRightInd w:val="0"/>
              <w:snapToGrid w:val="0"/>
              <w:jc w:val="center"/>
              <w:rPr>
                <w:sz w:val="21"/>
                <w:szCs w:val="21"/>
              </w:rPr>
            </w:pPr>
            <w:r>
              <w:rPr>
                <w:rFonts w:hint="eastAsia"/>
                <w:sz w:val="21"/>
                <w:szCs w:val="21"/>
              </w:rPr>
              <w:t>水生生境不被破坏</w:t>
            </w:r>
          </w:p>
        </w:tc>
        <w:tc>
          <w:tcPr>
            <w:tcW w:w="484" w:type="pct"/>
            <w:vAlign w:val="center"/>
          </w:tcPr>
          <w:p w14:paraId="08C3DA68">
            <w:pPr>
              <w:adjustRightInd w:val="0"/>
              <w:snapToGrid w:val="0"/>
              <w:jc w:val="center"/>
              <w:rPr>
                <w:sz w:val="21"/>
                <w:szCs w:val="21"/>
              </w:rPr>
            </w:pPr>
            <w:r>
              <w:rPr>
                <w:sz w:val="21"/>
                <w:szCs w:val="21"/>
              </w:rPr>
              <w:t>/</w:t>
            </w:r>
          </w:p>
        </w:tc>
        <w:tc>
          <w:tcPr>
            <w:tcW w:w="535" w:type="pct"/>
            <w:vAlign w:val="center"/>
          </w:tcPr>
          <w:p w14:paraId="5C9E7796">
            <w:pPr>
              <w:adjustRightInd w:val="0"/>
              <w:snapToGrid w:val="0"/>
              <w:jc w:val="center"/>
              <w:rPr>
                <w:sz w:val="21"/>
                <w:szCs w:val="21"/>
              </w:rPr>
            </w:pPr>
            <w:r>
              <w:rPr>
                <w:sz w:val="21"/>
                <w:szCs w:val="21"/>
              </w:rPr>
              <w:t>/</w:t>
            </w:r>
          </w:p>
        </w:tc>
      </w:tr>
      <w:tr w14:paraId="2BA04C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3406C90D">
            <w:pPr>
              <w:adjustRightInd w:val="0"/>
              <w:snapToGrid w:val="0"/>
              <w:jc w:val="center"/>
              <w:rPr>
                <w:sz w:val="21"/>
                <w:szCs w:val="21"/>
              </w:rPr>
            </w:pPr>
            <w:r>
              <w:rPr>
                <w:rFonts w:hint="eastAsia"/>
                <w:sz w:val="21"/>
                <w:szCs w:val="21"/>
              </w:rPr>
              <w:t>地表水环境</w:t>
            </w:r>
          </w:p>
        </w:tc>
        <w:tc>
          <w:tcPr>
            <w:tcW w:w="2543" w:type="pct"/>
            <w:vAlign w:val="center"/>
          </w:tcPr>
          <w:p w14:paraId="035BD9F5">
            <w:pPr>
              <w:adjustRightInd w:val="0"/>
              <w:snapToGrid w:val="0"/>
              <w:rPr>
                <w:b/>
                <w:bCs/>
                <w:sz w:val="21"/>
                <w:szCs w:val="21"/>
              </w:rPr>
            </w:pPr>
            <w:r>
              <w:rPr>
                <w:rFonts w:hint="eastAsia"/>
                <w:b/>
                <w:bCs/>
                <w:sz w:val="21"/>
                <w:szCs w:val="21"/>
              </w:rPr>
              <w:t>施工人员生活污水：</w:t>
            </w:r>
            <w:r>
              <w:rPr>
                <w:rFonts w:hint="eastAsia"/>
                <w:sz w:val="21"/>
                <w:szCs w:val="21"/>
              </w:rPr>
              <w:t>通过租赁民房现有污水处理设施处理后用作农肥不外排</w:t>
            </w:r>
            <w:r>
              <w:rPr>
                <w:rFonts w:hint="eastAsia"/>
                <w:bCs/>
                <w:sz w:val="21"/>
                <w:szCs w:val="21"/>
              </w:rPr>
              <w:t>。</w:t>
            </w:r>
          </w:p>
          <w:p w14:paraId="75C5447F">
            <w:pPr>
              <w:adjustRightInd w:val="0"/>
              <w:snapToGrid w:val="0"/>
              <w:rPr>
                <w:bCs/>
                <w:sz w:val="21"/>
                <w:szCs w:val="21"/>
              </w:rPr>
            </w:pPr>
            <w:r>
              <w:rPr>
                <w:rFonts w:hint="eastAsia"/>
                <w:b/>
                <w:sz w:val="21"/>
                <w:szCs w:val="21"/>
              </w:rPr>
              <w:t>施工机械、车辆冲洗废水：</w:t>
            </w:r>
            <w:r>
              <w:rPr>
                <w:rFonts w:hint="eastAsia"/>
                <w:bCs/>
                <w:sz w:val="21"/>
                <w:szCs w:val="21"/>
              </w:rPr>
              <w:t>施工工区四周设置临时排水沟，并在施工工区低洼处设置隔油沉淀池，在车辆、机械进出口对车辆、机械进行冲洗，冲洗废水经隔油沉淀处理后洒水降尘，不外排。</w:t>
            </w:r>
          </w:p>
          <w:p w14:paraId="2BE1BAB1">
            <w:pPr>
              <w:adjustRightInd w:val="0"/>
              <w:snapToGrid w:val="0"/>
              <w:rPr>
                <w:bCs/>
                <w:sz w:val="21"/>
                <w:szCs w:val="21"/>
              </w:rPr>
            </w:pPr>
            <w:r>
              <w:rPr>
                <w:rFonts w:hint="eastAsia"/>
                <w:b/>
                <w:sz w:val="21"/>
                <w:szCs w:val="21"/>
              </w:rPr>
              <w:t>混凝土养护废水：</w:t>
            </w:r>
            <w:r>
              <w:rPr>
                <w:rFonts w:hint="eastAsia"/>
                <w:bCs/>
                <w:sz w:val="21"/>
                <w:szCs w:val="21"/>
              </w:rPr>
              <w:t>经沉淀池处理后回用于工序。</w:t>
            </w:r>
          </w:p>
          <w:p w14:paraId="0DC3EA33">
            <w:pPr>
              <w:adjustRightInd w:val="0"/>
              <w:snapToGrid w:val="0"/>
              <w:rPr>
                <w:sz w:val="21"/>
                <w:szCs w:val="21"/>
              </w:rPr>
            </w:pPr>
            <w:r>
              <w:rPr>
                <w:rFonts w:hint="eastAsia"/>
                <w:b/>
                <w:sz w:val="21"/>
                <w:szCs w:val="21"/>
              </w:rPr>
              <w:t>基坑排水：</w:t>
            </w:r>
            <w:r>
              <w:rPr>
                <w:rFonts w:hint="eastAsia"/>
                <w:bCs/>
                <w:sz w:val="21"/>
                <w:szCs w:val="21"/>
              </w:rPr>
              <w:t>基坑内设置截流槽，每100m设置一个集水坑，每段基坑排水选用水泵抽排，并在下游设置一个沉淀池，基坑排水静置经沉淀池沉淀处理后排入沟道。</w:t>
            </w:r>
          </w:p>
        </w:tc>
        <w:tc>
          <w:tcPr>
            <w:tcW w:w="759" w:type="pct"/>
            <w:vAlign w:val="center"/>
          </w:tcPr>
          <w:p w14:paraId="2FFC6E76">
            <w:pPr>
              <w:adjustRightInd w:val="0"/>
              <w:snapToGrid w:val="0"/>
              <w:jc w:val="center"/>
              <w:rPr>
                <w:sz w:val="21"/>
                <w:szCs w:val="21"/>
              </w:rPr>
            </w:pPr>
            <w:r>
              <w:rPr>
                <w:rFonts w:hint="eastAsia"/>
                <w:sz w:val="21"/>
                <w:szCs w:val="21"/>
              </w:rPr>
              <w:t>不造成生态环境质量下降</w:t>
            </w:r>
          </w:p>
        </w:tc>
        <w:tc>
          <w:tcPr>
            <w:tcW w:w="484" w:type="pct"/>
            <w:vAlign w:val="center"/>
          </w:tcPr>
          <w:p w14:paraId="022666BC">
            <w:pPr>
              <w:adjustRightInd w:val="0"/>
              <w:snapToGrid w:val="0"/>
              <w:jc w:val="center"/>
              <w:rPr>
                <w:sz w:val="21"/>
                <w:szCs w:val="21"/>
              </w:rPr>
            </w:pPr>
            <w:r>
              <w:rPr>
                <w:sz w:val="21"/>
                <w:szCs w:val="21"/>
              </w:rPr>
              <w:t>/</w:t>
            </w:r>
          </w:p>
        </w:tc>
        <w:tc>
          <w:tcPr>
            <w:tcW w:w="535" w:type="pct"/>
            <w:vAlign w:val="center"/>
          </w:tcPr>
          <w:p w14:paraId="163FE0D0">
            <w:pPr>
              <w:adjustRightInd w:val="0"/>
              <w:snapToGrid w:val="0"/>
              <w:jc w:val="center"/>
              <w:rPr>
                <w:sz w:val="21"/>
                <w:szCs w:val="21"/>
              </w:rPr>
            </w:pPr>
            <w:r>
              <w:rPr>
                <w:sz w:val="21"/>
                <w:szCs w:val="21"/>
              </w:rPr>
              <w:t>/</w:t>
            </w:r>
          </w:p>
        </w:tc>
      </w:tr>
      <w:tr w14:paraId="199929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3FB5F341">
            <w:pPr>
              <w:adjustRightInd w:val="0"/>
              <w:snapToGrid w:val="0"/>
              <w:jc w:val="center"/>
              <w:rPr>
                <w:sz w:val="21"/>
                <w:szCs w:val="21"/>
              </w:rPr>
            </w:pPr>
            <w:r>
              <w:rPr>
                <w:rFonts w:hint="eastAsia"/>
                <w:sz w:val="21"/>
                <w:szCs w:val="21"/>
              </w:rPr>
              <w:t>地下水及土壤环境</w:t>
            </w:r>
          </w:p>
        </w:tc>
        <w:tc>
          <w:tcPr>
            <w:tcW w:w="2543" w:type="pct"/>
            <w:vAlign w:val="center"/>
          </w:tcPr>
          <w:p w14:paraId="4241D5B0">
            <w:pPr>
              <w:widowControl/>
              <w:jc w:val="center"/>
              <w:rPr>
                <w:sz w:val="21"/>
                <w:szCs w:val="21"/>
              </w:rPr>
            </w:pPr>
            <w:r>
              <w:rPr>
                <w:sz w:val="21"/>
                <w:szCs w:val="21"/>
              </w:rPr>
              <w:t>/</w:t>
            </w:r>
          </w:p>
        </w:tc>
        <w:tc>
          <w:tcPr>
            <w:tcW w:w="759" w:type="pct"/>
            <w:vAlign w:val="center"/>
          </w:tcPr>
          <w:p w14:paraId="72AF88F1">
            <w:pPr>
              <w:adjustRightInd w:val="0"/>
              <w:snapToGrid w:val="0"/>
              <w:jc w:val="center"/>
              <w:rPr>
                <w:sz w:val="21"/>
                <w:szCs w:val="21"/>
              </w:rPr>
            </w:pPr>
            <w:r>
              <w:rPr>
                <w:sz w:val="21"/>
                <w:szCs w:val="21"/>
              </w:rPr>
              <w:t>/</w:t>
            </w:r>
          </w:p>
        </w:tc>
        <w:tc>
          <w:tcPr>
            <w:tcW w:w="484" w:type="pct"/>
            <w:vAlign w:val="center"/>
          </w:tcPr>
          <w:p w14:paraId="532574BE">
            <w:pPr>
              <w:widowControl/>
              <w:jc w:val="center"/>
              <w:rPr>
                <w:sz w:val="21"/>
                <w:szCs w:val="21"/>
              </w:rPr>
            </w:pPr>
            <w:r>
              <w:rPr>
                <w:sz w:val="21"/>
                <w:szCs w:val="21"/>
              </w:rPr>
              <w:t>/</w:t>
            </w:r>
          </w:p>
        </w:tc>
        <w:tc>
          <w:tcPr>
            <w:tcW w:w="535" w:type="pct"/>
            <w:vAlign w:val="center"/>
          </w:tcPr>
          <w:p w14:paraId="5EFC8C24">
            <w:pPr>
              <w:adjustRightInd w:val="0"/>
              <w:snapToGrid w:val="0"/>
              <w:jc w:val="center"/>
              <w:rPr>
                <w:sz w:val="21"/>
                <w:szCs w:val="21"/>
              </w:rPr>
            </w:pPr>
            <w:r>
              <w:rPr>
                <w:sz w:val="21"/>
                <w:szCs w:val="21"/>
              </w:rPr>
              <w:t>/</w:t>
            </w:r>
          </w:p>
        </w:tc>
      </w:tr>
      <w:tr w14:paraId="147E6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23CF8258">
            <w:pPr>
              <w:adjustRightInd w:val="0"/>
              <w:snapToGrid w:val="0"/>
              <w:jc w:val="center"/>
              <w:rPr>
                <w:sz w:val="21"/>
                <w:szCs w:val="21"/>
              </w:rPr>
            </w:pPr>
            <w:r>
              <w:rPr>
                <w:rFonts w:hint="eastAsia"/>
                <w:sz w:val="21"/>
                <w:szCs w:val="21"/>
              </w:rPr>
              <w:t>声环境</w:t>
            </w:r>
          </w:p>
        </w:tc>
        <w:tc>
          <w:tcPr>
            <w:tcW w:w="2543" w:type="pct"/>
            <w:vAlign w:val="center"/>
          </w:tcPr>
          <w:p w14:paraId="6AC82F80">
            <w:pPr>
              <w:rPr>
                <w:sz w:val="21"/>
                <w:szCs w:val="21"/>
              </w:rPr>
            </w:pPr>
            <w:r>
              <w:rPr>
                <w:rFonts w:hint="eastAsia"/>
                <w:sz w:val="21"/>
                <w:szCs w:val="21"/>
              </w:rPr>
              <w:t>尽量选用先进、噪声低的设备。合理安排工期。合理布局施工机械位置。严禁野蛮施工，加强施工场地内设备维护，同时施工场地周围设置围挡。</w:t>
            </w:r>
            <w:r>
              <w:rPr>
                <w:rFonts w:hint="eastAsia"/>
                <w:bCs/>
                <w:spacing w:val="10"/>
                <w:sz w:val="21"/>
                <w:szCs w:val="21"/>
              </w:rPr>
              <w:t>加强对集中居民点等路段的施工管理，合理制定施工计划。</w:t>
            </w:r>
          </w:p>
        </w:tc>
        <w:tc>
          <w:tcPr>
            <w:tcW w:w="759" w:type="pct"/>
            <w:vAlign w:val="center"/>
          </w:tcPr>
          <w:p w14:paraId="1CD330EC">
            <w:pPr>
              <w:adjustRightInd w:val="0"/>
              <w:snapToGrid w:val="0"/>
              <w:jc w:val="center"/>
              <w:rPr>
                <w:sz w:val="21"/>
                <w:szCs w:val="21"/>
              </w:rPr>
            </w:pPr>
            <w:r>
              <w:rPr>
                <w:rFonts w:hint="eastAsia"/>
                <w:sz w:val="21"/>
                <w:szCs w:val="21"/>
              </w:rPr>
              <w:t>《建筑施工噪声排放标准》（GB12523-2025）排放限值</w:t>
            </w:r>
          </w:p>
        </w:tc>
        <w:tc>
          <w:tcPr>
            <w:tcW w:w="484" w:type="pct"/>
            <w:vAlign w:val="center"/>
          </w:tcPr>
          <w:p w14:paraId="6D08851B">
            <w:pPr>
              <w:pStyle w:val="7"/>
              <w:adjustRightInd w:val="0"/>
              <w:snapToGrid w:val="0"/>
              <w:rPr>
                <w:rFonts w:cs="Times New Roman"/>
                <w:sz w:val="21"/>
                <w:szCs w:val="21"/>
              </w:rPr>
            </w:pPr>
            <w:r>
              <w:rPr>
                <w:rFonts w:cs="Times New Roman"/>
                <w:sz w:val="21"/>
                <w:szCs w:val="21"/>
              </w:rPr>
              <w:t>/</w:t>
            </w:r>
          </w:p>
        </w:tc>
        <w:tc>
          <w:tcPr>
            <w:tcW w:w="535" w:type="pct"/>
            <w:vAlign w:val="center"/>
          </w:tcPr>
          <w:p w14:paraId="7AE73F90">
            <w:pPr>
              <w:adjustRightInd w:val="0"/>
              <w:snapToGrid w:val="0"/>
              <w:jc w:val="center"/>
              <w:rPr>
                <w:sz w:val="21"/>
                <w:szCs w:val="21"/>
              </w:rPr>
            </w:pPr>
            <w:r>
              <w:rPr>
                <w:sz w:val="21"/>
                <w:szCs w:val="21"/>
              </w:rPr>
              <w:t>/</w:t>
            </w:r>
          </w:p>
        </w:tc>
      </w:tr>
      <w:tr w14:paraId="549E08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4F51FC04">
            <w:pPr>
              <w:adjustRightInd w:val="0"/>
              <w:snapToGrid w:val="0"/>
              <w:jc w:val="center"/>
              <w:rPr>
                <w:sz w:val="21"/>
                <w:szCs w:val="21"/>
              </w:rPr>
            </w:pPr>
            <w:r>
              <w:rPr>
                <w:rFonts w:hint="eastAsia"/>
                <w:sz w:val="21"/>
                <w:szCs w:val="21"/>
              </w:rPr>
              <w:t>振动</w:t>
            </w:r>
          </w:p>
        </w:tc>
        <w:tc>
          <w:tcPr>
            <w:tcW w:w="2543" w:type="pct"/>
            <w:vAlign w:val="center"/>
          </w:tcPr>
          <w:p w14:paraId="173DF8A0">
            <w:pPr>
              <w:adjustRightInd w:val="0"/>
              <w:snapToGrid w:val="0"/>
              <w:jc w:val="center"/>
              <w:rPr>
                <w:sz w:val="21"/>
                <w:szCs w:val="21"/>
              </w:rPr>
            </w:pPr>
            <w:r>
              <w:rPr>
                <w:sz w:val="21"/>
                <w:szCs w:val="21"/>
              </w:rPr>
              <w:t>/</w:t>
            </w:r>
          </w:p>
        </w:tc>
        <w:tc>
          <w:tcPr>
            <w:tcW w:w="759" w:type="pct"/>
            <w:vAlign w:val="center"/>
          </w:tcPr>
          <w:p w14:paraId="3F77DD6E">
            <w:pPr>
              <w:adjustRightInd w:val="0"/>
              <w:snapToGrid w:val="0"/>
              <w:jc w:val="center"/>
              <w:rPr>
                <w:sz w:val="21"/>
                <w:szCs w:val="21"/>
              </w:rPr>
            </w:pPr>
            <w:r>
              <w:rPr>
                <w:sz w:val="21"/>
                <w:szCs w:val="21"/>
              </w:rPr>
              <w:t>/</w:t>
            </w:r>
          </w:p>
        </w:tc>
        <w:tc>
          <w:tcPr>
            <w:tcW w:w="484" w:type="pct"/>
            <w:vAlign w:val="center"/>
          </w:tcPr>
          <w:p w14:paraId="74768D7D">
            <w:pPr>
              <w:adjustRightInd w:val="0"/>
              <w:snapToGrid w:val="0"/>
              <w:jc w:val="center"/>
              <w:rPr>
                <w:sz w:val="21"/>
                <w:szCs w:val="21"/>
              </w:rPr>
            </w:pPr>
            <w:r>
              <w:rPr>
                <w:sz w:val="21"/>
                <w:szCs w:val="21"/>
              </w:rPr>
              <w:t>/</w:t>
            </w:r>
          </w:p>
        </w:tc>
        <w:tc>
          <w:tcPr>
            <w:tcW w:w="535" w:type="pct"/>
            <w:vAlign w:val="center"/>
          </w:tcPr>
          <w:p w14:paraId="031EEE06">
            <w:pPr>
              <w:adjustRightInd w:val="0"/>
              <w:snapToGrid w:val="0"/>
              <w:jc w:val="center"/>
              <w:rPr>
                <w:sz w:val="21"/>
                <w:szCs w:val="21"/>
              </w:rPr>
            </w:pPr>
            <w:r>
              <w:rPr>
                <w:sz w:val="21"/>
                <w:szCs w:val="21"/>
              </w:rPr>
              <w:t>/</w:t>
            </w:r>
          </w:p>
        </w:tc>
      </w:tr>
      <w:tr w14:paraId="568813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4DABFEA3">
            <w:pPr>
              <w:adjustRightInd w:val="0"/>
              <w:snapToGrid w:val="0"/>
              <w:jc w:val="center"/>
              <w:rPr>
                <w:sz w:val="21"/>
                <w:szCs w:val="21"/>
              </w:rPr>
            </w:pPr>
            <w:r>
              <w:rPr>
                <w:rFonts w:hint="eastAsia"/>
                <w:sz w:val="21"/>
                <w:szCs w:val="21"/>
              </w:rPr>
              <w:t>大气环境</w:t>
            </w:r>
          </w:p>
        </w:tc>
        <w:tc>
          <w:tcPr>
            <w:tcW w:w="2543" w:type="pct"/>
            <w:vAlign w:val="center"/>
          </w:tcPr>
          <w:p w14:paraId="5A5499B7">
            <w:pPr>
              <w:widowControl/>
              <w:jc w:val="left"/>
              <w:rPr>
                <w:sz w:val="21"/>
                <w:szCs w:val="21"/>
              </w:rPr>
            </w:pPr>
            <w:r>
              <w:rPr>
                <w:rFonts w:hint="eastAsia"/>
                <w:b/>
                <w:bCs/>
                <w:sz w:val="21"/>
                <w:szCs w:val="21"/>
              </w:rPr>
              <w:t>施工扬尘：</w:t>
            </w:r>
            <w:r>
              <w:rPr>
                <w:rFonts w:hint="eastAsia"/>
                <w:sz w:val="21"/>
                <w:szCs w:val="21"/>
              </w:rPr>
              <w:t>定时现场洒水降尘、修建围挡、车辆运输时覆盖帆布、临时堆土场采取</w:t>
            </w:r>
            <w:r>
              <w:rPr>
                <w:rFonts w:hint="eastAsia"/>
                <w:bCs/>
                <w:sz w:val="21"/>
                <w:szCs w:val="21"/>
              </w:rPr>
              <w:t>密目网覆盖并及时回填</w:t>
            </w:r>
            <w:r>
              <w:rPr>
                <w:rFonts w:hint="eastAsia"/>
                <w:sz w:val="21"/>
                <w:szCs w:val="21"/>
              </w:rPr>
              <w:t>、清运渣土、运输车辆的出入口内侧设置洗车平台、加强管理、合理布局等。</w:t>
            </w:r>
          </w:p>
          <w:p w14:paraId="7A99EDE6">
            <w:pPr>
              <w:widowControl/>
              <w:jc w:val="left"/>
              <w:rPr>
                <w:sz w:val="21"/>
                <w:szCs w:val="21"/>
              </w:rPr>
            </w:pPr>
            <w:r>
              <w:rPr>
                <w:rFonts w:hint="eastAsia"/>
                <w:b/>
                <w:bCs/>
                <w:sz w:val="21"/>
                <w:szCs w:val="21"/>
              </w:rPr>
              <w:t>道路运输扬尘：</w:t>
            </w:r>
            <w:r>
              <w:rPr>
                <w:rFonts w:hint="eastAsia"/>
                <w:bCs/>
                <w:sz w:val="21"/>
                <w:szCs w:val="21"/>
                <w:lang w:bidi="ar"/>
              </w:rPr>
              <w:t>洒水降尘、及时清扫路面尘土、限制车速等。</w:t>
            </w:r>
          </w:p>
          <w:p w14:paraId="7E488A62">
            <w:pPr>
              <w:widowControl/>
              <w:jc w:val="left"/>
              <w:rPr>
                <w:sz w:val="21"/>
                <w:szCs w:val="21"/>
              </w:rPr>
            </w:pPr>
            <w:r>
              <w:rPr>
                <w:rFonts w:hint="eastAsia"/>
                <w:b/>
                <w:bCs/>
                <w:sz w:val="21"/>
                <w:szCs w:val="21"/>
              </w:rPr>
              <w:t>施工机械燃油废气：</w:t>
            </w:r>
            <w:r>
              <w:rPr>
                <w:rFonts w:hint="eastAsia"/>
                <w:sz w:val="21"/>
                <w:szCs w:val="21"/>
              </w:rPr>
              <w:t>采用优质燃料、维护机具，保证正常运转。</w:t>
            </w:r>
          </w:p>
        </w:tc>
        <w:tc>
          <w:tcPr>
            <w:tcW w:w="759" w:type="pct"/>
            <w:vAlign w:val="center"/>
          </w:tcPr>
          <w:p w14:paraId="3FF1DF4B">
            <w:pPr>
              <w:adjustRightInd w:val="0"/>
              <w:snapToGrid w:val="0"/>
              <w:rPr>
                <w:sz w:val="21"/>
                <w:szCs w:val="21"/>
              </w:rPr>
            </w:pPr>
            <w:r>
              <w:rPr>
                <w:rFonts w:hint="eastAsia"/>
                <w:sz w:val="21"/>
                <w:szCs w:val="21"/>
              </w:rPr>
              <w:t>《四川省施工场地扬尘排放标准》（DB512682-2020）表1中相关要求</w:t>
            </w:r>
          </w:p>
        </w:tc>
        <w:tc>
          <w:tcPr>
            <w:tcW w:w="484" w:type="pct"/>
            <w:vAlign w:val="center"/>
          </w:tcPr>
          <w:p w14:paraId="3D10064E">
            <w:pPr>
              <w:adjustRightInd w:val="0"/>
              <w:snapToGrid w:val="0"/>
              <w:jc w:val="center"/>
              <w:rPr>
                <w:sz w:val="21"/>
                <w:szCs w:val="21"/>
              </w:rPr>
            </w:pPr>
            <w:r>
              <w:rPr>
                <w:sz w:val="21"/>
                <w:szCs w:val="21"/>
              </w:rPr>
              <w:t>/</w:t>
            </w:r>
          </w:p>
        </w:tc>
        <w:tc>
          <w:tcPr>
            <w:tcW w:w="535" w:type="pct"/>
            <w:vAlign w:val="center"/>
          </w:tcPr>
          <w:p w14:paraId="2ACEB1CF">
            <w:pPr>
              <w:adjustRightInd w:val="0"/>
              <w:snapToGrid w:val="0"/>
              <w:jc w:val="center"/>
              <w:rPr>
                <w:sz w:val="21"/>
                <w:szCs w:val="21"/>
              </w:rPr>
            </w:pPr>
            <w:r>
              <w:rPr>
                <w:sz w:val="21"/>
                <w:szCs w:val="21"/>
              </w:rPr>
              <w:t>/</w:t>
            </w:r>
          </w:p>
        </w:tc>
      </w:tr>
      <w:tr w14:paraId="0861A4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3D4E3880">
            <w:pPr>
              <w:adjustRightInd w:val="0"/>
              <w:snapToGrid w:val="0"/>
              <w:jc w:val="center"/>
              <w:rPr>
                <w:sz w:val="21"/>
                <w:szCs w:val="21"/>
              </w:rPr>
            </w:pPr>
            <w:r>
              <w:rPr>
                <w:rFonts w:hint="eastAsia"/>
                <w:sz w:val="21"/>
                <w:szCs w:val="21"/>
              </w:rPr>
              <w:t>固体废物</w:t>
            </w:r>
          </w:p>
        </w:tc>
        <w:tc>
          <w:tcPr>
            <w:tcW w:w="2543" w:type="pct"/>
            <w:vAlign w:val="center"/>
          </w:tcPr>
          <w:p w14:paraId="7CDA5B3E">
            <w:pPr>
              <w:rPr>
                <w:sz w:val="21"/>
                <w:szCs w:val="21"/>
              </w:rPr>
            </w:pPr>
            <w:r>
              <w:rPr>
                <w:rFonts w:hint="eastAsia"/>
                <w:b/>
                <w:bCs/>
                <w:color w:val="000000" w:themeColor="text1"/>
                <w:sz w:val="21"/>
                <w:szCs w:val="21"/>
                <w14:textFill>
                  <w14:solidFill>
                    <w14:schemeClr w14:val="tx1"/>
                  </w14:solidFill>
                </w14:textFill>
              </w:rPr>
              <w:t>废弃土石方：</w:t>
            </w:r>
            <w:r>
              <w:rPr>
                <w:rFonts w:hint="eastAsia"/>
                <w:color w:val="000000" w:themeColor="text1"/>
                <w:sz w:val="21"/>
                <w:szCs w:val="21"/>
                <w14:textFill>
                  <w14:solidFill>
                    <w14:schemeClr w14:val="tx1"/>
                  </w14:solidFill>
                </w14:textFill>
              </w:rPr>
              <w:t>河道砂砾石开挖产生的砂卵石料经分类拣选后全部回用</w:t>
            </w:r>
            <w:r>
              <w:rPr>
                <w:rFonts w:hint="eastAsia"/>
                <w:sz w:val="21"/>
                <w:szCs w:val="21"/>
              </w:rPr>
              <w:t>：粒径25cm≤d≤50cm的大卵石4352m³用于钢筋石笼填充块石，粒径100cm≤d≤110cm的大块石777m³用于固床梁下游防冲护坦抛填，合格砂卵石料13027m³用于堤身及堤后夯实回填，4713m³用于施工围堰填筑，剩余254.41m³用于左岸岸顶道路低洼处回填；施工围堰拆除料部分回用于堤脚砂卵石回填，其余堆放于临时堆场后回填利用。本项目土石方挖填平衡，无借方、无余（弃）方，不设置弃土（渣）场，不向河道外弃渣。</w:t>
            </w:r>
          </w:p>
          <w:p w14:paraId="5FEB4412">
            <w:pPr>
              <w:rPr>
                <w:kern w:val="0"/>
                <w:sz w:val="21"/>
                <w:szCs w:val="21"/>
                <w:lang w:bidi="ar"/>
              </w:rPr>
            </w:pPr>
            <w:r>
              <w:rPr>
                <w:rFonts w:hint="eastAsia"/>
                <w:b/>
                <w:bCs/>
                <w:kern w:val="0"/>
                <w:sz w:val="21"/>
                <w:szCs w:val="21"/>
                <w:lang w:bidi="ar"/>
              </w:rPr>
              <w:t>建筑垃圾：</w:t>
            </w:r>
            <w:r>
              <w:rPr>
                <w:rFonts w:hint="eastAsia"/>
                <w:sz w:val="21"/>
                <w:szCs w:val="21"/>
              </w:rPr>
              <w:t>加强对废物的收集和管理，将建筑垃圾中能回收利用的废料（如钢筋、钢板、木材等下脚料）通过分类收集后交废物收购站处理；对不能回收的建筑废物不能随意倾倒，而应用编织袋包装后清运到建筑垃圾处置场</w:t>
            </w:r>
            <w:r>
              <w:rPr>
                <w:rFonts w:hint="eastAsia"/>
                <w:kern w:val="0"/>
                <w:sz w:val="21"/>
                <w:szCs w:val="21"/>
                <w:lang w:bidi="ar"/>
              </w:rPr>
              <w:t>。</w:t>
            </w:r>
          </w:p>
          <w:p w14:paraId="5F9F4BC4">
            <w:pPr>
              <w:rPr>
                <w:sz w:val="21"/>
                <w:szCs w:val="21"/>
              </w:rPr>
            </w:pPr>
            <w:r>
              <w:rPr>
                <w:rFonts w:hint="eastAsia"/>
                <w:b/>
                <w:bCs/>
                <w:sz w:val="21"/>
                <w:szCs w:val="21"/>
              </w:rPr>
              <w:t>生活垃圾：</w:t>
            </w:r>
            <w:r>
              <w:rPr>
                <w:rFonts w:hint="eastAsia"/>
                <w:sz w:val="21"/>
                <w:szCs w:val="21"/>
              </w:rPr>
              <w:t>生活垃圾经袋装收集后，由环卫单位统一运送到垃圾处理厂集中处理。</w:t>
            </w:r>
          </w:p>
        </w:tc>
        <w:tc>
          <w:tcPr>
            <w:tcW w:w="759" w:type="pct"/>
            <w:vAlign w:val="center"/>
          </w:tcPr>
          <w:p w14:paraId="7D2A8740">
            <w:pPr>
              <w:widowControl/>
              <w:rPr>
                <w:sz w:val="21"/>
                <w:szCs w:val="21"/>
              </w:rPr>
            </w:pPr>
            <w:r>
              <w:rPr>
                <w:rFonts w:hint="eastAsia"/>
                <w:kern w:val="0"/>
                <w:sz w:val="21"/>
                <w:szCs w:val="21"/>
                <w:lang w:bidi="ar"/>
              </w:rPr>
              <w:t>合理处置，现场无遗留，不造成二次污染。</w:t>
            </w:r>
          </w:p>
        </w:tc>
        <w:tc>
          <w:tcPr>
            <w:tcW w:w="484" w:type="pct"/>
            <w:vAlign w:val="center"/>
          </w:tcPr>
          <w:p w14:paraId="6393956A">
            <w:pPr>
              <w:adjustRightInd w:val="0"/>
              <w:snapToGrid w:val="0"/>
              <w:jc w:val="center"/>
              <w:rPr>
                <w:sz w:val="21"/>
                <w:szCs w:val="21"/>
              </w:rPr>
            </w:pPr>
            <w:r>
              <w:rPr>
                <w:sz w:val="21"/>
                <w:szCs w:val="21"/>
              </w:rPr>
              <w:t>/</w:t>
            </w:r>
          </w:p>
        </w:tc>
        <w:tc>
          <w:tcPr>
            <w:tcW w:w="535" w:type="pct"/>
            <w:vAlign w:val="center"/>
          </w:tcPr>
          <w:p w14:paraId="2FD7E464">
            <w:pPr>
              <w:adjustRightInd w:val="0"/>
              <w:snapToGrid w:val="0"/>
              <w:jc w:val="center"/>
              <w:rPr>
                <w:sz w:val="21"/>
                <w:szCs w:val="21"/>
              </w:rPr>
            </w:pPr>
            <w:r>
              <w:rPr>
                <w:sz w:val="21"/>
                <w:szCs w:val="21"/>
              </w:rPr>
              <w:t>/</w:t>
            </w:r>
          </w:p>
        </w:tc>
      </w:tr>
      <w:tr w14:paraId="61354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24FDEE7A">
            <w:pPr>
              <w:adjustRightInd w:val="0"/>
              <w:snapToGrid w:val="0"/>
              <w:jc w:val="center"/>
              <w:rPr>
                <w:sz w:val="21"/>
                <w:szCs w:val="21"/>
              </w:rPr>
            </w:pPr>
            <w:r>
              <w:rPr>
                <w:rFonts w:hint="eastAsia"/>
                <w:sz w:val="21"/>
                <w:szCs w:val="21"/>
              </w:rPr>
              <w:t>电磁环境</w:t>
            </w:r>
          </w:p>
        </w:tc>
        <w:tc>
          <w:tcPr>
            <w:tcW w:w="2543" w:type="pct"/>
            <w:vAlign w:val="center"/>
          </w:tcPr>
          <w:p w14:paraId="3CB28966">
            <w:pPr>
              <w:adjustRightInd w:val="0"/>
              <w:snapToGrid w:val="0"/>
              <w:jc w:val="center"/>
              <w:rPr>
                <w:sz w:val="21"/>
                <w:szCs w:val="21"/>
              </w:rPr>
            </w:pPr>
            <w:r>
              <w:rPr>
                <w:sz w:val="21"/>
                <w:szCs w:val="21"/>
              </w:rPr>
              <w:t>/</w:t>
            </w:r>
          </w:p>
        </w:tc>
        <w:tc>
          <w:tcPr>
            <w:tcW w:w="759" w:type="pct"/>
            <w:vAlign w:val="center"/>
          </w:tcPr>
          <w:p w14:paraId="284DE80C">
            <w:pPr>
              <w:adjustRightInd w:val="0"/>
              <w:snapToGrid w:val="0"/>
              <w:jc w:val="center"/>
              <w:rPr>
                <w:sz w:val="21"/>
                <w:szCs w:val="21"/>
              </w:rPr>
            </w:pPr>
            <w:r>
              <w:rPr>
                <w:sz w:val="21"/>
                <w:szCs w:val="21"/>
              </w:rPr>
              <w:t>/</w:t>
            </w:r>
          </w:p>
        </w:tc>
        <w:tc>
          <w:tcPr>
            <w:tcW w:w="484" w:type="pct"/>
            <w:vAlign w:val="center"/>
          </w:tcPr>
          <w:p w14:paraId="4FCBCD9B">
            <w:pPr>
              <w:adjustRightInd w:val="0"/>
              <w:snapToGrid w:val="0"/>
              <w:jc w:val="center"/>
              <w:rPr>
                <w:sz w:val="21"/>
                <w:szCs w:val="21"/>
              </w:rPr>
            </w:pPr>
            <w:r>
              <w:rPr>
                <w:sz w:val="21"/>
                <w:szCs w:val="21"/>
              </w:rPr>
              <w:t>/</w:t>
            </w:r>
          </w:p>
        </w:tc>
        <w:tc>
          <w:tcPr>
            <w:tcW w:w="535" w:type="pct"/>
            <w:vAlign w:val="center"/>
          </w:tcPr>
          <w:p w14:paraId="589B8474">
            <w:pPr>
              <w:adjustRightInd w:val="0"/>
              <w:snapToGrid w:val="0"/>
              <w:jc w:val="center"/>
              <w:rPr>
                <w:sz w:val="21"/>
                <w:szCs w:val="21"/>
              </w:rPr>
            </w:pPr>
            <w:r>
              <w:rPr>
                <w:sz w:val="21"/>
                <w:szCs w:val="21"/>
              </w:rPr>
              <w:t>/</w:t>
            </w:r>
          </w:p>
        </w:tc>
      </w:tr>
      <w:tr w14:paraId="45272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549D7264">
            <w:pPr>
              <w:adjustRightInd w:val="0"/>
              <w:snapToGrid w:val="0"/>
              <w:jc w:val="center"/>
              <w:rPr>
                <w:sz w:val="21"/>
                <w:szCs w:val="21"/>
              </w:rPr>
            </w:pPr>
            <w:r>
              <w:rPr>
                <w:rFonts w:hint="eastAsia"/>
                <w:sz w:val="21"/>
                <w:szCs w:val="21"/>
              </w:rPr>
              <w:t>环境风险</w:t>
            </w:r>
          </w:p>
        </w:tc>
        <w:tc>
          <w:tcPr>
            <w:tcW w:w="2543" w:type="pct"/>
            <w:vAlign w:val="center"/>
          </w:tcPr>
          <w:p w14:paraId="373A55D3">
            <w:pPr>
              <w:adjustRightInd w:val="0"/>
              <w:snapToGrid w:val="0"/>
              <w:jc w:val="center"/>
              <w:rPr>
                <w:sz w:val="21"/>
                <w:szCs w:val="21"/>
              </w:rPr>
            </w:pPr>
            <w:r>
              <w:rPr>
                <w:sz w:val="21"/>
                <w:szCs w:val="21"/>
              </w:rPr>
              <w:t>/</w:t>
            </w:r>
          </w:p>
        </w:tc>
        <w:tc>
          <w:tcPr>
            <w:tcW w:w="759" w:type="pct"/>
            <w:vAlign w:val="center"/>
          </w:tcPr>
          <w:p w14:paraId="53FB3DEB">
            <w:pPr>
              <w:adjustRightInd w:val="0"/>
              <w:snapToGrid w:val="0"/>
              <w:jc w:val="center"/>
              <w:rPr>
                <w:sz w:val="21"/>
                <w:szCs w:val="21"/>
              </w:rPr>
            </w:pPr>
            <w:r>
              <w:rPr>
                <w:sz w:val="21"/>
                <w:szCs w:val="21"/>
              </w:rPr>
              <w:t>/</w:t>
            </w:r>
          </w:p>
        </w:tc>
        <w:tc>
          <w:tcPr>
            <w:tcW w:w="484" w:type="pct"/>
            <w:vAlign w:val="center"/>
          </w:tcPr>
          <w:p w14:paraId="68833809">
            <w:pPr>
              <w:adjustRightInd w:val="0"/>
              <w:snapToGrid w:val="0"/>
              <w:jc w:val="center"/>
              <w:rPr>
                <w:sz w:val="21"/>
                <w:szCs w:val="21"/>
              </w:rPr>
            </w:pPr>
            <w:r>
              <w:rPr>
                <w:sz w:val="21"/>
                <w:szCs w:val="21"/>
              </w:rPr>
              <w:t>/</w:t>
            </w:r>
          </w:p>
        </w:tc>
        <w:tc>
          <w:tcPr>
            <w:tcW w:w="535" w:type="pct"/>
            <w:vAlign w:val="center"/>
          </w:tcPr>
          <w:p w14:paraId="0D099F0B">
            <w:pPr>
              <w:adjustRightInd w:val="0"/>
              <w:snapToGrid w:val="0"/>
              <w:jc w:val="center"/>
              <w:rPr>
                <w:sz w:val="21"/>
                <w:szCs w:val="21"/>
              </w:rPr>
            </w:pPr>
            <w:r>
              <w:rPr>
                <w:sz w:val="21"/>
                <w:szCs w:val="21"/>
              </w:rPr>
              <w:t>/</w:t>
            </w:r>
          </w:p>
        </w:tc>
      </w:tr>
      <w:tr w14:paraId="543652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091478C7">
            <w:pPr>
              <w:adjustRightInd w:val="0"/>
              <w:snapToGrid w:val="0"/>
              <w:jc w:val="center"/>
              <w:rPr>
                <w:sz w:val="21"/>
                <w:szCs w:val="21"/>
              </w:rPr>
            </w:pPr>
            <w:r>
              <w:rPr>
                <w:rFonts w:hint="eastAsia"/>
                <w:sz w:val="21"/>
                <w:szCs w:val="21"/>
              </w:rPr>
              <w:t>环境监测</w:t>
            </w:r>
          </w:p>
        </w:tc>
        <w:tc>
          <w:tcPr>
            <w:tcW w:w="2543" w:type="pct"/>
            <w:vAlign w:val="center"/>
          </w:tcPr>
          <w:p w14:paraId="716A2915">
            <w:pPr>
              <w:adjustRightInd w:val="0"/>
              <w:snapToGrid w:val="0"/>
              <w:jc w:val="center"/>
              <w:rPr>
                <w:sz w:val="21"/>
                <w:szCs w:val="21"/>
              </w:rPr>
            </w:pPr>
            <w:r>
              <w:rPr>
                <w:sz w:val="21"/>
                <w:szCs w:val="21"/>
              </w:rPr>
              <w:t>/</w:t>
            </w:r>
          </w:p>
        </w:tc>
        <w:tc>
          <w:tcPr>
            <w:tcW w:w="759" w:type="pct"/>
            <w:vAlign w:val="center"/>
          </w:tcPr>
          <w:p w14:paraId="10B6ECB7">
            <w:pPr>
              <w:adjustRightInd w:val="0"/>
              <w:snapToGrid w:val="0"/>
              <w:jc w:val="center"/>
              <w:rPr>
                <w:sz w:val="21"/>
                <w:szCs w:val="21"/>
              </w:rPr>
            </w:pPr>
            <w:r>
              <w:rPr>
                <w:sz w:val="21"/>
                <w:szCs w:val="21"/>
              </w:rPr>
              <w:t>/</w:t>
            </w:r>
          </w:p>
        </w:tc>
        <w:tc>
          <w:tcPr>
            <w:tcW w:w="484" w:type="pct"/>
            <w:vAlign w:val="center"/>
          </w:tcPr>
          <w:p w14:paraId="54A3D31D">
            <w:pPr>
              <w:adjustRightInd w:val="0"/>
              <w:snapToGrid w:val="0"/>
              <w:jc w:val="center"/>
              <w:rPr>
                <w:sz w:val="21"/>
                <w:szCs w:val="21"/>
              </w:rPr>
            </w:pPr>
            <w:r>
              <w:rPr>
                <w:sz w:val="21"/>
                <w:szCs w:val="21"/>
              </w:rPr>
              <w:t>/</w:t>
            </w:r>
          </w:p>
        </w:tc>
        <w:tc>
          <w:tcPr>
            <w:tcW w:w="535" w:type="pct"/>
            <w:vAlign w:val="center"/>
          </w:tcPr>
          <w:p w14:paraId="2BE6E6F0">
            <w:pPr>
              <w:adjustRightInd w:val="0"/>
              <w:snapToGrid w:val="0"/>
              <w:jc w:val="center"/>
              <w:rPr>
                <w:sz w:val="21"/>
                <w:szCs w:val="21"/>
              </w:rPr>
            </w:pPr>
            <w:r>
              <w:rPr>
                <w:sz w:val="21"/>
                <w:szCs w:val="21"/>
              </w:rPr>
              <w:t>/</w:t>
            </w:r>
          </w:p>
        </w:tc>
      </w:tr>
      <w:tr w14:paraId="5309E5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7" w:type="pct"/>
            <w:vAlign w:val="center"/>
          </w:tcPr>
          <w:p w14:paraId="42F9F776">
            <w:pPr>
              <w:adjustRightInd w:val="0"/>
              <w:snapToGrid w:val="0"/>
              <w:jc w:val="center"/>
              <w:rPr>
                <w:sz w:val="21"/>
                <w:szCs w:val="21"/>
              </w:rPr>
            </w:pPr>
            <w:r>
              <w:rPr>
                <w:rFonts w:hint="eastAsia"/>
                <w:sz w:val="21"/>
                <w:szCs w:val="21"/>
              </w:rPr>
              <w:t>其他</w:t>
            </w:r>
          </w:p>
        </w:tc>
        <w:tc>
          <w:tcPr>
            <w:tcW w:w="2543" w:type="pct"/>
            <w:vAlign w:val="center"/>
          </w:tcPr>
          <w:p w14:paraId="0A972F2E">
            <w:pPr>
              <w:adjustRightInd w:val="0"/>
              <w:snapToGrid w:val="0"/>
              <w:jc w:val="center"/>
              <w:rPr>
                <w:sz w:val="21"/>
                <w:szCs w:val="21"/>
              </w:rPr>
            </w:pPr>
            <w:r>
              <w:rPr>
                <w:sz w:val="21"/>
                <w:szCs w:val="21"/>
              </w:rPr>
              <w:t>/</w:t>
            </w:r>
          </w:p>
        </w:tc>
        <w:tc>
          <w:tcPr>
            <w:tcW w:w="759" w:type="pct"/>
            <w:vAlign w:val="center"/>
          </w:tcPr>
          <w:p w14:paraId="64F9ABDC">
            <w:pPr>
              <w:adjustRightInd w:val="0"/>
              <w:snapToGrid w:val="0"/>
              <w:jc w:val="center"/>
              <w:rPr>
                <w:sz w:val="21"/>
                <w:szCs w:val="21"/>
              </w:rPr>
            </w:pPr>
            <w:r>
              <w:rPr>
                <w:sz w:val="21"/>
                <w:szCs w:val="21"/>
              </w:rPr>
              <w:t>/</w:t>
            </w:r>
          </w:p>
        </w:tc>
        <w:tc>
          <w:tcPr>
            <w:tcW w:w="484" w:type="pct"/>
            <w:vAlign w:val="center"/>
          </w:tcPr>
          <w:p w14:paraId="594300F2">
            <w:pPr>
              <w:adjustRightInd w:val="0"/>
              <w:snapToGrid w:val="0"/>
              <w:jc w:val="center"/>
              <w:rPr>
                <w:sz w:val="21"/>
                <w:szCs w:val="21"/>
              </w:rPr>
            </w:pPr>
            <w:r>
              <w:rPr>
                <w:sz w:val="21"/>
                <w:szCs w:val="21"/>
              </w:rPr>
              <w:t>/</w:t>
            </w:r>
          </w:p>
        </w:tc>
        <w:tc>
          <w:tcPr>
            <w:tcW w:w="535" w:type="pct"/>
            <w:vAlign w:val="center"/>
          </w:tcPr>
          <w:p w14:paraId="7A881E93">
            <w:pPr>
              <w:adjustRightInd w:val="0"/>
              <w:snapToGrid w:val="0"/>
              <w:jc w:val="center"/>
              <w:rPr>
                <w:sz w:val="21"/>
                <w:szCs w:val="21"/>
              </w:rPr>
            </w:pPr>
            <w:r>
              <w:rPr>
                <w:sz w:val="21"/>
                <w:szCs w:val="21"/>
              </w:rPr>
              <w:t>/</w:t>
            </w:r>
          </w:p>
        </w:tc>
      </w:tr>
    </w:tbl>
    <w:p w14:paraId="3DB0F348"/>
    <w:p w14:paraId="4871EA78">
      <w:pPr>
        <w:spacing w:line="360" w:lineRule="auto"/>
        <w:rPr>
          <w:b/>
          <w:sz w:val="28"/>
          <w:szCs w:val="28"/>
        </w:rPr>
        <w:sectPr>
          <w:pgSz w:w="11906" w:h="16838"/>
          <w:pgMar w:top="1440" w:right="1080" w:bottom="1440" w:left="1080" w:header="851" w:footer="992" w:gutter="0"/>
          <w:cols w:space="720" w:num="1"/>
          <w:docGrid w:type="lines" w:linePitch="312" w:charSpace="0"/>
        </w:sectPr>
      </w:pPr>
    </w:p>
    <w:p w14:paraId="553CEB36">
      <w:pPr>
        <w:pStyle w:val="52"/>
        <w:jc w:val="center"/>
        <w:rPr>
          <w:rFonts w:eastAsia="黑体"/>
          <w:b w:val="0"/>
          <w:sz w:val="30"/>
          <w:szCs w:val="30"/>
        </w:rPr>
      </w:pPr>
      <w:bookmarkStart w:id="18" w:name="_Toc24426"/>
      <w:r>
        <w:rPr>
          <w:rFonts w:hint="eastAsia" w:eastAsia="黑体"/>
          <w:b w:val="0"/>
          <w:sz w:val="30"/>
          <w:szCs w:val="30"/>
        </w:rPr>
        <w:t>七、结论</w:t>
      </w:r>
      <w:bookmarkEnd w:id="18"/>
    </w:p>
    <w:tbl>
      <w:tblPr>
        <w:tblStyle w:val="28"/>
        <w:tblW w:w="97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767"/>
      </w:tblGrid>
      <w:tr w14:paraId="6196D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67" w:type="dxa"/>
          </w:tcPr>
          <w:p w14:paraId="1D186CDB">
            <w:pPr>
              <w:spacing w:line="360" w:lineRule="auto"/>
              <w:ind w:firstLine="480" w:firstLineChars="200"/>
            </w:pPr>
            <w:r>
              <w:rPr>
                <w:rFonts w:hint="eastAsia"/>
              </w:rPr>
              <w:t>综上所述，</w:t>
            </w:r>
            <w:r>
              <w:rPr>
                <w:rFonts w:hint="eastAsia"/>
                <w:bCs/>
              </w:rPr>
              <w:t>泸定县海螺沟山洪沟（共和村、柏秧坪村段）治理工程</w:t>
            </w:r>
            <w:r>
              <w:rPr>
                <w:rFonts w:hint="eastAsia"/>
              </w:rPr>
              <w:t>的建设符合国家产业政策，符合生态环境分区管控相关要求，施工期产生的废水、废气、噪声、固废等污染物经采取措施后，能满足达标排放的要求，随着施工结束和治理措施实施，环境质量基本可以得到恢复。从环境保护角度来看，项目的建设是可行的。</w:t>
            </w:r>
          </w:p>
          <w:p w14:paraId="4D14D929">
            <w:pPr>
              <w:spacing w:line="360" w:lineRule="auto"/>
              <w:ind w:firstLine="480" w:firstLineChars="200"/>
            </w:pPr>
          </w:p>
          <w:p w14:paraId="33DBDE4D">
            <w:pPr>
              <w:spacing w:line="360" w:lineRule="auto"/>
              <w:ind w:firstLine="480" w:firstLineChars="200"/>
            </w:pPr>
          </w:p>
          <w:p w14:paraId="14EBF2BD">
            <w:pPr>
              <w:spacing w:line="276" w:lineRule="auto"/>
              <w:ind w:firstLine="480" w:firstLineChars="200"/>
              <w:rPr>
                <w:szCs w:val="21"/>
              </w:rPr>
            </w:pPr>
          </w:p>
          <w:p w14:paraId="3ACBEA11">
            <w:pPr>
              <w:spacing w:line="276" w:lineRule="auto"/>
              <w:ind w:firstLine="480" w:firstLineChars="200"/>
              <w:rPr>
                <w:szCs w:val="21"/>
              </w:rPr>
            </w:pPr>
          </w:p>
          <w:p w14:paraId="3BDF6ADD">
            <w:pPr>
              <w:spacing w:line="276" w:lineRule="auto"/>
              <w:ind w:firstLine="480" w:firstLineChars="200"/>
              <w:rPr>
                <w:szCs w:val="21"/>
              </w:rPr>
            </w:pPr>
          </w:p>
          <w:p w14:paraId="05136E37">
            <w:pPr>
              <w:spacing w:line="276" w:lineRule="auto"/>
              <w:ind w:firstLine="480" w:firstLineChars="200"/>
              <w:rPr>
                <w:szCs w:val="21"/>
              </w:rPr>
            </w:pPr>
          </w:p>
          <w:p w14:paraId="5577E3DC">
            <w:pPr>
              <w:spacing w:line="276" w:lineRule="auto"/>
              <w:ind w:firstLine="480" w:firstLineChars="200"/>
              <w:rPr>
                <w:szCs w:val="21"/>
              </w:rPr>
            </w:pPr>
          </w:p>
          <w:p w14:paraId="736D4B61">
            <w:pPr>
              <w:spacing w:line="276" w:lineRule="auto"/>
              <w:ind w:firstLine="480" w:firstLineChars="200"/>
              <w:rPr>
                <w:szCs w:val="21"/>
              </w:rPr>
            </w:pPr>
          </w:p>
          <w:p w14:paraId="42F1CDFC">
            <w:pPr>
              <w:spacing w:line="276" w:lineRule="auto"/>
              <w:ind w:firstLine="480" w:firstLineChars="200"/>
              <w:rPr>
                <w:szCs w:val="21"/>
              </w:rPr>
            </w:pPr>
          </w:p>
          <w:p w14:paraId="51781F3A">
            <w:pPr>
              <w:spacing w:line="276" w:lineRule="auto"/>
              <w:ind w:firstLine="480" w:firstLineChars="200"/>
              <w:rPr>
                <w:szCs w:val="21"/>
              </w:rPr>
            </w:pPr>
          </w:p>
          <w:p w14:paraId="0852D661">
            <w:pPr>
              <w:spacing w:line="276" w:lineRule="auto"/>
              <w:ind w:firstLine="480" w:firstLineChars="200"/>
              <w:rPr>
                <w:szCs w:val="21"/>
              </w:rPr>
            </w:pPr>
          </w:p>
          <w:p w14:paraId="6CF706B3">
            <w:pPr>
              <w:spacing w:line="276" w:lineRule="auto"/>
              <w:ind w:firstLine="480" w:firstLineChars="200"/>
              <w:rPr>
                <w:szCs w:val="21"/>
              </w:rPr>
            </w:pPr>
          </w:p>
          <w:p w14:paraId="5BC8FB75">
            <w:pPr>
              <w:spacing w:line="276" w:lineRule="auto"/>
              <w:ind w:firstLine="480" w:firstLineChars="200"/>
              <w:rPr>
                <w:szCs w:val="21"/>
              </w:rPr>
            </w:pPr>
          </w:p>
          <w:p w14:paraId="4863B037">
            <w:pPr>
              <w:spacing w:line="276" w:lineRule="auto"/>
              <w:ind w:firstLine="480" w:firstLineChars="200"/>
              <w:rPr>
                <w:szCs w:val="21"/>
              </w:rPr>
            </w:pPr>
          </w:p>
          <w:p w14:paraId="336BF95C">
            <w:pPr>
              <w:spacing w:line="276" w:lineRule="auto"/>
              <w:ind w:firstLine="480" w:firstLineChars="200"/>
              <w:rPr>
                <w:szCs w:val="21"/>
              </w:rPr>
            </w:pPr>
          </w:p>
          <w:p w14:paraId="504A0DEC">
            <w:pPr>
              <w:spacing w:line="276" w:lineRule="auto"/>
              <w:ind w:firstLine="480" w:firstLineChars="200"/>
              <w:rPr>
                <w:szCs w:val="21"/>
              </w:rPr>
            </w:pPr>
          </w:p>
          <w:p w14:paraId="4404E5DC">
            <w:pPr>
              <w:spacing w:line="276" w:lineRule="auto"/>
              <w:ind w:firstLine="480" w:firstLineChars="200"/>
              <w:rPr>
                <w:szCs w:val="21"/>
              </w:rPr>
            </w:pPr>
          </w:p>
          <w:p w14:paraId="0AF2FB92">
            <w:pPr>
              <w:spacing w:line="276" w:lineRule="auto"/>
              <w:ind w:firstLine="480" w:firstLineChars="200"/>
              <w:rPr>
                <w:szCs w:val="21"/>
              </w:rPr>
            </w:pPr>
          </w:p>
          <w:p w14:paraId="26A9D0EE">
            <w:pPr>
              <w:spacing w:line="276" w:lineRule="auto"/>
              <w:ind w:firstLine="480" w:firstLineChars="200"/>
              <w:rPr>
                <w:szCs w:val="21"/>
              </w:rPr>
            </w:pPr>
          </w:p>
          <w:p w14:paraId="5BC0F979">
            <w:pPr>
              <w:spacing w:line="276" w:lineRule="auto"/>
              <w:ind w:firstLine="480" w:firstLineChars="200"/>
              <w:rPr>
                <w:szCs w:val="21"/>
              </w:rPr>
            </w:pPr>
          </w:p>
          <w:p w14:paraId="152F8DF2">
            <w:pPr>
              <w:spacing w:line="276" w:lineRule="auto"/>
              <w:ind w:firstLine="480" w:firstLineChars="200"/>
              <w:rPr>
                <w:szCs w:val="21"/>
              </w:rPr>
            </w:pPr>
          </w:p>
          <w:p w14:paraId="5C654179">
            <w:pPr>
              <w:spacing w:line="276" w:lineRule="auto"/>
              <w:ind w:firstLine="480" w:firstLineChars="200"/>
              <w:rPr>
                <w:szCs w:val="21"/>
              </w:rPr>
            </w:pPr>
          </w:p>
          <w:p w14:paraId="338DA084">
            <w:pPr>
              <w:spacing w:line="276" w:lineRule="auto"/>
              <w:ind w:firstLine="480" w:firstLineChars="200"/>
              <w:rPr>
                <w:szCs w:val="21"/>
              </w:rPr>
            </w:pPr>
          </w:p>
          <w:p w14:paraId="5B53AE76">
            <w:pPr>
              <w:spacing w:line="276" w:lineRule="auto"/>
              <w:ind w:firstLine="480" w:firstLineChars="200"/>
              <w:rPr>
                <w:szCs w:val="21"/>
              </w:rPr>
            </w:pPr>
          </w:p>
          <w:p w14:paraId="3458BBC9">
            <w:pPr>
              <w:spacing w:line="276" w:lineRule="auto"/>
              <w:ind w:firstLine="480" w:firstLineChars="200"/>
              <w:rPr>
                <w:szCs w:val="21"/>
              </w:rPr>
            </w:pPr>
          </w:p>
          <w:p w14:paraId="4B28DC78">
            <w:pPr>
              <w:spacing w:line="276" w:lineRule="auto"/>
              <w:ind w:firstLine="480" w:firstLineChars="200"/>
              <w:rPr>
                <w:szCs w:val="21"/>
              </w:rPr>
            </w:pPr>
          </w:p>
          <w:p w14:paraId="799EC840">
            <w:pPr>
              <w:spacing w:line="276" w:lineRule="auto"/>
              <w:ind w:firstLine="480" w:firstLineChars="200"/>
              <w:rPr>
                <w:szCs w:val="21"/>
              </w:rPr>
            </w:pPr>
          </w:p>
          <w:p w14:paraId="5B75253A">
            <w:pPr>
              <w:spacing w:line="276" w:lineRule="auto"/>
              <w:ind w:firstLine="480" w:firstLineChars="200"/>
              <w:rPr>
                <w:szCs w:val="21"/>
              </w:rPr>
            </w:pPr>
          </w:p>
          <w:p w14:paraId="38220427">
            <w:pPr>
              <w:spacing w:line="276" w:lineRule="auto"/>
              <w:ind w:firstLine="480" w:firstLineChars="200"/>
              <w:rPr>
                <w:szCs w:val="21"/>
              </w:rPr>
            </w:pPr>
          </w:p>
          <w:p w14:paraId="0C061D18">
            <w:pPr>
              <w:spacing w:line="276" w:lineRule="auto"/>
              <w:ind w:firstLine="480" w:firstLineChars="200"/>
              <w:rPr>
                <w:szCs w:val="21"/>
              </w:rPr>
            </w:pPr>
          </w:p>
        </w:tc>
      </w:tr>
    </w:tbl>
    <w:p w14:paraId="737AA574">
      <w:pPr>
        <w:pStyle w:val="23"/>
        <w:ind w:left="480" w:leftChars="0" w:hanging="480"/>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86920CC-74E5-461B-9696-A94A70A31A9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F104A403-949C-4FEB-9D42-324CE44E5E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ED590F6D-6EEF-4693-BF92-83111BD905A2}"/>
  </w:font>
  <w:font w:name="仿宋_GB2312">
    <w:altName w:val="仿宋"/>
    <w:panose1 w:val="00000000000000000000"/>
    <w:charset w:val="86"/>
    <w:family w:val="modern"/>
    <w:pitch w:val="default"/>
    <w:sig w:usb0="00000000" w:usb1="00000000" w:usb2="00000000" w:usb3="00000000" w:csb0="00040000" w:csb1="00000000"/>
    <w:embedRegular r:id="rId4" w:fontKey="{93C576E6-4B7B-4911-866B-BC8D06044E34}"/>
  </w:font>
  <w:font w:name="华文中宋">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方正小标宋_GBK">
    <w:altName w:val="微软雅黑"/>
    <w:panose1 w:val="00000000000000000000"/>
    <w:charset w:val="86"/>
    <w:family w:val="script"/>
    <w:pitch w:val="default"/>
    <w:sig w:usb0="00000000" w:usb1="00000000" w:usb2="00082016" w:usb3="00000000" w:csb0="00040001" w:csb1="00000000"/>
    <w:embedRegular r:id="rId5" w:fontKey="{D53BF542-054B-4E80-BA17-CC73A0ED6A30}"/>
  </w:font>
  <w:font w:name="楷体">
    <w:panose1 w:val="02010609060101010101"/>
    <w:charset w:val="86"/>
    <w:family w:val="modern"/>
    <w:pitch w:val="default"/>
    <w:sig w:usb0="800002BF" w:usb1="38CF7CFA" w:usb2="00000016" w:usb3="00000000" w:csb0="00040001" w:csb1="00000000"/>
    <w:embedRegular r:id="rId6" w:fontKey="{CA160BC2-88A2-410A-A018-9F88AE8E2615}"/>
  </w:font>
  <w:font w:name="楷体_GB2312">
    <w:altName w:val="楷体"/>
    <w:panose1 w:val="00000000000000000000"/>
    <w:charset w:val="86"/>
    <w:family w:val="modern"/>
    <w:pitch w:val="default"/>
    <w:sig w:usb0="00000000" w:usb1="00000000" w:usb2="00000000" w:usb3="00000000" w:csb0="00040000" w:csb1="00000000"/>
    <w:embedRegular r:id="rId7" w:fontKey="{0FA43C69-99AF-4F96-A37E-BF26C77F6E9F}"/>
  </w:font>
  <w:font w:name="Wingdings 2">
    <w:panose1 w:val="05020102010507070707"/>
    <w:charset w:val="02"/>
    <w:family w:val="roman"/>
    <w:pitch w:val="default"/>
    <w:sig w:usb0="00000000" w:usb1="00000000" w:usb2="00000000" w:usb3="00000000" w:csb0="80000000" w:csb1="00000000"/>
    <w:embedRegular r:id="rId8" w:fontKey="{A26A9EB8-6857-4187-AC66-642AEA338154}"/>
  </w:font>
  <w:font w:name="宋">
    <w:altName w:val="微软雅黑"/>
    <w:panose1 w:val="00000000000000000000"/>
    <w:charset w:val="00"/>
    <w:family w:val="auto"/>
    <w:pitch w:val="default"/>
    <w:sig w:usb0="00000000" w:usb1="00000000" w:usb2="00000000" w:usb3="00000000" w:csb0="00040001" w:csb1="00000000"/>
    <w:embedRegular r:id="rId9" w:fontKey="{B4FFCA80-55BE-4BAA-8015-287E55084762}"/>
  </w:font>
  <w:font w:name="微软雅黑">
    <w:panose1 w:val="020B0503020204020204"/>
    <w:charset w:val="86"/>
    <w:family w:val="auto"/>
    <w:pitch w:val="default"/>
    <w:sig w:usb0="80000287" w:usb1="2ACF3C50" w:usb2="00000016" w:usb3="00000000" w:csb0="0004001F" w:csb1="00000000"/>
  </w:font>
  <w:font w:name="兰米雅宋">
    <w:altName w:val="微软雅黑"/>
    <w:panose1 w:val="00000000000000000000"/>
    <w:charset w:val="86"/>
    <w:family w:val="auto"/>
    <w:pitch w:val="default"/>
    <w:sig w:usb0="00000000" w:usb1="00000000"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D1F6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340C6">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F6FC">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9879364"/>
      <w:docPartObj>
        <w:docPartGallery w:val="AutoText"/>
      </w:docPartObj>
    </w:sdtPr>
    <w:sdtContent>
      <w:p w14:paraId="5CE203CB">
        <w:pPr>
          <w:pStyle w:val="13"/>
          <w:jc w:val="center"/>
        </w:pPr>
        <w:r>
          <w:fldChar w:fldCharType="begin"/>
        </w:r>
        <w:r>
          <w:instrText xml:space="preserve">PAGE   \* MERGEFORMAT</w:instrText>
        </w:r>
        <w:r>
          <w:fldChar w:fldCharType="separate"/>
        </w:r>
        <w:r>
          <w:rPr>
            <w:lang w:val="zh-CN"/>
          </w:rPr>
          <w:t>2</w:t>
        </w:r>
        <w:r>
          <w:fldChar w:fldCharType="end"/>
        </w:r>
      </w:p>
    </w:sdtContent>
  </w:sdt>
  <w:p w14:paraId="22D995F8">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DD1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83141">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11CB3">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6E092"/>
    <w:multiLevelType w:val="singleLevel"/>
    <w:tmpl w:val="9FC6E092"/>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1">
    <w:nsid w:val="BDBB6EE5"/>
    <w:multiLevelType w:val="singleLevel"/>
    <w:tmpl w:val="BDBB6EE5"/>
    <w:lvl w:ilvl="0" w:tentative="0">
      <w:start w:val="1"/>
      <w:numFmt w:val="decimal"/>
      <w:suff w:val="nothing"/>
      <w:lvlText w:val="（%1）"/>
      <w:lvlJc w:val="left"/>
    </w:lvl>
  </w:abstractNum>
  <w:abstractNum w:abstractNumId="2">
    <w:nsid w:val="C4C76009"/>
    <w:multiLevelType w:val="singleLevel"/>
    <w:tmpl w:val="C4C76009"/>
    <w:lvl w:ilvl="0" w:tentative="0">
      <w:start w:val="1"/>
      <w:numFmt w:val="decimal"/>
      <w:suff w:val="nothing"/>
      <w:lvlText w:val="%1、"/>
      <w:lvlJc w:val="left"/>
      <w:rPr>
        <w:rFonts w:hint="default"/>
        <w:color w:val="auto"/>
      </w:rPr>
    </w:lvl>
  </w:abstractNum>
  <w:abstractNum w:abstractNumId="3">
    <w:nsid w:val="CF8D5B92"/>
    <w:multiLevelType w:val="singleLevel"/>
    <w:tmpl w:val="CF8D5B92"/>
    <w:lvl w:ilvl="0" w:tentative="0">
      <w:start w:val="1"/>
      <w:numFmt w:val="decimal"/>
      <w:suff w:val="nothing"/>
      <w:lvlText w:val="%1、"/>
      <w:lvlJc w:val="left"/>
    </w:lvl>
  </w:abstractNum>
  <w:abstractNum w:abstractNumId="4">
    <w:nsid w:val="F3465819"/>
    <w:multiLevelType w:val="multilevel"/>
    <w:tmpl w:val="F3465819"/>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Restart w:val="2"/>
      <w:pStyle w:val="58"/>
      <w:lvlText w:val="表%1.%2-%5 "/>
      <w:lvlJc w:val="center"/>
      <w:pPr>
        <w:ind w:left="0" w:firstLine="0"/>
      </w:pPr>
      <w:rPr>
        <w:rFonts w:hint="eastAsia"/>
        <w:b w:val="0"/>
        <w:bCs w:val="0"/>
        <w:i w:val="0"/>
        <w:iCs w:val="0"/>
        <w:caps w:val="0"/>
        <w:smallCaps w:val="0"/>
        <w:strike w:val="0"/>
        <w:dstrike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rPr>
    </w:lvl>
    <w:lvl w:ilvl="5" w:tentative="0">
      <w:start w:val="1"/>
      <w:numFmt w:val="decimal"/>
      <w:lvlRestart w:val="2"/>
      <w:lvlText w:val="图%1.%2-%6 "/>
      <w:lvlJc w:val="center"/>
      <w:pPr>
        <w:ind w:left="0" w:firstLine="0"/>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F7F001B8"/>
    <w:multiLevelType w:val="singleLevel"/>
    <w:tmpl w:val="F7F001B8"/>
    <w:lvl w:ilvl="0" w:tentative="0">
      <w:start w:val="1"/>
      <w:numFmt w:val="upperLetter"/>
      <w:lvlText w:val="%1."/>
      <w:lvlJc w:val="left"/>
      <w:pPr>
        <w:ind w:left="425" w:hanging="425"/>
      </w:pPr>
      <w:rPr>
        <w:rFonts w:hint="default"/>
      </w:rPr>
    </w:lvl>
  </w:abstractNum>
  <w:abstractNum w:abstractNumId="6">
    <w:nsid w:val="0005F531"/>
    <w:multiLevelType w:val="singleLevel"/>
    <w:tmpl w:val="0005F531"/>
    <w:lvl w:ilvl="0" w:tentative="0">
      <w:start w:val="1"/>
      <w:numFmt w:val="decimal"/>
      <w:lvlText w:val="%1."/>
      <w:lvlJc w:val="left"/>
      <w:pPr>
        <w:tabs>
          <w:tab w:val="left" w:pos="312"/>
        </w:tabs>
      </w:pPr>
    </w:lvl>
  </w:abstractNum>
  <w:abstractNum w:abstractNumId="7">
    <w:nsid w:val="030C1388"/>
    <w:multiLevelType w:val="multilevel"/>
    <w:tmpl w:val="030C1388"/>
    <w:lvl w:ilvl="0" w:tentative="0">
      <w:start w:val="1"/>
      <w:numFmt w:val="chineseCounting"/>
      <w:pStyle w:val="87"/>
      <w:lvlText w:val="%1、"/>
      <w:lvlJc w:val="left"/>
      <w:pPr>
        <w:ind w:left="900" w:hanging="420"/>
      </w:pPr>
      <w:rPr>
        <w:rFonts w:hint="eastAsia"/>
      </w:rPr>
    </w:lvl>
    <w:lvl w:ilvl="1" w:tentative="0">
      <w:start w:val="1"/>
      <w:numFmt w:val="chineseCounting"/>
      <w:lvlText w:val="%2、"/>
      <w:lvlJc w:val="left"/>
      <w:pPr>
        <w:ind w:left="1322" w:hanging="420"/>
      </w:pPr>
      <w:rPr>
        <w:rFonts w:hint="eastAsia"/>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243EC842"/>
    <w:multiLevelType w:val="singleLevel"/>
    <w:tmpl w:val="243EC842"/>
    <w:lvl w:ilvl="0" w:tentative="0">
      <w:start w:val="1"/>
      <w:numFmt w:val="decimal"/>
      <w:suff w:val="nothing"/>
      <w:lvlText w:val="%1、"/>
      <w:lvlJc w:val="left"/>
      <w:rPr>
        <w:rFonts w:hint="default"/>
        <w:color w:val="auto"/>
      </w:rPr>
    </w:lvl>
  </w:abstractNum>
  <w:abstractNum w:abstractNumId="9">
    <w:nsid w:val="2CF4EEC6"/>
    <w:multiLevelType w:val="singleLevel"/>
    <w:tmpl w:val="2CF4EEC6"/>
    <w:lvl w:ilvl="0" w:tentative="0">
      <w:start w:val="1"/>
      <w:numFmt w:val="decimal"/>
      <w:suff w:val="nothing"/>
      <w:lvlText w:val="附图%1"/>
      <w:lvlJc w:val="left"/>
      <w:pPr>
        <w:tabs>
          <w:tab w:val="left" w:pos="0"/>
        </w:tabs>
      </w:pPr>
      <w:rPr>
        <w:rFonts w:hint="default" w:ascii="Times New Roman" w:hAnsi="Times New Roman" w:eastAsia="宋体" w:cs="宋体"/>
        <w:sz w:val="21"/>
        <w:szCs w:val="21"/>
      </w:rPr>
    </w:lvl>
  </w:abstractNum>
  <w:abstractNum w:abstractNumId="10">
    <w:nsid w:val="2DAF14A3"/>
    <w:multiLevelType w:val="singleLevel"/>
    <w:tmpl w:val="2DAF14A3"/>
    <w:lvl w:ilvl="0" w:tentative="0">
      <w:start w:val="1"/>
      <w:numFmt w:val="decimal"/>
      <w:suff w:val="nothing"/>
      <w:lvlText w:val="（%1）"/>
      <w:lvlJc w:val="left"/>
    </w:lvl>
  </w:abstractNum>
  <w:abstractNum w:abstractNumId="11">
    <w:nsid w:val="398C31F5"/>
    <w:multiLevelType w:val="singleLevel"/>
    <w:tmpl w:val="398C31F5"/>
    <w:lvl w:ilvl="0" w:tentative="0">
      <w:start w:val="3"/>
      <w:numFmt w:val="decimal"/>
      <w:suff w:val="nothing"/>
      <w:lvlText w:val="（%1）"/>
      <w:lvlJc w:val="left"/>
    </w:lvl>
  </w:abstractNum>
  <w:abstractNum w:abstractNumId="12">
    <w:nsid w:val="71B21497"/>
    <w:multiLevelType w:val="multilevel"/>
    <w:tmpl w:val="71B21497"/>
    <w:lvl w:ilvl="0" w:tentative="0">
      <w:start w:val="1"/>
      <w:numFmt w:val="decimal"/>
      <w:pStyle w:val="73"/>
      <w:isLgl/>
      <w:suff w:val="nothing"/>
      <w:lvlText w:val="（%1）"/>
      <w:lvlJc w:val="left"/>
      <w:pPr>
        <w:ind w:left="658" w:firstLine="476"/>
      </w:pPr>
      <w:rPr>
        <w:rFonts w:hint="eastAsia" w:ascii="宋体" w:eastAsia="宋体"/>
      </w:rPr>
    </w:lvl>
    <w:lvl w:ilvl="1" w:tentative="0">
      <w:start w:val="1"/>
      <w:numFmt w:val="decimal"/>
      <w:isLgl/>
      <w:suff w:val="nothing"/>
      <w:lvlText w:val="%2）"/>
      <w:lvlJc w:val="left"/>
      <w:pPr>
        <w:ind w:left="0" w:firstLine="476"/>
      </w:pPr>
      <w:rPr>
        <w:rFonts w:hint="eastAsia" w:ascii="宋体" w:eastAsia="宋体"/>
      </w:rPr>
    </w:lvl>
    <w:lvl w:ilvl="2" w:tentative="0">
      <w:start w:val="1"/>
      <w:numFmt w:val="decimalEnclosedCircle"/>
      <w:suff w:val="nothing"/>
      <w:lvlText w:val="%3"/>
      <w:lvlJc w:val="left"/>
      <w:pPr>
        <w:ind w:left="0" w:firstLine="476"/>
      </w:pPr>
      <w:rPr>
        <w:rFonts w:hint="eastAsia" w:ascii="宋体" w:eastAsia="宋体"/>
      </w:rPr>
    </w:lvl>
    <w:lvl w:ilvl="3" w:tentative="0">
      <w:start w:val="1"/>
      <w:numFmt w:val="lowerLetter"/>
      <w:suff w:val="nothing"/>
      <w:lvlText w:val="%4."/>
      <w:lvlJc w:val="left"/>
      <w:pPr>
        <w:ind w:left="0" w:firstLine="476"/>
      </w:pPr>
      <w:rPr>
        <w:rFonts w:hint="eastAsia" w:ascii="宋体" w:eastAsia="宋体"/>
        <w:b w:val="0"/>
      </w:rPr>
    </w:lvl>
    <w:lvl w:ilvl="4" w:tentative="0">
      <w:start w:val="1"/>
      <w:numFmt w:val="lowerLetter"/>
      <w:suff w:val="nothing"/>
      <w:lvlText w:val="%5）"/>
      <w:lvlJc w:val="left"/>
      <w:pPr>
        <w:ind w:left="1509" w:firstLine="476"/>
      </w:pPr>
      <w:rPr>
        <w:rFonts w:hint="eastAsia" w:ascii="宋体" w:eastAsia="宋体"/>
        <w:b w:val="0"/>
      </w:rPr>
    </w:lvl>
    <w:lvl w:ilvl="5" w:tentative="0">
      <w:start w:val="1"/>
      <w:numFmt w:val="upperRoman"/>
      <w:suff w:val="nothing"/>
      <w:lvlText w:val="%6"/>
      <w:lvlJc w:val="left"/>
      <w:pPr>
        <w:ind w:left="0" w:firstLine="476"/>
      </w:pPr>
      <w:rPr>
        <w:rFonts w:hint="eastAsia" w:ascii="宋体" w:eastAsia="宋体"/>
      </w:rPr>
    </w:lvl>
    <w:lvl w:ilvl="6" w:tentative="0">
      <w:start w:val="1"/>
      <w:numFmt w:val="lowerRoman"/>
      <w:suff w:val="nothing"/>
      <w:lvlText w:val="%7."/>
      <w:lvlJc w:val="left"/>
      <w:pPr>
        <w:ind w:left="0" w:firstLine="476"/>
      </w:pPr>
      <w:rPr>
        <w:rFonts w:hint="eastAsia"/>
      </w:rPr>
    </w:lvl>
    <w:lvl w:ilvl="7" w:tentative="0">
      <w:start w:val="1"/>
      <w:numFmt w:val="upperRoman"/>
      <w:suff w:val="nothing"/>
      <w:lvlText w:val="%8"/>
      <w:lvlJc w:val="left"/>
      <w:pPr>
        <w:ind w:left="0" w:firstLine="476"/>
      </w:pPr>
      <w:rPr>
        <w:rFonts w:hint="eastAsia"/>
      </w:rPr>
    </w:lvl>
    <w:lvl w:ilvl="8" w:tentative="0">
      <w:start w:val="1"/>
      <w:numFmt w:val="lowerRoman"/>
      <w:suff w:val="nothing"/>
      <w:lvlText w:val="%9"/>
      <w:lvlJc w:val="left"/>
      <w:pPr>
        <w:ind w:left="0" w:firstLine="476"/>
      </w:pPr>
      <w:rPr>
        <w:rFonts w:hint="eastAsia"/>
      </w:rPr>
    </w:lvl>
  </w:abstractNum>
  <w:abstractNum w:abstractNumId="13">
    <w:nsid w:val="748809AB"/>
    <w:multiLevelType w:val="singleLevel"/>
    <w:tmpl w:val="748809AB"/>
    <w:lvl w:ilvl="0" w:tentative="0">
      <w:start w:val="1"/>
      <w:numFmt w:val="decimal"/>
      <w:suff w:val="nothing"/>
      <w:lvlText w:val="附件%1"/>
      <w:lvlJc w:val="left"/>
      <w:pPr>
        <w:tabs>
          <w:tab w:val="left" w:pos="0"/>
        </w:tabs>
      </w:pPr>
      <w:rPr>
        <w:rFonts w:hint="default" w:ascii="Times New Roman" w:hAnsi="Times New Roman" w:eastAsia="宋体" w:cs="宋体"/>
        <w:sz w:val="21"/>
        <w:szCs w:val="21"/>
      </w:rPr>
    </w:lvl>
  </w:abstractNum>
  <w:abstractNum w:abstractNumId="14">
    <w:nsid w:val="7D6FD680"/>
    <w:multiLevelType w:val="singleLevel"/>
    <w:tmpl w:val="7D6FD680"/>
    <w:lvl w:ilvl="0" w:tentative="0">
      <w:start w:val="1"/>
      <w:numFmt w:val="decimal"/>
      <w:lvlText w:val="%1."/>
      <w:lvlJc w:val="left"/>
      <w:pPr>
        <w:tabs>
          <w:tab w:val="left" w:pos="312"/>
        </w:tabs>
      </w:pPr>
    </w:lvl>
  </w:abstractNum>
  <w:num w:numId="1">
    <w:abstractNumId w:val="0"/>
  </w:num>
  <w:num w:numId="2">
    <w:abstractNumId w:val="4"/>
  </w:num>
  <w:num w:numId="3">
    <w:abstractNumId w:val="12"/>
  </w:num>
  <w:num w:numId="4">
    <w:abstractNumId w:val="7"/>
  </w:num>
  <w:num w:numId="5">
    <w:abstractNumId w:val="9"/>
  </w:num>
  <w:num w:numId="6">
    <w:abstractNumId w:val="13"/>
  </w:num>
  <w:num w:numId="7">
    <w:abstractNumId w:val="6"/>
  </w:num>
  <w:num w:numId="8">
    <w:abstractNumId w:val="14"/>
  </w:num>
  <w:num w:numId="9">
    <w:abstractNumId w:val="1"/>
  </w:num>
  <w:num w:numId="10">
    <w:abstractNumId w:val="2"/>
  </w:num>
  <w:num w:numId="11">
    <w:abstractNumId w:val="8"/>
  </w:num>
  <w:num w:numId="12">
    <w:abstractNumId w:val="3"/>
  </w:num>
  <w:num w:numId="13">
    <w:abstractNumId w:val="10"/>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1"/>
  <w:bordersDoNotSurroundFooter w:val="1"/>
  <w:hideSpellingErrors/>
  <w:documentProtection w:enforcement="0"/>
  <w:defaultTabStop w:val="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0ZTRkYmU1ODg1NWQ2OGY0YWRhNzU0MDY1Yjc4YmYifQ=="/>
  </w:docVars>
  <w:rsids>
    <w:rsidRoot w:val="00172A27"/>
    <w:rsid w:val="00000B5E"/>
    <w:rsid w:val="00000C0A"/>
    <w:rsid w:val="000014A6"/>
    <w:rsid w:val="00001EBA"/>
    <w:rsid w:val="00002A6D"/>
    <w:rsid w:val="00003162"/>
    <w:rsid w:val="00006ACA"/>
    <w:rsid w:val="00006F6D"/>
    <w:rsid w:val="000103CE"/>
    <w:rsid w:val="00011144"/>
    <w:rsid w:val="00013A3F"/>
    <w:rsid w:val="0001444C"/>
    <w:rsid w:val="00014B28"/>
    <w:rsid w:val="00014F13"/>
    <w:rsid w:val="0001552C"/>
    <w:rsid w:val="00016C99"/>
    <w:rsid w:val="00016D8D"/>
    <w:rsid w:val="00017226"/>
    <w:rsid w:val="00017D0D"/>
    <w:rsid w:val="000200E4"/>
    <w:rsid w:val="000207E9"/>
    <w:rsid w:val="000235FB"/>
    <w:rsid w:val="00024B9E"/>
    <w:rsid w:val="0002546F"/>
    <w:rsid w:val="00025610"/>
    <w:rsid w:val="00025C9E"/>
    <w:rsid w:val="00025EF3"/>
    <w:rsid w:val="0002610A"/>
    <w:rsid w:val="000307AB"/>
    <w:rsid w:val="00031C2C"/>
    <w:rsid w:val="00031D72"/>
    <w:rsid w:val="0003462F"/>
    <w:rsid w:val="00034DCC"/>
    <w:rsid w:val="00034DDA"/>
    <w:rsid w:val="00035AC5"/>
    <w:rsid w:val="00035EB5"/>
    <w:rsid w:val="000362F3"/>
    <w:rsid w:val="00037C5C"/>
    <w:rsid w:val="00040855"/>
    <w:rsid w:val="00041755"/>
    <w:rsid w:val="0004272B"/>
    <w:rsid w:val="00043772"/>
    <w:rsid w:val="0004377D"/>
    <w:rsid w:val="000439DD"/>
    <w:rsid w:val="000447BD"/>
    <w:rsid w:val="00044D25"/>
    <w:rsid w:val="000452D7"/>
    <w:rsid w:val="00045304"/>
    <w:rsid w:val="0004673D"/>
    <w:rsid w:val="00046783"/>
    <w:rsid w:val="00050B9A"/>
    <w:rsid w:val="00050F56"/>
    <w:rsid w:val="00050FCF"/>
    <w:rsid w:val="0005183D"/>
    <w:rsid w:val="00051989"/>
    <w:rsid w:val="00051C97"/>
    <w:rsid w:val="00053455"/>
    <w:rsid w:val="00053EE1"/>
    <w:rsid w:val="000554A6"/>
    <w:rsid w:val="0005632A"/>
    <w:rsid w:val="0005647E"/>
    <w:rsid w:val="0005723F"/>
    <w:rsid w:val="000573CB"/>
    <w:rsid w:val="0005747E"/>
    <w:rsid w:val="00057875"/>
    <w:rsid w:val="00060B71"/>
    <w:rsid w:val="00061654"/>
    <w:rsid w:val="0006592A"/>
    <w:rsid w:val="000668A4"/>
    <w:rsid w:val="00066A37"/>
    <w:rsid w:val="00067A22"/>
    <w:rsid w:val="00070A81"/>
    <w:rsid w:val="00071368"/>
    <w:rsid w:val="00071779"/>
    <w:rsid w:val="00072E28"/>
    <w:rsid w:val="00074010"/>
    <w:rsid w:val="0007412D"/>
    <w:rsid w:val="00074317"/>
    <w:rsid w:val="00074D4F"/>
    <w:rsid w:val="000758A2"/>
    <w:rsid w:val="000758E5"/>
    <w:rsid w:val="000760E6"/>
    <w:rsid w:val="00077478"/>
    <w:rsid w:val="00077A0F"/>
    <w:rsid w:val="000813EA"/>
    <w:rsid w:val="00082F8F"/>
    <w:rsid w:val="00083098"/>
    <w:rsid w:val="00083188"/>
    <w:rsid w:val="000847F7"/>
    <w:rsid w:val="00084A07"/>
    <w:rsid w:val="00084D48"/>
    <w:rsid w:val="000858A9"/>
    <w:rsid w:val="00086637"/>
    <w:rsid w:val="00091E77"/>
    <w:rsid w:val="000929DD"/>
    <w:rsid w:val="00093154"/>
    <w:rsid w:val="00093367"/>
    <w:rsid w:val="0009339C"/>
    <w:rsid w:val="0009484A"/>
    <w:rsid w:val="0009642A"/>
    <w:rsid w:val="000964DC"/>
    <w:rsid w:val="00096636"/>
    <w:rsid w:val="00096A4D"/>
    <w:rsid w:val="00097315"/>
    <w:rsid w:val="000A02FB"/>
    <w:rsid w:val="000A0D5F"/>
    <w:rsid w:val="000A1CCE"/>
    <w:rsid w:val="000A2382"/>
    <w:rsid w:val="000A24F4"/>
    <w:rsid w:val="000A4136"/>
    <w:rsid w:val="000A5070"/>
    <w:rsid w:val="000A6411"/>
    <w:rsid w:val="000A712F"/>
    <w:rsid w:val="000A72C8"/>
    <w:rsid w:val="000B019A"/>
    <w:rsid w:val="000B0212"/>
    <w:rsid w:val="000B2352"/>
    <w:rsid w:val="000B23A4"/>
    <w:rsid w:val="000B47B9"/>
    <w:rsid w:val="000B4CD9"/>
    <w:rsid w:val="000B55FF"/>
    <w:rsid w:val="000B6672"/>
    <w:rsid w:val="000B6983"/>
    <w:rsid w:val="000B79A0"/>
    <w:rsid w:val="000C032C"/>
    <w:rsid w:val="000C1C38"/>
    <w:rsid w:val="000C1CDA"/>
    <w:rsid w:val="000C23BE"/>
    <w:rsid w:val="000C247E"/>
    <w:rsid w:val="000C2E30"/>
    <w:rsid w:val="000C37EB"/>
    <w:rsid w:val="000C5707"/>
    <w:rsid w:val="000C58B6"/>
    <w:rsid w:val="000C5B08"/>
    <w:rsid w:val="000C5F52"/>
    <w:rsid w:val="000C79F0"/>
    <w:rsid w:val="000C7FAC"/>
    <w:rsid w:val="000D0ADB"/>
    <w:rsid w:val="000D14C0"/>
    <w:rsid w:val="000D2AAA"/>
    <w:rsid w:val="000D318F"/>
    <w:rsid w:val="000D3928"/>
    <w:rsid w:val="000D46E2"/>
    <w:rsid w:val="000D4B06"/>
    <w:rsid w:val="000D50C0"/>
    <w:rsid w:val="000D5606"/>
    <w:rsid w:val="000D58C2"/>
    <w:rsid w:val="000D5C5F"/>
    <w:rsid w:val="000D5D22"/>
    <w:rsid w:val="000D7B34"/>
    <w:rsid w:val="000E0373"/>
    <w:rsid w:val="000E0CBE"/>
    <w:rsid w:val="000E123F"/>
    <w:rsid w:val="000E2B9F"/>
    <w:rsid w:val="000E3687"/>
    <w:rsid w:val="000E4316"/>
    <w:rsid w:val="000E46F4"/>
    <w:rsid w:val="000E6225"/>
    <w:rsid w:val="000E6C9F"/>
    <w:rsid w:val="000E7DAC"/>
    <w:rsid w:val="000F01A4"/>
    <w:rsid w:val="000F09DF"/>
    <w:rsid w:val="000F2090"/>
    <w:rsid w:val="000F2AFB"/>
    <w:rsid w:val="000F2C6D"/>
    <w:rsid w:val="000F3CE6"/>
    <w:rsid w:val="000F4022"/>
    <w:rsid w:val="000F4DC7"/>
    <w:rsid w:val="000F5DE7"/>
    <w:rsid w:val="000F639A"/>
    <w:rsid w:val="000F745D"/>
    <w:rsid w:val="000F7CCB"/>
    <w:rsid w:val="00100668"/>
    <w:rsid w:val="00100E7F"/>
    <w:rsid w:val="00101C0A"/>
    <w:rsid w:val="00101D45"/>
    <w:rsid w:val="00101FE7"/>
    <w:rsid w:val="00102225"/>
    <w:rsid w:val="00102388"/>
    <w:rsid w:val="0010402E"/>
    <w:rsid w:val="001054EA"/>
    <w:rsid w:val="00106D98"/>
    <w:rsid w:val="00107266"/>
    <w:rsid w:val="001078F5"/>
    <w:rsid w:val="00110740"/>
    <w:rsid w:val="00110ADB"/>
    <w:rsid w:val="00111FBC"/>
    <w:rsid w:val="00112CF4"/>
    <w:rsid w:val="001137C1"/>
    <w:rsid w:val="00113F84"/>
    <w:rsid w:val="00114D2C"/>
    <w:rsid w:val="001154A8"/>
    <w:rsid w:val="00115880"/>
    <w:rsid w:val="00115FD8"/>
    <w:rsid w:val="00116C46"/>
    <w:rsid w:val="0011732D"/>
    <w:rsid w:val="00117A17"/>
    <w:rsid w:val="0012069F"/>
    <w:rsid w:val="001207E6"/>
    <w:rsid w:val="00120E1C"/>
    <w:rsid w:val="00120F59"/>
    <w:rsid w:val="00121110"/>
    <w:rsid w:val="001217E4"/>
    <w:rsid w:val="001259AA"/>
    <w:rsid w:val="00125D9F"/>
    <w:rsid w:val="00125E98"/>
    <w:rsid w:val="0012683C"/>
    <w:rsid w:val="00127C82"/>
    <w:rsid w:val="00130AAF"/>
    <w:rsid w:val="0013238B"/>
    <w:rsid w:val="0013265F"/>
    <w:rsid w:val="00135DC0"/>
    <w:rsid w:val="001367D8"/>
    <w:rsid w:val="001378AA"/>
    <w:rsid w:val="00140613"/>
    <w:rsid w:val="00141069"/>
    <w:rsid w:val="00143010"/>
    <w:rsid w:val="001433E0"/>
    <w:rsid w:val="00145B98"/>
    <w:rsid w:val="0014630F"/>
    <w:rsid w:val="001473EB"/>
    <w:rsid w:val="00147683"/>
    <w:rsid w:val="00151185"/>
    <w:rsid w:val="001514C3"/>
    <w:rsid w:val="001515B7"/>
    <w:rsid w:val="0015240B"/>
    <w:rsid w:val="001524BB"/>
    <w:rsid w:val="00152F00"/>
    <w:rsid w:val="0015377A"/>
    <w:rsid w:val="00153BFA"/>
    <w:rsid w:val="001556AA"/>
    <w:rsid w:val="001556F6"/>
    <w:rsid w:val="00157B75"/>
    <w:rsid w:val="0016016F"/>
    <w:rsid w:val="00161A8B"/>
    <w:rsid w:val="00162B9A"/>
    <w:rsid w:val="00162C48"/>
    <w:rsid w:val="00162E0F"/>
    <w:rsid w:val="0016321C"/>
    <w:rsid w:val="00164B95"/>
    <w:rsid w:val="00165EBA"/>
    <w:rsid w:val="00166183"/>
    <w:rsid w:val="00167113"/>
    <w:rsid w:val="00167852"/>
    <w:rsid w:val="00167FF0"/>
    <w:rsid w:val="00170149"/>
    <w:rsid w:val="00172388"/>
    <w:rsid w:val="00172630"/>
    <w:rsid w:val="00172A27"/>
    <w:rsid w:val="00173501"/>
    <w:rsid w:val="0017455C"/>
    <w:rsid w:val="00174BBE"/>
    <w:rsid w:val="0017583B"/>
    <w:rsid w:val="001761FF"/>
    <w:rsid w:val="00176491"/>
    <w:rsid w:val="00177391"/>
    <w:rsid w:val="0017764F"/>
    <w:rsid w:val="00177D64"/>
    <w:rsid w:val="00177D68"/>
    <w:rsid w:val="001800A3"/>
    <w:rsid w:val="00182CD4"/>
    <w:rsid w:val="00183E61"/>
    <w:rsid w:val="00185663"/>
    <w:rsid w:val="00190211"/>
    <w:rsid w:val="00190C01"/>
    <w:rsid w:val="00192DE0"/>
    <w:rsid w:val="00192ECE"/>
    <w:rsid w:val="00193D19"/>
    <w:rsid w:val="00194D46"/>
    <w:rsid w:val="00194FBD"/>
    <w:rsid w:val="001950E3"/>
    <w:rsid w:val="001961A6"/>
    <w:rsid w:val="001963F0"/>
    <w:rsid w:val="00196F8D"/>
    <w:rsid w:val="0019760B"/>
    <w:rsid w:val="00197F59"/>
    <w:rsid w:val="001A0FF0"/>
    <w:rsid w:val="001A1620"/>
    <w:rsid w:val="001A1644"/>
    <w:rsid w:val="001A4240"/>
    <w:rsid w:val="001A5316"/>
    <w:rsid w:val="001A6F59"/>
    <w:rsid w:val="001A7E03"/>
    <w:rsid w:val="001B12B2"/>
    <w:rsid w:val="001B13D5"/>
    <w:rsid w:val="001B15E1"/>
    <w:rsid w:val="001B1E5A"/>
    <w:rsid w:val="001B2801"/>
    <w:rsid w:val="001B2B05"/>
    <w:rsid w:val="001B2D20"/>
    <w:rsid w:val="001B3265"/>
    <w:rsid w:val="001B3BDB"/>
    <w:rsid w:val="001B3D47"/>
    <w:rsid w:val="001B430F"/>
    <w:rsid w:val="001B4F4F"/>
    <w:rsid w:val="001B5E2A"/>
    <w:rsid w:val="001B6F59"/>
    <w:rsid w:val="001B7258"/>
    <w:rsid w:val="001B75BE"/>
    <w:rsid w:val="001B7A91"/>
    <w:rsid w:val="001C12DF"/>
    <w:rsid w:val="001C30B0"/>
    <w:rsid w:val="001C3302"/>
    <w:rsid w:val="001C5180"/>
    <w:rsid w:val="001C5980"/>
    <w:rsid w:val="001C606B"/>
    <w:rsid w:val="001C6610"/>
    <w:rsid w:val="001D1F8C"/>
    <w:rsid w:val="001D2028"/>
    <w:rsid w:val="001D20FC"/>
    <w:rsid w:val="001D213A"/>
    <w:rsid w:val="001D260C"/>
    <w:rsid w:val="001D43CE"/>
    <w:rsid w:val="001D515D"/>
    <w:rsid w:val="001D6BA0"/>
    <w:rsid w:val="001D7671"/>
    <w:rsid w:val="001D7E10"/>
    <w:rsid w:val="001E0ADF"/>
    <w:rsid w:val="001E10E1"/>
    <w:rsid w:val="001E1EB8"/>
    <w:rsid w:val="001E2B35"/>
    <w:rsid w:val="001E2F0C"/>
    <w:rsid w:val="001E32DA"/>
    <w:rsid w:val="001E3F64"/>
    <w:rsid w:val="001E4B3B"/>
    <w:rsid w:val="001E5E27"/>
    <w:rsid w:val="001E6B6C"/>
    <w:rsid w:val="001F2AAA"/>
    <w:rsid w:val="001F4003"/>
    <w:rsid w:val="001F5082"/>
    <w:rsid w:val="001F5714"/>
    <w:rsid w:val="001F62A7"/>
    <w:rsid w:val="00201289"/>
    <w:rsid w:val="00203CDC"/>
    <w:rsid w:val="00204283"/>
    <w:rsid w:val="002043D6"/>
    <w:rsid w:val="00204AA1"/>
    <w:rsid w:val="002063C4"/>
    <w:rsid w:val="00207D07"/>
    <w:rsid w:val="0021038B"/>
    <w:rsid w:val="0021090C"/>
    <w:rsid w:val="00210E1B"/>
    <w:rsid w:val="00211066"/>
    <w:rsid w:val="00211387"/>
    <w:rsid w:val="00211574"/>
    <w:rsid w:val="00212532"/>
    <w:rsid w:val="00212A35"/>
    <w:rsid w:val="00212CF3"/>
    <w:rsid w:val="00213258"/>
    <w:rsid w:val="00213A11"/>
    <w:rsid w:val="00213B8B"/>
    <w:rsid w:val="00213D80"/>
    <w:rsid w:val="00214509"/>
    <w:rsid w:val="00216405"/>
    <w:rsid w:val="0021676F"/>
    <w:rsid w:val="00217984"/>
    <w:rsid w:val="00217D48"/>
    <w:rsid w:val="00220011"/>
    <w:rsid w:val="002208B0"/>
    <w:rsid w:val="00220B98"/>
    <w:rsid w:val="00221BE9"/>
    <w:rsid w:val="002221FB"/>
    <w:rsid w:val="0022260A"/>
    <w:rsid w:val="0022462F"/>
    <w:rsid w:val="002254B8"/>
    <w:rsid w:val="0022656E"/>
    <w:rsid w:val="002266E1"/>
    <w:rsid w:val="00230307"/>
    <w:rsid w:val="002329BE"/>
    <w:rsid w:val="00232C82"/>
    <w:rsid w:val="00232DD8"/>
    <w:rsid w:val="002330D6"/>
    <w:rsid w:val="002339F9"/>
    <w:rsid w:val="00233CDD"/>
    <w:rsid w:val="00234DE9"/>
    <w:rsid w:val="002350BB"/>
    <w:rsid w:val="00236693"/>
    <w:rsid w:val="00236916"/>
    <w:rsid w:val="00236D7F"/>
    <w:rsid w:val="00236F89"/>
    <w:rsid w:val="002412AB"/>
    <w:rsid w:val="00241505"/>
    <w:rsid w:val="002424FA"/>
    <w:rsid w:val="002445A1"/>
    <w:rsid w:val="00244AA7"/>
    <w:rsid w:val="00244AAD"/>
    <w:rsid w:val="00244C42"/>
    <w:rsid w:val="0024551A"/>
    <w:rsid w:val="0024662B"/>
    <w:rsid w:val="00246D7E"/>
    <w:rsid w:val="00250999"/>
    <w:rsid w:val="00251561"/>
    <w:rsid w:val="00252432"/>
    <w:rsid w:val="002528B3"/>
    <w:rsid w:val="002546FF"/>
    <w:rsid w:val="002551D2"/>
    <w:rsid w:val="00255820"/>
    <w:rsid w:val="0025626A"/>
    <w:rsid w:val="00256B20"/>
    <w:rsid w:val="0025718F"/>
    <w:rsid w:val="00260192"/>
    <w:rsid w:val="00261E4A"/>
    <w:rsid w:val="0026200C"/>
    <w:rsid w:val="00262994"/>
    <w:rsid w:val="0026323D"/>
    <w:rsid w:val="00264331"/>
    <w:rsid w:val="00265204"/>
    <w:rsid w:val="0026636F"/>
    <w:rsid w:val="002730EA"/>
    <w:rsid w:val="002743E3"/>
    <w:rsid w:val="00274A0C"/>
    <w:rsid w:val="00274C12"/>
    <w:rsid w:val="002757CC"/>
    <w:rsid w:val="002770D7"/>
    <w:rsid w:val="00280005"/>
    <w:rsid w:val="00280235"/>
    <w:rsid w:val="00280384"/>
    <w:rsid w:val="00280804"/>
    <w:rsid w:val="00280B47"/>
    <w:rsid w:val="00283592"/>
    <w:rsid w:val="002841BD"/>
    <w:rsid w:val="00285C64"/>
    <w:rsid w:val="002866F1"/>
    <w:rsid w:val="00286C77"/>
    <w:rsid w:val="00290BC4"/>
    <w:rsid w:val="00290C11"/>
    <w:rsid w:val="00293586"/>
    <w:rsid w:val="0029457F"/>
    <w:rsid w:val="00294C29"/>
    <w:rsid w:val="00295469"/>
    <w:rsid w:val="002955ED"/>
    <w:rsid w:val="00295832"/>
    <w:rsid w:val="002972BD"/>
    <w:rsid w:val="002A08E1"/>
    <w:rsid w:val="002A0ED9"/>
    <w:rsid w:val="002A18D5"/>
    <w:rsid w:val="002A251E"/>
    <w:rsid w:val="002A2756"/>
    <w:rsid w:val="002A29B6"/>
    <w:rsid w:val="002A2A02"/>
    <w:rsid w:val="002A38D3"/>
    <w:rsid w:val="002A3AB3"/>
    <w:rsid w:val="002A4A0F"/>
    <w:rsid w:val="002A4F4B"/>
    <w:rsid w:val="002A5C84"/>
    <w:rsid w:val="002A6528"/>
    <w:rsid w:val="002B0DF9"/>
    <w:rsid w:val="002B0E76"/>
    <w:rsid w:val="002B1311"/>
    <w:rsid w:val="002B201A"/>
    <w:rsid w:val="002B24B6"/>
    <w:rsid w:val="002B2C50"/>
    <w:rsid w:val="002B3289"/>
    <w:rsid w:val="002B39A6"/>
    <w:rsid w:val="002B40B3"/>
    <w:rsid w:val="002B411C"/>
    <w:rsid w:val="002B4489"/>
    <w:rsid w:val="002B4C4F"/>
    <w:rsid w:val="002B65F6"/>
    <w:rsid w:val="002C0B3C"/>
    <w:rsid w:val="002C1988"/>
    <w:rsid w:val="002C29C0"/>
    <w:rsid w:val="002C2AC4"/>
    <w:rsid w:val="002C3A74"/>
    <w:rsid w:val="002C3CE0"/>
    <w:rsid w:val="002C3F5E"/>
    <w:rsid w:val="002C45DD"/>
    <w:rsid w:val="002C4B56"/>
    <w:rsid w:val="002C4E1E"/>
    <w:rsid w:val="002C4E39"/>
    <w:rsid w:val="002C5BC6"/>
    <w:rsid w:val="002C5D05"/>
    <w:rsid w:val="002C7193"/>
    <w:rsid w:val="002D0013"/>
    <w:rsid w:val="002D0787"/>
    <w:rsid w:val="002D172E"/>
    <w:rsid w:val="002D1802"/>
    <w:rsid w:val="002D1B29"/>
    <w:rsid w:val="002D1C8E"/>
    <w:rsid w:val="002D2E53"/>
    <w:rsid w:val="002D2FBD"/>
    <w:rsid w:val="002D341A"/>
    <w:rsid w:val="002D42E3"/>
    <w:rsid w:val="002D4951"/>
    <w:rsid w:val="002D590C"/>
    <w:rsid w:val="002D70A5"/>
    <w:rsid w:val="002D79CD"/>
    <w:rsid w:val="002E012A"/>
    <w:rsid w:val="002E05E0"/>
    <w:rsid w:val="002E29AB"/>
    <w:rsid w:val="002E301A"/>
    <w:rsid w:val="002E3580"/>
    <w:rsid w:val="002E3595"/>
    <w:rsid w:val="002E3D54"/>
    <w:rsid w:val="002E3F36"/>
    <w:rsid w:val="002E512B"/>
    <w:rsid w:val="002E51FB"/>
    <w:rsid w:val="002E5228"/>
    <w:rsid w:val="002E563E"/>
    <w:rsid w:val="002E607A"/>
    <w:rsid w:val="002E70A6"/>
    <w:rsid w:val="002E75C1"/>
    <w:rsid w:val="002E7838"/>
    <w:rsid w:val="002F0A21"/>
    <w:rsid w:val="002F161E"/>
    <w:rsid w:val="002F1F9C"/>
    <w:rsid w:val="002F23D3"/>
    <w:rsid w:val="002F269A"/>
    <w:rsid w:val="002F3611"/>
    <w:rsid w:val="002F3F58"/>
    <w:rsid w:val="002F6DC8"/>
    <w:rsid w:val="002F6DD1"/>
    <w:rsid w:val="002F72C3"/>
    <w:rsid w:val="003010D2"/>
    <w:rsid w:val="0030122C"/>
    <w:rsid w:val="0030193C"/>
    <w:rsid w:val="00301B78"/>
    <w:rsid w:val="00302271"/>
    <w:rsid w:val="003034DC"/>
    <w:rsid w:val="00306FAA"/>
    <w:rsid w:val="0030760F"/>
    <w:rsid w:val="0031020C"/>
    <w:rsid w:val="00312F22"/>
    <w:rsid w:val="003131A0"/>
    <w:rsid w:val="00313C40"/>
    <w:rsid w:val="00313D1A"/>
    <w:rsid w:val="00314144"/>
    <w:rsid w:val="00314BDA"/>
    <w:rsid w:val="00314FE5"/>
    <w:rsid w:val="0031630B"/>
    <w:rsid w:val="00316AC4"/>
    <w:rsid w:val="00316FCB"/>
    <w:rsid w:val="00320F8F"/>
    <w:rsid w:val="003235DC"/>
    <w:rsid w:val="00323C50"/>
    <w:rsid w:val="00330230"/>
    <w:rsid w:val="0033072E"/>
    <w:rsid w:val="003311F2"/>
    <w:rsid w:val="00331682"/>
    <w:rsid w:val="003326E3"/>
    <w:rsid w:val="00332E63"/>
    <w:rsid w:val="003341ED"/>
    <w:rsid w:val="00335716"/>
    <w:rsid w:val="00335FCB"/>
    <w:rsid w:val="0033772B"/>
    <w:rsid w:val="0033779A"/>
    <w:rsid w:val="00337FD8"/>
    <w:rsid w:val="00341AF7"/>
    <w:rsid w:val="003424E2"/>
    <w:rsid w:val="00343B2C"/>
    <w:rsid w:val="00343F97"/>
    <w:rsid w:val="00344193"/>
    <w:rsid w:val="003466D2"/>
    <w:rsid w:val="003468EC"/>
    <w:rsid w:val="00350258"/>
    <w:rsid w:val="003509B2"/>
    <w:rsid w:val="00351729"/>
    <w:rsid w:val="0035279C"/>
    <w:rsid w:val="00352BE4"/>
    <w:rsid w:val="003539C3"/>
    <w:rsid w:val="00354E9F"/>
    <w:rsid w:val="00355E36"/>
    <w:rsid w:val="00356DF0"/>
    <w:rsid w:val="003571C6"/>
    <w:rsid w:val="003608CD"/>
    <w:rsid w:val="003618A2"/>
    <w:rsid w:val="003619EF"/>
    <w:rsid w:val="00361A05"/>
    <w:rsid w:val="00363B46"/>
    <w:rsid w:val="00364E7A"/>
    <w:rsid w:val="0036523D"/>
    <w:rsid w:val="00365B74"/>
    <w:rsid w:val="003669E2"/>
    <w:rsid w:val="00366E22"/>
    <w:rsid w:val="0036774A"/>
    <w:rsid w:val="003706A4"/>
    <w:rsid w:val="00370AE5"/>
    <w:rsid w:val="0037127F"/>
    <w:rsid w:val="00371BD9"/>
    <w:rsid w:val="00371F9C"/>
    <w:rsid w:val="00372C4F"/>
    <w:rsid w:val="00373511"/>
    <w:rsid w:val="003745DF"/>
    <w:rsid w:val="00375980"/>
    <w:rsid w:val="003759C2"/>
    <w:rsid w:val="00376CFB"/>
    <w:rsid w:val="0037774A"/>
    <w:rsid w:val="00377C58"/>
    <w:rsid w:val="003818B6"/>
    <w:rsid w:val="00381994"/>
    <w:rsid w:val="00382C42"/>
    <w:rsid w:val="003833C7"/>
    <w:rsid w:val="00385471"/>
    <w:rsid w:val="003854E5"/>
    <w:rsid w:val="00386D44"/>
    <w:rsid w:val="00386E2D"/>
    <w:rsid w:val="00387531"/>
    <w:rsid w:val="00391322"/>
    <w:rsid w:val="00391C44"/>
    <w:rsid w:val="003928B1"/>
    <w:rsid w:val="003936F8"/>
    <w:rsid w:val="003941F3"/>
    <w:rsid w:val="00394E7B"/>
    <w:rsid w:val="003950D0"/>
    <w:rsid w:val="00395477"/>
    <w:rsid w:val="00395626"/>
    <w:rsid w:val="00395F55"/>
    <w:rsid w:val="003A1F67"/>
    <w:rsid w:val="003A2456"/>
    <w:rsid w:val="003A249D"/>
    <w:rsid w:val="003A3C4E"/>
    <w:rsid w:val="003A47EB"/>
    <w:rsid w:val="003A4B3B"/>
    <w:rsid w:val="003A5201"/>
    <w:rsid w:val="003A7449"/>
    <w:rsid w:val="003A783A"/>
    <w:rsid w:val="003B06C5"/>
    <w:rsid w:val="003B09E1"/>
    <w:rsid w:val="003B0B99"/>
    <w:rsid w:val="003B10DC"/>
    <w:rsid w:val="003B1C40"/>
    <w:rsid w:val="003B2158"/>
    <w:rsid w:val="003B2D28"/>
    <w:rsid w:val="003B3930"/>
    <w:rsid w:val="003B52D3"/>
    <w:rsid w:val="003B608E"/>
    <w:rsid w:val="003B7485"/>
    <w:rsid w:val="003B75F5"/>
    <w:rsid w:val="003C06A0"/>
    <w:rsid w:val="003C0B3B"/>
    <w:rsid w:val="003C29D9"/>
    <w:rsid w:val="003C2F6B"/>
    <w:rsid w:val="003C3813"/>
    <w:rsid w:val="003C3A3A"/>
    <w:rsid w:val="003C5A0A"/>
    <w:rsid w:val="003C7148"/>
    <w:rsid w:val="003C7D2E"/>
    <w:rsid w:val="003D05B4"/>
    <w:rsid w:val="003D156A"/>
    <w:rsid w:val="003D26CB"/>
    <w:rsid w:val="003D27F0"/>
    <w:rsid w:val="003D2B5C"/>
    <w:rsid w:val="003D5AFA"/>
    <w:rsid w:val="003D6101"/>
    <w:rsid w:val="003D61D2"/>
    <w:rsid w:val="003D774E"/>
    <w:rsid w:val="003D7B50"/>
    <w:rsid w:val="003E043C"/>
    <w:rsid w:val="003E0CFC"/>
    <w:rsid w:val="003E0DEF"/>
    <w:rsid w:val="003E1076"/>
    <w:rsid w:val="003E1502"/>
    <w:rsid w:val="003E31B6"/>
    <w:rsid w:val="003E36CD"/>
    <w:rsid w:val="003E4BA9"/>
    <w:rsid w:val="003E589B"/>
    <w:rsid w:val="003E5A78"/>
    <w:rsid w:val="003E5DF5"/>
    <w:rsid w:val="003E5F2A"/>
    <w:rsid w:val="003E771A"/>
    <w:rsid w:val="003F0853"/>
    <w:rsid w:val="003F1058"/>
    <w:rsid w:val="003F1380"/>
    <w:rsid w:val="003F13C2"/>
    <w:rsid w:val="003F2B09"/>
    <w:rsid w:val="003F43EA"/>
    <w:rsid w:val="003F4970"/>
    <w:rsid w:val="003F4CCE"/>
    <w:rsid w:val="003F6133"/>
    <w:rsid w:val="003F639F"/>
    <w:rsid w:val="003F7072"/>
    <w:rsid w:val="003F73FD"/>
    <w:rsid w:val="00400B49"/>
    <w:rsid w:val="00402497"/>
    <w:rsid w:val="00402913"/>
    <w:rsid w:val="00403062"/>
    <w:rsid w:val="0040377C"/>
    <w:rsid w:val="00404EA1"/>
    <w:rsid w:val="0040501C"/>
    <w:rsid w:val="00405FB3"/>
    <w:rsid w:val="0041017A"/>
    <w:rsid w:val="0041018F"/>
    <w:rsid w:val="00410827"/>
    <w:rsid w:val="00410AB1"/>
    <w:rsid w:val="0041262E"/>
    <w:rsid w:val="004149EF"/>
    <w:rsid w:val="004156B3"/>
    <w:rsid w:val="00415C33"/>
    <w:rsid w:val="004202F6"/>
    <w:rsid w:val="00420465"/>
    <w:rsid w:val="00421E47"/>
    <w:rsid w:val="00421E57"/>
    <w:rsid w:val="004227BC"/>
    <w:rsid w:val="004233A6"/>
    <w:rsid w:val="004245BA"/>
    <w:rsid w:val="00424F5E"/>
    <w:rsid w:val="00425235"/>
    <w:rsid w:val="00427BFD"/>
    <w:rsid w:val="00431155"/>
    <w:rsid w:val="00431361"/>
    <w:rsid w:val="00431AB9"/>
    <w:rsid w:val="00432A00"/>
    <w:rsid w:val="00432D4F"/>
    <w:rsid w:val="00432DEE"/>
    <w:rsid w:val="00432EE3"/>
    <w:rsid w:val="00432FFC"/>
    <w:rsid w:val="0043420C"/>
    <w:rsid w:val="00434665"/>
    <w:rsid w:val="0043615D"/>
    <w:rsid w:val="004362F1"/>
    <w:rsid w:val="004366BD"/>
    <w:rsid w:val="00436B45"/>
    <w:rsid w:val="004376FC"/>
    <w:rsid w:val="00441FA4"/>
    <w:rsid w:val="004422AF"/>
    <w:rsid w:val="00443BAE"/>
    <w:rsid w:val="00443C5C"/>
    <w:rsid w:val="00444CE5"/>
    <w:rsid w:val="004452D4"/>
    <w:rsid w:val="00445940"/>
    <w:rsid w:val="00445C3E"/>
    <w:rsid w:val="00447692"/>
    <w:rsid w:val="00447AAB"/>
    <w:rsid w:val="00451499"/>
    <w:rsid w:val="0045444A"/>
    <w:rsid w:val="00455EA3"/>
    <w:rsid w:val="004565C6"/>
    <w:rsid w:val="004601E9"/>
    <w:rsid w:val="00461DD5"/>
    <w:rsid w:val="004639BC"/>
    <w:rsid w:val="00464211"/>
    <w:rsid w:val="00465D23"/>
    <w:rsid w:val="00465D7D"/>
    <w:rsid w:val="00465F0C"/>
    <w:rsid w:val="004662DD"/>
    <w:rsid w:val="0046733F"/>
    <w:rsid w:val="0047015A"/>
    <w:rsid w:val="004706DE"/>
    <w:rsid w:val="00470AC7"/>
    <w:rsid w:val="00470E31"/>
    <w:rsid w:val="00471DB4"/>
    <w:rsid w:val="00471F4C"/>
    <w:rsid w:val="00472322"/>
    <w:rsid w:val="00473982"/>
    <w:rsid w:val="00474A2C"/>
    <w:rsid w:val="00474EF9"/>
    <w:rsid w:val="004764F1"/>
    <w:rsid w:val="00476797"/>
    <w:rsid w:val="00477BBE"/>
    <w:rsid w:val="004810CA"/>
    <w:rsid w:val="00481647"/>
    <w:rsid w:val="00481C22"/>
    <w:rsid w:val="00483018"/>
    <w:rsid w:val="0048339E"/>
    <w:rsid w:val="00483722"/>
    <w:rsid w:val="00487046"/>
    <w:rsid w:val="004904C8"/>
    <w:rsid w:val="004910CB"/>
    <w:rsid w:val="00493A52"/>
    <w:rsid w:val="00493E6F"/>
    <w:rsid w:val="00494365"/>
    <w:rsid w:val="00494877"/>
    <w:rsid w:val="004950AC"/>
    <w:rsid w:val="00495E58"/>
    <w:rsid w:val="004A05A9"/>
    <w:rsid w:val="004A0782"/>
    <w:rsid w:val="004A0A90"/>
    <w:rsid w:val="004A0AD4"/>
    <w:rsid w:val="004A0E10"/>
    <w:rsid w:val="004A109D"/>
    <w:rsid w:val="004A1DC9"/>
    <w:rsid w:val="004A2181"/>
    <w:rsid w:val="004A315B"/>
    <w:rsid w:val="004A332C"/>
    <w:rsid w:val="004A35F2"/>
    <w:rsid w:val="004A3E21"/>
    <w:rsid w:val="004A3F66"/>
    <w:rsid w:val="004A4A7C"/>
    <w:rsid w:val="004A5178"/>
    <w:rsid w:val="004A58F5"/>
    <w:rsid w:val="004A7534"/>
    <w:rsid w:val="004B0B3D"/>
    <w:rsid w:val="004B0EB9"/>
    <w:rsid w:val="004B1705"/>
    <w:rsid w:val="004B21FB"/>
    <w:rsid w:val="004B226F"/>
    <w:rsid w:val="004B3641"/>
    <w:rsid w:val="004B453B"/>
    <w:rsid w:val="004B4AE3"/>
    <w:rsid w:val="004B4FCE"/>
    <w:rsid w:val="004B526B"/>
    <w:rsid w:val="004B6126"/>
    <w:rsid w:val="004B6B00"/>
    <w:rsid w:val="004B6B06"/>
    <w:rsid w:val="004B7320"/>
    <w:rsid w:val="004B7327"/>
    <w:rsid w:val="004B77FE"/>
    <w:rsid w:val="004B7C9D"/>
    <w:rsid w:val="004C005E"/>
    <w:rsid w:val="004C00CA"/>
    <w:rsid w:val="004C0E34"/>
    <w:rsid w:val="004C11EA"/>
    <w:rsid w:val="004C1A51"/>
    <w:rsid w:val="004C2B8B"/>
    <w:rsid w:val="004C4624"/>
    <w:rsid w:val="004C4788"/>
    <w:rsid w:val="004C4FA7"/>
    <w:rsid w:val="004C5182"/>
    <w:rsid w:val="004C5745"/>
    <w:rsid w:val="004C5A98"/>
    <w:rsid w:val="004C5D3A"/>
    <w:rsid w:val="004C60A8"/>
    <w:rsid w:val="004C6507"/>
    <w:rsid w:val="004C6978"/>
    <w:rsid w:val="004C7D36"/>
    <w:rsid w:val="004C7FCE"/>
    <w:rsid w:val="004D00B1"/>
    <w:rsid w:val="004D0245"/>
    <w:rsid w:val="004D1190"/>
    <w:rsid w:val="004D211F"/>
    <w:rsid w:val="004D27AC"/>
    <w:rsid w:val="004D3570"/>
    <w:rsid w:val="004D4470"/>
    <w:rsid w:val="004D45EC"/>
    <w:rsid w:val="004D5131"/>
    <w:rsid w:val="004D5AA8"/>
    <w:rsid w:val="004D66B6"/>
    <w:rsid w:val="004D72BF"/>
    <w:rsid w:val="004D7744"/>
    <w:rsid w:val="004D7F40"/>
    <w:rsid w:val="004E062B"/>
    <w:rsid w:val="004E0D32"/>
    <w:rsid w:val="004E143F"/>
    <w:rsid w:val="004E1519"/>
    <w:rsid w:val="004E1EEC"/>
    <w:rsid w:val="004E225F"/>
    <w:rsid w:val="004E3838"/>
    <w:rsid w:val="004E47D8"/>
    <w:rsid w:val="004E4831"/>
    <w:rsid w:val="004E646F"/>
    <w:rsid w:val="004E6BE8"/>
    <w:rsid w:val="004F148F"/>
    <w:rsid w:val="004F1E5D"/>
    <w:rsid w:val="004F315C"/>
    <w:rsid w:val="004F3710"/>
    <w:rsid w:val="004F3C08"/>
    <w:rsid w:val="004F6C0E"/>
    <w:rsid w:val="005009AE"/>
    <w:rsid w:val="0050222A"/>
    <w:rsid w:val="005027B8"/>
    <w:rsid w:val="00503A7F"/>
    <w:rsid w:val="00505B3A"/>
    <w:rsid w:val="00505B84"/>
    <w:rsid w:val="00506439"/>
    <w:rsid w:val="0050730E"/>
    <w:rsid w:val="0051015A"/>
    <w:rsid w:val="005104F4"/>
    <w:rsid w:val="00510A92"/>
    <w:rsid w:val="00511408"/>
    <w:rsid w:val="00512063"/>
    <w:rsid w:val="005134CB"/>
    <w:rsid w:val="005142B9"/>
    <w:rsid w:val="00514E3A"/>
    <w:rsid w:val="00515543"/>
    <w:rsid w:val="00515634"/>
    <w:rsid w:val="005168E4"/>
    <w:rsid w:val="0051691A"/>
    <w:rsid w:val="00516F05"/>
    <w:rsid w:val="00517795"/>
    <w:rsid w:val="00517BC6"/>
    <w:rsid w:val="00520EE7"/>
    <w:rsid w:val="005212DA"/>
    <w:rsid w:val="00521550"/>
    <w:rsid w:val="00521907"/>
    <w:rsid w:val="00523A38"/>
    <w:rsid w:val="00524475"/>
    <w:rsid w:val="00524E29"/>
    <w:rsid w:val="0052503F"/>
    <w:rsid w:val="00526D7E"/>
    <w:rsid w:val="0052708C"/>
    <w:rsid w:val="005276A7"/>
    <w:rsid w:val="00527DEB"/>
    <w:rsid w:val="00530411"/>
    <w:rsid w:val="005327F2"/>
    <w:rsid w:val="00532FE6"/>
    <w:rsid w:val="00533BDE"/>
    <w:rsid w:val="00533D6F"/>
    <w:rsid w:val="00535B2F"/>
    <w:rsid w:val="00535E76"/>
    <w:rsid w:val="0053680C"/>
    <w:rsid w:val="00536BA5"/>
    <w:rsid w:val="00537843"/>
    <w:rsid w:val="00540220"/>
    <w:rsid w:val="00541060"/>
    <w:rsid w:val="005424F7"/>
    <w:rsid w:val="005442E0"/>
    <w:rsid w:val="00544F82"/>
    <w:rsid w:val="005457CE"/>
    <w:rsid w:val="00546715"/>
    <w:rsid w:val="00547161"/>
    <w:rsid w:val="00547427"/>
    <w:rsid w:val="0054788C"/>
    <w:rsid w:val="005479C7"/>
    <w:rsid w:val="005479DF"/>
    <w:rsid w:val="00547D0F"/>
    <w:rsid w:val="00550217"/>
    <w:rsid w:val="005508E0"/>
    <w:rsid w:val="00550CF5"/>
    <w:rsid w:val="005517AA"/>
    <w:rsid w:val="0055285D"/>
    <w:rsid w:val="00554A05"/>
    <w:rsid w:val="00555F5A"/>
    <w:rsid w:val="00556878"/>
    <w:rsid w:val="0055690B"/>
    <w:rsid w:val="00556BBD"/>
    <w:rsid w:val="00557FB1"/>
    <w:rsid w:val="00560079"/>
    <w:rsid w:val="005602CA"/>
    <w:rsid w:val="005609B4"/>
    <w:rsid w:val="00560DB9"/>
    <w:rsid w:val="0056294A"/>
    <w:rsid w:val="00562BEA"/>
    <w:rsid w:val="00564299"/>
    <w:rsid w:val="00564628"/>
    <w:rsid w:val="00564DAE"/>
    <w:rsid w:val="00566178"/>
    <w:rsid w:val="0056664A"/>
    <w:rsid w:val="00567CD8"/>
    <w:rsid w:val="00567DF2"/>
    <w:rsid w:val="005709DF"/>
    <w:rsid w:val="005717EE"/>
    <w:rsid w:val="00571E2D"/>
    <w:rsid w:val="005739E1"/>
    <w:rsid w:val="00573CC5"/>
    <w:rsid w:val="005743A2"/>
    <w:rsid w:val="00574C59"/>
    <w:rsid w:val="00575255"/>
    <w:rsid w:val="005752A0"/>
    <w:rsid w:val="00575788"/>
    <w:rsid w:val="0057775C"/>
    <w:rsid w:val="00577DB9"/>
    <w:rsid w:val="00581559"/>
    <w:rsid w:val="00584F49"/>
    <w:rsid w:val="005852E4"/>
    <w:rsid w:val="005855E4"/>
    <w:rsid w:val="00585684"/>
    <w:rsid w:val="00586FC9"/>
    <w:rsid w:val="005870EC"/>
    <w:rsid w:val="00587CE2"/>
    <w:rsid w:val="00591B73"/>
    <w:rsid w:val="00592641"/>
    <w:rsid w:val="0059323E"/>
    <w:rsid w:val="00593691"/>
    <w:rsid w:val="00594625"/>
    <w:rsid w:val="00595CD2"/>
    <w:rsid w:val="00595FC8"/>
    <w:rsid w:val="00596333"/>
    <w:rsid w:val="005978DA"/>
    <w:rsid w:val="005A025D"/>
    <w:rsid w:val="005A1BA5"/>
    <w:rsid w:val="005A2769"/>
    <w:rsid w:val="005A2E4D"/>
    <w:rsid w:val="005A3E20"/>
    <w:rsid w:val="005A4B8C"/>
    <w:rsid w:val="005A6E1B"/>
    <w:rsid w:val="005A77DC"/>
    <w:rsid w:val="005B054E"/>
    <w:rsid w:val="005B2668"/>
    <w:rsid w:val="005B292D"/>
    <w:rsid w:val="005B3DA0"/>
    <w:rsid w:val="005B5290"/>
    <w:rsid w:val="005B6D92"/>
    <w:rsid w:val="005C0CB0"/>
    <w:rsid w:val="005C166D"/>
    <w:rsid w:val="005C2622"/>
    <w:rsid w:val="005C303E"/>
    <w:rsid w:val="005C35FE"/>
    <w:rsid w:val="005C3655"/>
    <w:rsid w:val="005C397D"/>
    <w:rsid w:val="005C528D"/>
    <w:rsid w:val="005C6BDA"/>
    <w:rsid w:val="005C7C93"/>
    <w:rsid w:val="005D0906"/>
    <w:rsid w:val="005D0A2D"/>
    <w:rsid w:val="005D0D49"/>
    <w:rsid w:val="005D2AF4"/>
    <w:rsid w:val="005D3229"/>
    <w:rsid w:val="005D3B5F"/>
    <w:rsid w:val="005D6871"/>
    <w:rsid w:val="005D7B94"/>
    <w:rsid w:val="005E05DA"/>
    <w:rsid w:val="005E1180"/>
    <w:rsid w:val="005E1824"/>
    <w:rsid w:val="005E1826"/>
    <w:rsid w:val="005E2E89"/>
    <w:rsid w:val="005E3E58"/>
    <w:rsid w:val="005E406D"/>
    <w:rsid w:val="005E5434"/>
    <w:rsid w:val="005E5CCE"/>
    <w:rsid w:val="005E64D5"/>
    <w:rsid w:val="005E75AF"/>
    <w:rsid w:val="005E7CD6"/>
    <w:rsid w:val="005E7CF2"/>
    <w:rsid w:val="005F1679"/>
    <w:rsid w:val="005F22EC"/>
    <w:rsid w:val="005F23F2"/>
    <w:rsid w:val="005F2C84"/>
    <w:rsid w:val="005F3345"/>
    <w:rsid w:val="005F3973"/>
    <w:rsid w:val="005F444C"/>
    <w:rsid w:val="005F45D7"/>
    <w:rsid w:val="005F4856"/>
    <w:rsid w:val="005F6B01"/>
    <w:rsid w:val="005F7785"/>
    <w:rsid w:val="005F7A05"/>
    <w:rsid w:val="0060035F"/>
    <w:rsid w:val="006003BE"/>
    <w:rsid w:val="00600EBC"/>
    <w:rsid w:val="006020D1"/>
    <w:rsid w:val="0060216D"/>
    <w:rsid w:val="0060252B"/>
    <w:rsid w:val="00604113"/>
    <w:rsid w:val="00604A3C"/>
    <w:rsid w:val="00605673"/>
    <w:rsid w:val="00605700"/>
    <w:rsid w:val="00605C98"/>
    <w:rsid w:val="006075B4"/>
    <w:rsid w:val="00607B00"/>
    <w:rsid w:val="00611796"/>
    <w:rsid w:val="00611A47"/>
    <w:rsid w:val="00614FB8"/>
    <w:rsid w:val="006152D2"/>
    <w:rsid w:val="00616C0A"/>
    <w:rsid w:val="00616CF8"/>
    <w:rsid w:val="0061748F"/>
    <w:rsid w:val="0062084B"/>
    <w:rsid w:val="00620E5E"/>
    <w:rsid w:val="00620FBE"/>
    <w:rsid w:val="00621009"/>
    <w:rsid w:val="00621121"/>
    <w:rsid w:val="006212E6"/>
    <w:rsid w:val="00622389"/>
    <w:rsid w:val="006235EA"/>
    <w:rsid w:val="00625432"/>
    <w:rsid w:val="006265B5"/>
    <w:rsid w:val="00626814"/>
    <w:rsid w:val="0063036F"/>
    <w:rsid w:val="0063087C"/>
    <w:rsid w:val="00633C6C"/>
    <w:rsid w:val="00634526"/>
    <w:rsid w:val="00634726"/>
    <w:rsid w:val="00635D10"/>
    <w:rsid w:val="00637142"/>
    <w:rsid w:val="00640F96"/>
    <w:rsid w:val="0064104D"/>
    <w:rsid w:val="00641897"/>
    <w:rsid w:val="00643ABB"/>
    <w:rsid w:val="006450A9"/>
    <w:rsid w:val="00645418"/>
    <w:rsid w:val="0064769B"/>
    <w:rsid w:val="006510E3"/>
    <w:rsid w:val="006518FC"/>
    <w:rsid w:val="00651C42"/>
    <w:rsid w:val="00651E1B"/>
    <w:rsid w:val="00651E3F"/>
    <w:rsid w:val="00653025"/>
    <w:rsid w:val="006537FA"/>
    <w:rsid w:val="00654F98"/>
    <w:rsid w:val="00655258"/>
    <w:rsid w:val="0065718F"/>
    <w:rsid w:val="00657309"/>
    <w:rsid w:val="006622A1"/>
    <w:rsid w:val="006623CB"/>
    <w:rsid w:val="00663279"/>
    <w:rsid w:val="0066368B"/>
    <w:rsid w:val="00663D3F"/>
    <w:rsid w:val="00663D81"/>
    <w:rsid w:val="00666F66"/>
    <w:rsid w:val="006712DA"/>
    <w:rsid w:val="00672523"/>
    <w:rsid w:val="006725D8"/>
    <w:rsid w:val="00673B2E"/>
    <w:rsid w:val="00674728"/>
    <w:rsid w:val="00675EC0"/>
    <w:rsid w:val="00675EEB"/>
    <w:rsid w:val="00676500"/>
    <w:rsid w:val="0067695E"/>
    <w:rsid w:val="00676C6D"/>
    <w:rsid w:val="006812B4"/>
    <w:rsid w:val="00681D65"/>
    <w:rsid w:val="00683AC2"/>
    <w:rsid w:val="00683D99"/>
    <w:rsid w:val="0068496F"/>
    <w:rsid w:val="006864EF"/>
    <w:rsid w:val="0068709D"/>
    <w:rsid w:val="00687A5D"/>
    <w:rsid w:val="0069169D"/>
    <w:rsid w:val="00692378"/>
    <w:rsid w:val="00692977"/>
    <w:rsid w:val="006929DF"/>
    <w:rsid w:val="006944C8"/>
    <w:rsid w:val="00695493"/>
    <w:rsid w:val="00695F04"/>
    <w:rsid w:val="0069608F"/>
    <w:rsid w:val="006963F8"/>
    <w:rsid w:val="0069699F"/>
    <w:rsid w:val="0069714B"/>
    <w:rsid w:val="00697E30"/>
    <w:rsid w:val="006A0265"/>
    <w:rsid w:val="006A1FFB"/>
    <w:rsid w:val="006A437D"/>
    <w:rsid w:val="006A449A"/>
    <w:rsid w:val="006A5852"/>
    <w:rsid w:val="006A6053"/>
    <w:rsid w:val="006A7CB3"/>
    <w:rsid w:val="006B0DC3"/>
    <w:rsid w:val="006B195D"/>
    <w:rsid w:val="006B1C9C"/>
    <w:rsid w:val="006B257F"/>
    <w:rsid w:val="006B262A"/>
    <w:rsid w:val="006B264D"/>
    <w:rsid w:val="006B359F"/>
    <w:rsid w:val="006B3A40"/>
    <w:rsid w:val="006B4D3C"/>
    <w:rsid w:val="006B4EF7"/>
    <w:rsid w:val="006B5035"/>
    <w:rsid w:val="006B593D"/>
    <w:rsid w:val="006B5EFF"/>
    <w:rsid w:val="006B6C59"/>
    <w:rsid w:val="006B716F"/>
    <w:rsid w:val="006B7C28"/>
    <w:rsid w:val="006C18CC"/>
    <w:rsid w:val="006C3DDB"/>
    <w:rsid w:val="006C5593"/>
    <w:rsid w:val="006C58A0"/>
    <w:rsid w:val="006C5F7A"/>
    <w:rsid w:val="006C68FE"/>
    <w:rsid w:val="006C700C"/>
    <w:rsid w:val="006D10D1"/>
    <w:rsid w:val="006D12AC"/>
    <w:rsid w:val="006D18E7"/>
    <w:rsid w:val="006D2FC2"/>
    <w:rsid w:val="006D3083"/>
    <w:rsid w:val="006D34C0"/>
    <w:rsid w:val="006D4166"/>
    <w:rsid w:val="006D523A"/>
    <w:rsid w:val="006D741C"/>
    <w:rsid w:val="006D75E2"/>
    <w:rsid w:val="006D775A"/>
    <w:rsid w:val="006D7773"/>
    <w:rsid w:val="006E0F01"/>
    <w:rsid w:val="006E1B95"/>
    <w:rsid w:val="006E34CE"/>
    <w:rsid w:val="006E4A3E"/>
    <w:rsid w:val="006E53AA"/>
    <w:rsid w:val="006E5EC9"/>
    <w:rsid w:val="006E68E2"/>
    <w:rsid w:val="006F03D3"/>
    <w:rsid w:val="006F056C"/>
    <w:rsid w:val="006F0F71"/>
    <w:rsid w:val="006F1474"/>
    <w:rsid w:val="006F1FA0"/>
    <w:rsid w:val="006F3E5F"/>
    <w:rsid w:val="006F40B4"/>
    <w:rsid w:val="006F495F"/>
    <w:rsid w:val="006F5698"/>
    <w:rsid w:val="006F569A"/>
    <w:rsid w:val="006F64D4"/>
    <w:rsid w:val="006F74BD"/>
    <w:rsid w:val="006F79BA"/>
    <w:rsid w:val="00701B08"/>
    <w:rsid w:val="00702A20"/>
    <w:rsid w:val="00702F3F"/>
    <w:rsid w:val="00703662"/>
    <w:rsid w:val="0070387B"/>
    <w:rsid w:val="00703B22"/>
    <w:rsid w:val="00703B32"/>
    <w:rsid w:val="00704B22"/>
    <w:rsid w:val="00705536"/>
    <w:rsid w:val="00705544"/>
    <w:rsid w:val="00707706"/>
    <w:rsid w:val="0071198F"/>
    <w:rsid w:val="00711CFF"/>
    <w:rsid w:val="00712718"/>
    <w:rsid w:val="007128BF"/>
    <w:rsid w:val="00712A09"/>
    <w:rsid w:val="00712ADA"/>
    <w:rsid w:val="00713AC5"/>
    <w:rsid w:val="00714B64"/>
    <w:rsid w:val="00714C2E"/>
    <w:rsid w:val="00715040"/>
    <w:rsid w:val="00715D54"/>
    <w:rsid w:val="0071768D"/>
    <w:rsid w:val="00720423"/>
    <w:rsid w:val="007204F8"/>
    <w:rsid w:val="0072091A"/>
    <w:rsid w:val="0072195A"/>
    <w:rsid w:val="00722416"/>
    <w:rsid w:val="007227DD"/>
    <w:rsid w:val="00724918"/>
    <w:rsid w:val="00725381"/>
    <w:rsid w:val="007306D1"/>
    <w:rsid w:val="00730FC5"/>
    <w:rsid w:val="00732E4D"/>
    <w:rsid w:val="00733436"/>
    <w:rsid w:val="00734079"/>
    <w:rsid w:val="007342EF"/>
    <w:rsid w:val="007355F0"/>
    <w:rsid w:val="00735747"/>
    <w:rsid w:val="00736A3E"/>
    <w:rsid w:val="00736D9D"/>
    <w:rsid w:val="00736F53"/>
    <w:rsid w:val="00740279"/>
    <w:rsid w:val="00742E03"/>
    <w:rsid w:val="007441BE"/>
    <w:rsid w:val="00744CAE"/>
    <w:rsid w:val="00744DF5"/>
    <w:rsid w:val="0074699B"/>
    <w:rsid w:val="00747945"/>
    <w:rsid w:val="00750158"/>
    <w:rsid w:val="007514DC"/>
    <w:rsid w:val="007519C5"/>
    <w:rsid w:val="007521DD"/>
    <w:rsid w:val="00752CF5"/>
    <w:rsid w:val="00753190"/>
    <w:rsid w:val="007539D1"/>
    <w:rsid w:val="00754885"/>
    <w:rsid w:val="00755824"/>
    <w:rsid w:val="00755DF0"/>
    <w:rsid w:val="0075615A"/>
    <w:rsid w:val="00757A0C"/>
    <w:rsid w:val="00760752"/>
    <w:rsid w:val="0076147D"/>
    <w:rsid w:val="00762BE7"/>
    <w:rsid w:val="0076584C"/>
    <w:rsid w:val="00767079"/>
    <w:rsid w:val="007675DB"/>
    <w:rsid w:val="00770BA1"/>
    <w:rsid w:val="00772CEC"/>
    <w:rsid w:val="00773707"/>
    <w:rsid w:val="0077500B"/>
    <w:rsid w:val="007752E7"/>
    <w:rsid w:val="00775812"/>
    <w:rsid w:val="00775C25"/>
    <w:rsid w:val="00775EE4"/>
    <w:rsid w:val="007763CA"/>
    <w:rsid w:val="0077670C"/>
    <w:rsid w:val="00776F11"/>
    <w:rsid w:val="0077720A"/>
    <w:rsid w:val="00777D1B"/>
    <w:rsid w:val="00783E57"/>
    <w:rsid w:val="00783ECB"/>
    <w:rsid w:val="00784706"/>
    <w:rsid w:val="00787B4B"/>
    <w:rsid w:val="00787BAB"/>
    <w:rsid w:val="00790759"/>
    <w:rsid w:val="00791B94"/>
    <w:rsid w:val="00793208"/>
    <w:rsid w:val="007934F3"/>
    <w:rsid w:val="00793E2A"/>
    <w:rsid w:val="00794849"/>
    <w:rsid w:val="007955E1"/>
    <w:rsid w:val="007958D4"/>
    <w:rsid w:val="00796562"/>
    <w:rsid w:val="007969FE"/>
    <w:rsid w:val="007A039B"/>
    <w:rsid w:val="007A0628"/>
    <w:rsid w:val="007A06DF"/>
    <w:rsid w:val="007A10E8"/>
    <w:rsid w:val="007A351F"/>
    <w:rsid w:val="007A3CE8"/>
    <w:rsid w:val="007A3E90"/>
    <w:rsid w:val="007A4DDC"/>
    <w:rsid w:val="007A5B70"/>
    <w:rsid w:val="007A6F59"/>
    <w:rsid w:val="007A79A9"/>
    <w:rsid w:val="007A7B1A"/>
    <w:rsid w:val="007A7DFC"/>
    <w:rsid w:val="007A7F9A"/>
    <w:rsid w:val="007B01DD"/>
    <w:rsid w:val="007B193D"/>
    <w:rsid w:val="007B1CA5"/>
    <w:rsid w:val="007B205A"/>
    <w:rsid w:val="007B53C2"/>
    <w:rsid w:val="007B695D"/>
    <w:rsid w:val="007B755A"/>
    <w:rsid w:val="007C07C5"/>
    <w:rsid w:val="007C0D69"/>
    <w:rsid w:val="007C2509"/>
    <w:rsid w:val="007C52BF"/>
    <w:rsid w:val="007C743D"/>
    <w:rsid w:val="007C77D4"/>
    <w:rsid w:val="007D079B"/>
    <w:rsid w:val="007D080A"/>
    <w:rsid w:val="007D1673"/>
    <w:rsid w:val="007D19FB"/>
    <w:rsid w:val="007D3DB0"/>
    <w:rsid w:val="007D4B91"/>
    <w:rsid w:val="007D4C3C"/>
    <w:rsid w:val="007D5528"/>
    <w:rsid w:val="007D6211"/>
    <w:rsid w:val="007D6EC0"/>
    <w:rsid w:val="007D7497"/>
    <w:rsid w:val="007E0496"/>
    <w:rsid w:val="007E04C6"/>
    <w:rsid w:val="007E0677"/>
    <w:rsid w:val="007E0D2C"/>
    <w:rsid w:val="007E1DA7"/>
    <w:rsid w:val="007E2A5C"/>
    <w:rsid w:val="007E452E"/>
    <w:rsid w:val="007E4BAA"/>
    <w:rsid w:val="007E4F94"/>
    <w:rsid w:val="007E6E36"/>
    <w:rsid w:val="007E7343"/>
    <w:rsid w:val="007E7ED8"/>
    <w:rsid w:val="007F068A"/>
    <w:rsid w:val="007F2655"/>
    <w:rsid w:val="007F2E32"/>
    <w:rsid w:val="007F45A9"/>
    <w:rsid w:val="007F5FF0"/>
    <w:rsid w:val="007F6059"/>
    <w:rsid w:val="007F6670"/>
    <w:rsid w:val="007F67B6"/>
    <w:rsid w:val="007F6930"/>
    <w:rsid w:val="007F706D"/>
    <w:rsid w:val="007F7835"/>
    <w:rsid w:val="007F7DC3"/>
    <w:rsid w:val="007F7E0F"/>
    <w:rsid w:val="00800F41"/>
    <w:rsid w:val="0080188C"/>
    <w:rsid w:val="00801D89"/>
    <w:rsid w:val="00802127"/>
    <w:rsid w:val="00802EF9"/>
    <w:rsid w:val="00805D86"/>
    <w:rsid w:val="00805EFE"/>
    <w:rsid w:val="00806C6F"/>
    <w:rsid w:val="00806D11"/>
    <w:rsid w:val="00806DD5"/>
    <w:rsid w:val="00806E96"/>
    <w:rsid w:val="00807395"/>
    <w:rsid w:val="008079D8"/>
    <w:rsid w:val="0081083F"/>
    <w:rsid w:val="00810960"/>
    <w:rsid w:val="00810D4C"/>
    <w:rsid w:val="008110D9"/>
    <w:rsid w:val="00811E55"/>
    <w:rsid w:val="00811E8F"/>
    <w:rsid w:val="0081206E"/>
    <w:rsid w:val="0081229B"/>
    <w:rsid w:val="00812361"/>
    <w:rsid w:val="00812F8E"/>
    <w:rsid w:val="00814FBA"/>
    <w:rsid w:val="0081518B"/>
    <w:rsid w:val="00816E6D"/>
    <w:rsid w:val="00820382"/>
    <w:rsid w:val="00820633"/>
    <w:rsid w:val="008211B7"/>
    <w:rsid w:val="00821B69"/>
    <w:rsid w:val="00821F4E"/>
    <w:rsid w:val="00822C87"/>
    <w:rsid w:val="00823E69"/>
    <w:rsid w:val="00824405"/>
    <w:rsid w:val="0082441E"/>
    <w:rsid w:val="0082583B"/>
    <w:rsid w:val="00826B90"/>
    <w:rsid w:val="00832ACE"/>
    <w:rsid w:val="00832DA4"/>
    <w:rsid w:val="0083397A"/>
    <w:rsid w:val="0083636E"/>
    <w:rsid w:val="00836489"/>
    <w:rsid w:val="00836716"/>
    <w:rsid w:val="0083700F"/>
    <w:rsid w:val="008377F5"/>
    <w:rsid w:val="0084120F"/>
    <w:rsid w:val="00841989"/>
    <w:rsid w:val="00841AD1"/>
    <w:rsid w:val="0084447B"/>
    <w:rsid w:val="008468C8"/>
    <w:rsid w:val="00846AAA"/>
    <w:rsid w:val="00847609"/>
    <w:rsid w:val="008479E8"/>
    <w:rsid w:val="00850119"/>
    <w:rsid w:val="00851BAB"/>
    <w:rsid w:val="008520B0"/>
    <w:rsid w:val="00853B3C"/>
    <w:rsid w:val="00854018"/>
    <w:rsid w:val="00854099"/>
    <w:rsid w:val="00855646"/>
    <w:rsid w:val="008567AE"/>
    <w:rsid w:val="008578C3"/>
    <w:rsid w:val="008602F0"/>
    <w:rsid w:val="00860F22"/>
    <w:rsid w:val="00862A6E"/>
    <w:rsid w:val="0086387E"/>
    <w:rsid w:val="00864D47"/>
    <w:rsid w:val="0086535D"/>
    <w:rsid w:val="00867024"/>
    <w:rsid w:val="0086790C"/>
    <w:rsid w:val="0086794B"/>
    <w:rsid w:val="00867FE5"/>
    <w:rsid w:val="008704FB"/>
    <w:rsid w:val="008708D2"/>
    <w:rsid w:val="00871ADE"/>
    <w:rsid w:val="00871B4A"/>
    <w:rsid w:val="00871E93"/>
    <w:rsid w:val="00872BE4"/>
    <w:rsid w:val="00873927"/>
    <w:rsid w:val="00874B6E"/>
    <w:rsid w:val="008755DC"/>
    <w:rsid w:val="0087751B"/>
    <w:rsid w:val="00877E22"/>
    <w:rsid w:val="00880D3F"/>
    <w:rsid w:val="00880ECE"/>
    <w:rsid w:val="00881702"/>
    <w:rsid w:val="00881D2A"/>
    <w:rsid w:val="00882C21"/>
    <w:rsid w:val="008831B9"/>
    <w:rsid w:val="00884A54"/>
    <w:rsid w:val="00885352"/>
    <w:rsid w:val="00886B90"/>
    <w:rsid w:val="00887DBC"/>
    <w:rsid w:val="008914BC"/>
    <w:rsid w:val="008943C3"/>
    <w:rsid w:val="00894939"/>
    <w:rsid w:val="00897D19"/>
    <w:rsid w:val="00897E23"/>
    <w:rsid w:val="00897FB3"/>
    <w:rsid w:val="008A0D6F"/>
    <w:rsid w:val="008A12F4"/>
    <w:rsid w:val="008A3197"/>
    <w:rsid w:val="008A3F09"/>
    <w:rsid w:val="008A4D07"/>
    <w:rsid w:val="008A53E2"/>
    <w:rsid w:val="008A54CE"/>
    <w:rsid w:val="008A5571"/>
    <w:rsid w:val="008A5A1E"/>
    <w:rsid w:val="008A5DE1"/>
    <w:rsid w:val="008A5F83"/>
    <w:rsid w:val="008A6622"/>
    <w:rsid w:val="008A6A8B"/>
    <w:rsid w:val="008B0024"/>
    <w:rsid w:val="008B0979"/>
    <w:rsid w:val="008B1029"/>
    <w:rsid w:val="008B15EA"/>
    <w:rsid w:val="008B16AD"/>
    <w:rsid w:val="008B2B90"/>
    <w:rsid w:val="008B3379"/>
    <w:rsid w:val="008B34EA"/>
    <w:rsid w:val="008B3A71"/>
    <w:rsid w:val="008B4AB8"/>
    <w:rsid w:val="008B4ADF"/>
    <w:rsid w:val="008B5D7B"/>
    <w:rsid w:val="008B6597"/>
    <w:rsid w:val="008B69CD"/>
    <w:rsid w:val="008B7670"/>
    <w:rsid w:val="008B77E4"/>
    <w:rsid w:val="008B793F"/>
    <w:rsid w:val="008B7B14"/>
    <w:rsid w:val="008C1646"/>
    <w:rsid w:val="008C2EA8"/>
    <w:rsid w:val="008C4FE1"/>
    <w:rsid w:val="008C5287"/>
    <w:rsid w:val="008C67E6"/>
    <w:rsid w:val="008C7031"/>
    <w:rsid w:val="008C7721"/>
    <w:rsid w:val="008C7D04"/>
    <w:rsid w:val="008D0657"/>
    <w:rsid w:val="008D0C12"/>
    <w:rsid w:val="008D1FF7"/>
    <w:rsid w:val="008D2671"/>
    <w:rsid w:val="008D4660"/>
    <w:rsid w:val="008D4C79"/>
    <w:rsid w:val="008D574C"/>
    <w:rsid w:val="008D591A"/>
    <w:rsid w:val="008D5A9B"/>
    <w:rsid w:val="008D5D02"/>
    <w:rsid w:val="008D6C31"/>
    <w:rsid w:val="008E0002"/>
    <w:rsid w:val="008E0A70"/>
    <w:rsid w:val="008E1368"/>
    <w:rsid w:val="008E1502"/>
    <w:rsid w:val="008E16A7"/>
    <w:rsid w:val="008E2AD9"/>
    <w:rsid w:val="008E4390"/>
    <w:rsid w:val="008E6DCA"/>
    <w:rsid w:val="008F0708"/>
    <w:rsid w:val="008F0E22"/>
    <w:rsid w:val="008F1A64"/>
    <w:rsid w:val="008F2070"/>
    <w:rsid w:val="008F3B0E"/>
    <w:rsid w:val="008F4229"/>
    <w:rsid w:val="008F57F4"/>
    <w:rsid w:val="008F5815"/>
    <w:rsid w:val="008F5CA6"/>
    <w:rsid w:val="008F5CE1"/>
    <w:rsid w:val="008F6011"/>
    <w:rsid w:val="008F65B5"/>
    <w:rsid w:val="008F6B2E"/>
    <w:rsid w:val="008F7C87"/>
    <w:rsid w:val="008F7F1A"/>
    <w:rsid w:val="00902476"/>
    <w:rsid w:val="00902D38"/>
    <w:rsid w:val="00904D4D"/>
    <w:rsid w:val="0090628A"/>
    <w:rsid w:val="00906D75"/>
    <w:rsid w:val="0090761F"/>
    <w:rsid w:val="00907EE0"/>
    <w:rsid w:val="00910131"/>
    <w:rsid w:val="00911142"/>
    <w:rsid w:val="0091187D"/>
    <w:rsid w:val="009130B6"/>
    <w:rsid w:val="0091328A"/>
    <w:rsid w:val="00913A18"/>
    <w:rsid w:val="0091477C"/>
    <w:rsid w:val="00915520"/>
    <w:rsid w:val="0091717D"/>
    <w:rsid w:val="00917980"/>
    <w:rsid w:val="00917ACA"/>
    <w:rsid w:val="00917DBB"/>
    <w:rsid w:val="00917FD0"/>
    <w:rsid w:val="009205DA"/>
    <w:rsid w:val="009215AF"/>
    <w:rsid w:val="009221EC"/>
    <w:rsid w:val="00923636"/>
    <w:rsid w:val="00925345"/>
    <w:rsid w:val="00925EC7"/>
    <w:rsid w:val="00926587"/>
    <w:rsid w:val="00927128"/>
    <w:rsid w:val="00930184"/>
    <w:rsid w:val="009305F6"/>
    <w:rsid w:val="0093077D"/>
    <w:rsid w:val="009312CB"/>
    <w:rsid w:val="00932A56"/>
    <w:rsid w:val="009339EB"/>
    <w:rsid w:val="00933F97"/>
    <w:rsid w:val="00934700"/>
    <w:rsid w:val="00936C78"/>
    <w:rsid w:val="009379C1"/>
    <w:rsid w:val="00940557"/>
    <w:rsid w:val="00941B22"/>
    <w:rsid w:val="00942E85"/>
    <w:rsid w:val="00942FA1"/>
    <w:rsid w:val="00943A94"/>
    <w:rsid w:val="00945C90"/>
    <w:rsid w:val="00945D6A"/>
    <w:rsid w:val="00946805"/>
    <w:rsid w:val="00947357"/>
    <w:rsid w:val="00947F42"/>
    <w:rsid w:val="0095003B"/>
    <w:rsid w:val="00950E36"/>
    <w:rsid w:val="009513D3"/>
    <w:rsid w:val="009521D6"/>
    <w:rsid w:val="009529D6"/>
    <w:rsid w:val="00952DC5"/>
    <w:rsid w:val="00953474"/>
    <w:rsid w:val="00953A1B"/>
    <w:rsid w:val="00953EDA"/>
    <w:rsid w:val="00954277"/>
    <w:rsid w:val="00956397"/>
    <w:rsid w:val="009567CF"/>
    <w:rsid w:val="00957F21"/>
    <w:rsid w:val="0096070B"/>
    <w:rsid w:val="009607BD"/>
    <w:rsid w:val="00962BF7"/>
    <w:rsid w:val="00962E7C"/>
    <w:rsid w:val="00962F00"/>
    <w:rsid w:val="00963570"/>
    <w:rsid w:val="00963F4D"/>
    <w:rsid w:val="0096478C"/>
    <w:rsid w:val="00965C6B"/>
    <w:rsid w:val="00971283"/>
    <w:rsid w:val="009727FF"/>
    <w:rsid w:val="00973014"/>
    <w:rsid w:val="009735A5"/>
    <w:rsid w:val="00973DFD"/>
    <w:rsid w:val="00974272"/>
    <w:rsid w:val="00977925"/>
    <w:rsid w:val="00980112"/>
    <w:rsid w:val="0098132B"/>
    <w:rsid w:val="00981B1F"/>
    <w:rsid w:val="00982295"/>
    <w:rsid w:val="0098385F"/>
    <w:rsid w:val="00983F63"/>
    <w:rsid w:val="009854B1"/>
    <w:rsid w:val="009855E3"/>
    <w:rsid w:val="009860E8"/>
    <w:rsid w:val="009868B1"/>
    <w:rsid w:val="00987803"/>
    <w:rsid w:val="00990032"/>
    <w:rsid w:val="00991B63"/>
    <w:rsid w:val="009932B5"/>
    <w:rsid w:val="009941E4"/>
    <w:rsid w:val="00994A90"/>
    <w:rsid w:val="00994D21"/>
    <w:rsid w:val="009967C9"/>
    <w:rsid w:val="009970A8"/>
    <w:rsid w:val="00997A54"/>
    <w:rsid w:val="009A1339"/>
    <w:rsid w:val="009A1A6B"/>
    <w:rsid w:val="009A207C"/>
    <w:rsid w:val="009A4905"/>
    <w:rsid w:val="009A4954"/>
    <w:rsid w:val="009A4B15"/>
    <w:rsid w:val="009A5063"/>
    <w:rsid w:val="009A605D"/>
    <w:rsid w:val="009A6FD5"/>
    <w:rsid w:val="009A7041"/>
    <w:rsid w:val="009A7A3E"/>
    <w:rsid w:val="009B1276"/>
    <w:rsid w:val="009B12E5"/>
    <w:rsid w:val="009B2726"/>
    <w:rsid w:val="009B3A55"/>
    <w:rsid w:val="009B3D52"/>
    <w:rsid w:val="009B4C14"/>
    <w:rsid w:val="009B5477"/>
    <w:rsid w:val="009B5738"/>
    <w:rsid w:val="009B5E0E"/>
    <w:rsid w:val="009B6CB6"/>
    <w:rsid w:val="009B7881"/>
    <w:rsid w:val="009C075E"/>
    <w:rsid w:val="009C084B"/>
    <w:rsid w:val="009C123B"/>
    <w:rsid w:val="009C1614"/>
    <w:rsid w:val="009C1BD3"/>
    <w:rsid w:val="009C1D03"/>
    <w:rsid w:val="009C218C"/>
    <w:rsid w:val="009C2A5E"/>
    <w:rsid w:val="009C4480"/>
    <w:rsid w:val="009C44A1"/>
    <w:rsid w:val="009C44CA"/>
    <w:rsid w:val="009C4CEA"/>
    <w:rsid w:val="009D1CAA"/>
    <w:rsid w:val="009D34C3"/>
    <w:rsid w:val="009D3981"/>
    <w:rsid w:val="009D41A5"/>
    <w:rsid w:val="009D4F4D"/>
    <w:rsid w:val="009D56BF"/>
    <w:rsid w:val="009E1764"/>
    <w:rsid w:val="009E2C67"/>
    <w:rsid w:val="009E3DA2"/>
    <w:rsid w:val="009E43C7"/>
    <w:rsid w:val="009E5960"/>
    <w:rsid w:val="009E7E43"/>
    <w:rsid w:val="009F0087"/>
    <w:rsid w:val="009F0329"/>
    <w:rsid w:val="009F03A7"/>
    <w:rsid w:val="009F1838"/>
    <w:rsid w:val="009F1ED0"/>
    <w:rsid w:val="009F3EE1"/>
    <w:rsid w:val="009F44B8"/>
    <w:rsid w:val="009F4FCE"/>
    <w:rsid w:val="009F76C1"/>
    <w:rsid w:val="009F7FC2"/>
    <w:rsid w:val="00A00DB4"/>
    <w:rsid w:val="00A01BFD"/>
    <w:rsid w:val="00A05058"/>
    <w:rsid w:val="00A0527D"/>
    <w:rsid w:val="00A05320"/>
    <w:rsid w:val="00A056E8"/>
    <w:rsid w:val="00A07A39"/>
    <w:rsid w:val="00A07E98"/>
    <w:rsid w:val="00A11AE6"/>
    <w:rsid w:val="00A14830"/>
    <w:rsid w:val="00A14D3A"/>
    <w:rsid w:val="00A1508A"/>
    <w:rsid w:val="00A15790"/>
    <w:rsid w:val="00A15922"/>
    <w:rsid w:val="00A172FF"/>
    <w:rsid w:val="00A17C22"/>
    <w:rsid w:val="00A20318"/>
    <w:rsid w:val="00A235E2"/>
    <w:rsid w:val="00A25A4A"/>
    <w:rsid w:val="00A25C23"/>
    <w:rsid w:val="00A26230"/>
    <w:rsid w:val="00A271C7"/>
    <w:rsid w:val="00A27432"/>
    <w:rsid w:val="00A27F9F"/>
    <w:rsid w:val="00A31DA6"/>
    <w:rsid w:val="00A3258B"/>
    <w:rsid w:val="00A34618"/>
    <w:rsid w:val="00A350E1"/>
    <w:rsid w:val="00A35194"/>
    <w:rsid w:val="00A35AB1"/>
    <w:rsid w:val="00A35E50"/>
    <w:rsid w:val="00A36850"/>
    <w:rsid w:val="00A369E9"/>
    <w:rsid w:val="00A374DD"/>
    <w:rsid w:val="00A37598"/>
    <w:rsid w:val="00A37793"/>
    <w:rsid w:val="00A41741"/>
    <w:rsid w:val="00A4189E"/>
    <w:rsid w:val="00A456F2"/>
    <w:rsid w:val="00A462B2"/>
    <w:rsid w:val="00A47986"/>
    <w:rsid w:val="00A50F26"/>
    <w:rsid w:val="00A51C72"/>
    <w:rsid w:val="00A523F0"/>
    <w:rsid w:val="00A52409"/>
    <w:rsid w:val="00A52943"/>
    <w:rsid w:val="00A53758"/>
    <w:rsid w:val="00A53A7B"/>
    <w:rsid w:val="00A53F7B"/>
    <w:rsid w:val="00A5436B"/>
    <w:rsid w:val="00A5449E"/>
    <w:rsid w:val="00A54935"/>
    <w:rsid w:val="00A54C0E"/>
    <w:rsid w:val="00A560D1"/>
    <w:rsid w:val="00A565EA"/>
    <w:rsid w:val="00A56ADB"/>
    <w:rsid w:val="00A575D1"/>
    <w:rsid w:val="00A5779C"/>
    <w:rsid w:val="00A57C9C"/>
    <w:rsid w:val="00A61BBF"/>
    <w:rsid w:val="00A63051"/>
    <w:rsid w:val="00A660AC"/>
    <w:rsid w:val="00A66EA2"/>
    <w:rsid w:val="00A67FD5"/>
    <w:rsid w:val="00A704DB"/>
    <w:rsid w:val="00A72243"/>
    <w:rsid w:val="00A729E4"/>
    <w:rsid w:val="00A72FA2"/>
    <w:rsid w:val="00A7305E"/>
    <w:rsid w:val="00A73FC7"/>
    <w:rsid w:val="00A7518E"/>
    <w:rsid w:val="00A764CC"/>
    <w:rsid w:val="00A76C52"/>
    <w:rsid w:val="00A80095"/>
    <w:rsid w:val="00A813AE"/>
    <w:rsid w:val="00A81A0E"/>
    <w:rsid w:val="00A81AD2"/>
    <w:rsid w:val="00A82356"/>
    <w:rsid w:val="00A825BC"/>
    <w:rsid w:val="00A82681"/>
    <w:rsid w:val="00A83108"/>
    <w:rsid w:val="00A853F8"/>
    <w:rsid w:val="00A85658"/>
    <w:rsid w:val="00A857CF"/>
    <w:rsid w:val="00A86B3F"/>
    <w:rsid w:val="00A872E8"/>
    <w:rsid w:val="00A87363"/>
    <w:rsid w:val="00A9280C"/>
    <w:rsid w:val="00A93C66"/>
    <w:rsid w:val="00A94075"/>
    <w:rsid w:val="00A94525"/>
    <w:rsid w:val="00A957AB"/>
    <w:rsid w:val="00A971BF"/>
    <w:rsid w:val="00A978C9"/>
    <w:rsid w:val="00AA035A"/>
    <w:rsid w:val="00AA09F8"/>
    <w:rsid w:val="00AA18FE"/>
    <w:rsid w:val="00AA1BB8"/>
    <w:rsid w:val="00AA2479"/>
    <w:rsid w:val="00AA3D56"/>
    <w:rsid w:val="00AA64CF"/>
    <w:rsid w:val="00AA67F2"/>
    <w:rsid w:val="00AA6BFD"/>
    <w:rsid w:val="00AB01C4"/>
    <w:rsid w:val="00AB109C"/>
    <w:rsid w:val="00AB115B"/>
    <w:rsid w:val="00AB1216"/>
    <w:rsid w:val="00AB19FC"/>
    <w:rsid w:val="00AB229A"/>
    <w:rsid w:val="00AB23EA"/>
    <w:rsid w:val="00AB30CB"/>
    <w:rsid w:val="00AB36C1"/>
    <w:rsid w:val="00AB3F62"/>
    <w:rsid w:val="00AB41D6"/>
    <w:rsid w:val="00AB5A0D"/>
    <w:rsid w:val="00AB66A7"/>
    <w:rsid w:val="00AB729D"/>
    <w:rsid w:val="00AC0AE4"/>
    <w:rsid w:val="00AC1341"/>
    <w:rsid w:val="00AC2754"/>
    <w:rsid w:val="00AC2894"/>
    <w:rsid w:val="00AC395A"/>
    <w:rsid w:val="00AC5170"/>
    <w:rsid w:val="00AC5A27"/>
    <w:rsid w:val="00AC5DC0"/>
    <w:rsid w:val="00AC76D2"/>
    <w:rsid w:val="00AC78BF"/>
    <w:rsid w:val="00AD0A71"/>
    <w:rsid w:val="00AD0ABA"/>
    <w:rsid w:val="00AD324B"/>
    <w:rsid w:val="00AD3881"/>
    <w:rsid w:val="00AD48BF"/>
    <w:rsid w:val="00AD4D1A"/>
    <w:rsid w:val="00AD585A"/>
    <w:rsid w:val="00AD60A4"/>
    <w:rsid w:val="00AD63F0"/>
    <w:rsid w:val="00AD695B"/>
    <w:rsid w:val="00AD6D37"/>
    <w:rsid w:val="00AE0061"/>
    <w:rsid w:val="00AE0065"/>
    <w:rsid w:val="00AE063A"/>
    <w:rsid w:val="00AE4CD1"/>
    <w:rsid w:val="00AE6350"/>
    <w:rsid w:val="00AE768D"/>
    <w:rsid w:val="00AF1127"/>
    <w:rsid w:val="00AF14FD"/>
    <w:rsid w:val="00AF1853"/>
    <w:rsid w:val="00AF2A5F"/>
    <w:rsid w:val="00AF3457"/>
    <w:rsid w:val="00AF3E62"/>
    <w:rsid w:val="00AF45FE"/>
    <w:rsid w:val="00AF4AAE"/>
    <w:rsid w:val="00AF5408"/>
    <w:rsid w:val="00AF55AC"/>
    <w:rsid w:val="00AF6526"/>
    <w:rsid w:val="00B003ED"/>
    <w:rsid w:val="00B0073C"/>
    <w:rsid w:val="00B0087C"/>
    <w:rsid w:val="00B011D7"/>
    <w:rsid w:val="00B012AB"/>
    <w:rsid w:val="00B01507"/>
    <w:rsid w:val="00B017E7"/>
    <w:rsid w:val="00B019D3"/>
    <w:rsid w:val="00B01EEE"/>
    <w:rsid w:val="00B01F31"/>
    <w:rsid w:val="00B03FFD"/>
    <w:rsid w:val="00B047F1"/>
    <w:rsid w:val="00B06088"/>
    <w:rsid w:val="00B06605"/>
    <w:rsid w:val="00B112CF"/>
    <w:rsid w:val="00B11422"/>
    <w:rsid w:val="00B11E37"/>
    <w:rsid w:val="00B133A8"/>
    <w:rsid w:val="00B13A2B"/>
    <w:rsid w:val="00B13CB2"/>
    <w:rsid w:val="00B1406F"/>
    <w:rsid w:val="00B15768"/>
    <w:rsid w:val="00B15E6C"/>
    <w:rsid w:val="00B17845"/>
    <w:rsid w:val="00B20117"/>
    <w:rsid w:val="00B21540"/>
    <w:rsid w:val="00B220F1"/>
    <w:rsid w:val="00B22CBB"/>
    <w:rsid w:val="00B23330"/>
    <w:rsid w:val="00B236D2"/>
    <w:rsid w:val="00B259BC"/>
    <w:rsid w:val="00B27731"/>
    <w:rsid w:val="00B27767"/>
    <w:rsid w:val="00B279A7"/>
    <w:rsid w:val="00B30543"/>
    <w:rsid w:val="00B30AAE"/>
    <w:rsid w:val="00B31BE5"/>
    <w:rsid w:val="00B32012"/>
    <w:rsid w:val="00B321AD"/>
    <w:rsid w:val="00B32244"/>
    <w:rsid w:val="00B329E9"/>
    <w:rsid w:val="00B33520"/>
    <w:rsid w:val="00B342FC"/>
    <w:rsid w:val="00B351CB"/>
    <w:rsid w:val="00B35467"/>
    <w:rsid w:val="00B35803"/>
    <w:rsid w:val="00B37FA6"/>
    <w:rsid w:val="00B40086"/>
    <w:rsid w:val="00B40399"/>
    <w:rsid w:val="00B406E7"/>
    <w:rsid w:val="00B413EC"/>
    <w:rsid w:val="00B4158F"/>
    <w:rsid w:val="00B41D9B"/>
    <w:rsid w:val="00B41F7F"/>
    <w:rsid w:val="00B42129"/>
    <w:rsid w:val="00B428E2"/>
    <w:rsid w:val="00B43610"/>
    <w:rsid w:val="00B4667F"/>
    <w:rsid w:val="00B46A81"/>
    <w:rsid w:val="00B46F14"/>
    <w:rsid w:val="00B46FB9"/>
    <w:rsid w:val="00B47A20"/>
    <w:rsid w:val="00B501D6"/>
    <w:rsid w:val="00B504F2"/>
    <w:rsid w:val="00B506F7"/>
    <w:rsid w:val="00B51FE8"/>
    <w:rsid w:val="00B5237B"/>
    <w:rsid w:val="00B5245F"/>
    <w:rsid w:val="00B52986"/>
    <w:rsid w:val="00B540EB"/>
    <w:rsid w:val="00B540F7"/>
    <w:rsid w:val="00B54D64"/>
    <w:rsid w:val="00B55BEA"/>
    <w:rsid w:val="00B57515"/>
    <w:rsid w:val="00B6050E"/>
    <w:rsid w:val="00B61D5C"/>
    <w:rsid w:val="00B6494B"/>
    <w:rsid w:val="00B6590F"/>
    <w:rsid w:val="00B66A0A"/>
    <w:rsid w:val="00B670B9"/>
    <w:rsid w:val="00B679A6"/>
    <w:rsid w:val="00B701C4"/>
    <w:rsid w:val="00B70308"/>
    <w:rsid w:val="00B731FC"/>
    <w:rsid w:val="00B7563C"/>
    <w:rsid w:val="00B762A4"/>
    <w:rsid w:val="00B769FA"/>
    <w:rsid w:val="00B7751F"/>
    <w:rsid w:val="00B804BB"/>
    <w:rsid w:val="00B80609"/>
    <w:rsid w:val="00B80685"/>
    <w:rsid w:val="00B81265"/>
    <w:rsid w:val="00B81860"/>
    <w:rsid w:val="00B82466"/>
    <w:rsid w:val="00B83AF6"/>
    <w:rsid w:val="00B84061"/>
    <w:rsid w:val="00B861DE"/>
    <w:rsid w:val="00B86825"/>
    <w:rsid w:val="00B86BB6"/>
    <w:rsid w:val="00B86DD7"/>
    <w:rsid w:val="00B87744"/>
    <w:rsid w:val="00B87A7C"/>
    <w:rsid w:val="00B87AB3"/>
    <w:rsid w:val="00B900AB"/>
    <w:rsid w:val="00B935A6"/>
    <w:rsid w:val="00B963AD"/>
    <w:rsid w:val="00B97132"/>
    <w:rsid w:val="00BA0682"/>
    <w:rsid w:val="00BA0EBA"/>
    <w:rsid w:val="00BA2337"/>
    <w:rsid w:val="00BA240E"/>
    <w:rsid w:val="00BA249C"/>
    <w:rsid w:val="00BA3580"/>
    <w:rsid w:val="00BA368D"/>
    <w:rsid w:val="00BA395E"/>
    <w:rsid w:val="00BA3A5C"/>
    <w:rsid w:val="00BA523B"/>
    <w:rsid w:val="00BA5341"/>
    <w:rsid w:val="00BA555B"/>
    <w:rsid w:val="00BA74D0"/>
    <w:rsid w:val="00BA7D20"/>
    <w:rsid w:val="00BB0729"/>
    <w:rsid w:val="00BB0C97"/>
    <w:rsid w:val="00BB21A0"/>
    <w:rsid w:val="00BB3369"/>
    <w:rsid w:val="00BB3A1B"/>
    <w:rsid w:val="00BB3BB6"/>
    <w:rsid w:val="00BB4ED9"/>
    <w:rsid w:val="00BB5DD5"/>
    <w:rsid w:val="00BB67C4"/>
    <w:rsid w:val="00BC07D6"/>
    <w:rsid w:val="00BC3C28"/>
    <w:rsid w:val="00BC40AC"/>
    <w:rsid w:val="00BC4173"/>
    <w:rsid w:val="00BC55AC"/>
    <w:rsid w:val="00BC55C4"/>
    <w:rsid w:val="00BC60C9"/>
    <w:rsid w:val="00BC66D2"/>
    <w:rsid w:val="00BC7D19"/>
    <w:rsid w:val="00BD07C3"/>
    <w:rsid w:val="00BD0D5E"/>
    <w:rsid w:val="00BD12C9"/>
    <w:rsid w:val="00BD1FA5"/>
    <w:rsid w:val="00BD3790"/>
    <w:rsid w:val="00BD43DC"/>
    <w:rsid w:val="00BD5D82"/>
    <w:rsid w:val="00BD65F3"/>
    <w:rsid w:val="00BD66A8"/>
    <w:rsid w:val="00BE0733"/>
    <w:rsid w:val="00BE0A1F"/>
    <w:rsid w:val="00BE15A1"/>
    <w:rsid w:val="00BE2914"/>
    <w:rsid w:val="00BE3095"/>
    <w:rsid w:val="00BE3272"/>
    <w:rsid w:val="00BE4583"/>
    <w:rsid w:val="00BE4A84"/>
    <w:rsid w:val="00BE529F"/>
    <w:rsid w:val="00BE57C7"/>
    <w:rsid w:val="00BE600D"/>
    <w:rsid w:val="00BF1CEA"/>
    <w:rsid w:val="00BF31F5"/>
    <w:rsid w:val="00BF474E"/>
    <w:rsid w:val="00BF5101"/>
    <w:rsid w:val="00BF5269"/>
    <w:rsid w:val="00BF5FAB"/>
    <w:rsid w:val="00BF6A60"/>
    <w:rsid w:val="00C006CD"/>
    <w:rsid w:val="00C00A66"/>
    <w:rsid w:val="00C016F5"/>
    <w:rsid w:val="00C01F86"/>
    <w:rsid w:val="00C0252D"/>
    <w:rsid w:val="00C02902"/>
    <w:rsid w:val="00C02CA8"/>
    <w:rsid w:val="00C038DF"/>
    <w:rsid w:val="00C04F8B"/>
    <w:rsid w:val="00C05667"/>
    <w:rsid w:val="00C068F2"/>
    <w:rsid w:val="00C06F66"/>
    <w:rsid w:val="00C105EC"/>
    <w:rsid w:val="00C11D75"/>
    <w:rsid w:val="00C13587"/>
    <w:rsid w:val="00C135FA"/>
    <w:rsid w:val="00C1526A"/>
    <w:rsid w:val="00C155BF"/>
    <w:rsid w:val="00C15F13"/>
    <w:rsid w:val="00C16060"/>
    <w:rsid w:val="00C17D4C"/>
    <w:rsid w:val="00C21C55"/>
    <w:rsid w:val="00C22F1A"/>
    <w:rsid w:val="00C23676"/>
    <w:rsid w:val="00C23EE6"/>
    <w:rsid w:val="00C248AD"/>
    <w:rsid w:val="00C24E18"/>
    <w:rsid w:val="00C25189"/>
    <w:rsid w:val="00C265C2"/>
    <w:rsid w:val="00C26802"/>
    <w:rsid w:val="00C3035E"/>
    <w:rsid w:val="00C31A5E"/>
    <w:rsid w:val="00C32201"/>
    <w:rsid w:val="00C324FB"/>
    <w:rsid w:val="00C3284F"/>
    <w:rsid w:val="00C35348"/>
    <w:rsid w:val="00C353BB"/>
    <w:rsid w:val="00C36350"/>
    <w:rsid w:val="00C367D0"/>
    <w:rsid w:val="00C3717D"/>
    <w:rsid w:val="00C37C54"/>
    <w:rsid w:val="00C37D6D"/>
    <w:rsid w:val="00C40012"/>
    <w:rsid w:val="00C401EE"/>
    <w:rsid w:val="00C415D7"/>
    <w:rsid w:val="00C418B9"/>
    <w:rsid w:val="00C41A0F"/>
    <w:rsid w:val="00C433F5"/>
    <w:rsid w:val="00C44147"/>
    <w:rsid w:val="00C44451"/>
    <w:rsid w:val="00C4465B"/>
    <w:rsid w:val="00C468DA"/>
    <w:rsid w:val="00C46ED0"/>
    <w:rsid w:val="00C508F9"/>
    <w:rsid w:val="00C51990"/>
    <w:rsid w:val="00C5199A"/>
    <w:rsid w:val="00C5207E"/>
    <w:rsid w:val="00C575F8"/>
    <w:rsid w:val="00C5791D"/>
    <w:rsid w:val="00C609DF"/>
    <w:rsid w:val="00C60D72"/>
    <w:rsid w:val="00C6163D"/>
    <w:rsid w:val="00C625EB"/>
    <w:rsid w:val="00C66614"/>
    <w:rsid w:val="00C679D3"/>
    <w:rsid w:val="00C67A3B"/>
    <w:rsid w:val="00C72D5E"/>
    <w:rsid w:val="00C74B03"/>
    <w:rsid w:val="00C74B89"/>
    <w:rsid w:val="00C74D80"/>
    <w:rsid w:val="00C74FF0"/>
    <w:rsid w:val="00C767C3"/>
    <w:rsid w:val="00C778ED"/>
    <w:rsid w:val="00C80A03"/>
    <w:rsid w:val="00C8182F"/>
    <w:rsid w:val="00C834CD"/>
    <w:rsid w:val="00C83B95"/>
    <w:rsid w:val="00C845DC"/>
    <w:rsid w:val="00C859AC"/>
    <w:rsid w:val="00C864FF"/>
    <w:rsid w:val="00C867A0"/>
    <w:rsid w:val="00C86C0F"/>
    <w:rsid w:val="00C87243"/>
    <w:rsid w:val="00C90118"/>
    <w:rsid w:val="00C91EF9"/>
    <w:rsid w:val="00C9227C"/>
    <w:rsid w:val="00C924D3"/>
    <w:rsid w:val="00C93F96"/>
    <w:rsid w:val="00C94500"/>
    <w:rsid w:val="00C97555"/>
    <w:rsid w:val="00C97838"/>
    <w:rsid w:val="00C97CAE"/>
    <w:rsid w:val="00CA0BD1"/>
    <w:rsid w:val="00CA0F53"/>
    <w:rsid w:val="00CA27A0"/>
    <w:rsid w:val="00CA2C35"/>
    <w:rsid w:val="00CA39C1"/>
    <w:rsid w:val="00CA3C4A"/>
    <w:rsid w:val="00CB0887"/>
    <w:rsid w:val="00CB2498"/>
    <w:rsid w:val="00CB24FC"/>
    <w:rsid w:val="00CB4DD9"/>
    <w:rsid w:val="00CB58C0"/>
    <w:rsid w:val="00CB78CD"/>
    <w:rsid w:val="00CB79A1"/>
    <w:rsid w:val="00CC0235"/>
    <w:rsid w:val="00CC02B9"/>
    <w:rsid w:val="00CC066D"/>
    <w:rsid w:val="00CC15CF"/>
    <w:rsid w:val="00CC291D"/>
    <w:rsid w:val="00CC5FA2"/>
    <w:rsid w:val="00CC5FF0"/>
    <w:rsid w:val="00CC6847"/>
    <w:rsid w:val="00CC7A57"/>
    <w:rsid w:val="00CD0E35"/>
    <w:rsid w:val="00CD186B"/>
    <w:rsid w:val="00CD1C68"/>
    <w:rsid w:val="00CD1C9E"/>
    <w:rsid w:val="00CD272A"/>
    <w:rsid w:val="00CD3CC9"/>
    <w:rsid w:val="00CD3FA8"/>
    <w:rsid w:val="00CD6985"/>
    <w:rsid w:val="00CD71C2"/>
    <w:rsid w:val="00CD79DA"/>
    <w:rsid w:val="00CE0405"/>
    <w:rsid w:val="00CE13B6"/>
    <w:rsid w:val="00CE1BFA"/>
    <w:rsid w:val="00CE20F3"/>
    <w:rsid w:val="00CE2591"/>
    <w:rsid w:val="00CE2804"/>
    <w:rsid w:val="00CE2EA9"/>
    <w:rsid w:val="00CE32AC"/>
    <w:rsid w:val="00CE33AD"/>
    <w:rsid w:val="00CE3AB5"/>
    <w:rsid w:val="00CE4E80"/>
    <w:rsid w:val="00CE51B5"/>
    <w:rsid w:val="00CE5BD6"/>
    <w:rsid w:val="00CE5CA2"/>
    <w:rsid w:val="00CE691E"/>
    <w:rsid w:val="00CE6DE4"/>
    <w:rsid w:val="00CE77FE"/>
    <w:rsid w:val="00CF02D7"/>
    <w:rsid w:val="00CF0F26"/>
    <w:rsid w:val="00CF15FD"/>
    <w:rsid w:val="00CF1DB2"/>
    <w:rsid w:val="00CF482E"/>
    <w:rsid w:val="00CF4B0D"/>
    <w:rsid w:val="00CF4CF8"/>
    <w:rsid w:val="00CF5826"/>
    <w:rsid w:val="00CF5A6B"/>
    <w:rsid w:val="00CF5D8E"/>
    <w:rsid w:val="00CF793F"/>
    <w:rsid w:val="00CF7DE8"/>
    <w:rsid w:val="00D01962"/>
    <w:rsid w:val="00D02370"/>
    <w:rsid w:val="00D023A4"/>
    <w:rsid w:val="00D02989"/>
    <w:rsid w:val="00D04564"/>
    <w:rsid w:val="00D05B69"/>
    <w:rsid w:val="00D0711E"/>
    <w:rsid w:val="00D07676"/>
    <w:rsid w:val="00D07D36"/>
    <w:rsid w:val="00D10C5C"/>
    <w:rsid w:val="00D10F45"/>
    <w:rsid w:val="00D11888"/>
    <w:rsid w:val="00D11C3A"/>
    <w:rsid w:val="00D1213E"/>
    <w:rsid w:val="00D12311"/>
    <w:rsid w:val="00D128A4"/>
    <w:rsid w:val="00D12C0D"/>
    <w:rsid w:val="00D1364C"/>
    <w:rsid w:val="00D146DA"/>
    <w:rsid w:val="00D15EDC"/>
    <w:rsid w:val="00D2069D"/>
    <w:rsid w:val="00D208CA"/>
    <w:rsid w:val="00D2186A"/>
    <w:rsid w:val="00D223E9"/>
    <w:rsid w:val="00D22CBB"/>
    <w:rsid w:val="00D23EA4"/>
    <w:rsid w:val="00D23FAA"/>
    <w:rsid w:val="00D2471D"/>
    <w:rsid w:val="00D24DA5"/>
    <w:rsid w:val="00D25029"/>
    <w:rsid w:val="00D25965"/>
    <w:rsid w:val="00D25D01"/>
    <w:rsid w:val="00D26379"/>
    <w:rsid w:val="00D26E57"/>
    <w:rsid w:val="00D27B4E"/>
    <w:rsid w:val="00D30B03"/>
    <w:rsid w:val="00D3143C"/>
    <w:rsid w:val="00D32088"/>
    <w:rsid w:val="00D3240F"/>
    <w:rsid w:val="00D32720"/>
    <w:rsid w:val="00D33253"/>
    <w:rsid w:val="00D33294"/>
    <w:rsid w:val="00D35D91"/>
    <w:rsid w:val="00D378B8"/>
    <w:rsid w:val="00D37A75"/>
    <w:rsid w:val="00D40219"/>
    <w:rsid w:val="00D40500"/>
    <w:rsid w:val="00D4158B"/>
    <w:rsid w:val="00D4195D"/>
    <w:rsid w:val="00D41DB2"/>
    <w:rsid w:val="00D42662"/>
    <w:rsid w:val="00D42D1D"/>
    <w:rsid w:val="00D444C4"/>
    <w:rsid w:val="00D44613"/>
    <w:rsid w:val="00D44719"/>
    <w:rsid w:val="00D454BF"/>
    <w:rsid w:val="00D456C7"/>
    <w:rsid w:val="00D45AFC"/>
    <w:rsid w:val="00D4641C"/>
    <w:rsid w:val="00D46A58"/>
    <w:rsid w:val="00D46CC8"/>
    <w:rsid w:val="00D477EB"/>
    <w:rsid w:val="00D504EF"/>
    <w:rsid w:val="00D509FF"/>
    <w:rsid w:val="00D50D2B"/>
    <w:rsid w:val="00D50EA8"/>
    <w:rsid w:val="00D526BC"/>
    <w:rsid w:val="00D52D29"/>
    <w:rsid w:val="00D533D4"/>
    <w:rsid w:val="00D53C9F"/>
    <w:rsid w:val="00D54E93"/>
    <w:rsid w:val="00D558D1"/>
    <w:rsid w:val="00D5724C"/>
    <w:rsid w:val="00D61381"/>
    <w:rsid w:val="00D615EC"/>
    <w:rsid w:val="00D631EE"/>
    <w:rsid w:val="00D63C45"/>
    <w:rsid w:val="00D65F6C"/>
    <w:rsid w:val="00D7000D"/>
    <w:rsid w:val="00D702AF"/>
    <w:rsid w:val="00D729C0"/>
    <w:rsid w:val="00D73CCE"/>
    <w:rsid w:val="00D7438D"/>
    <w:rsid w:val="00D75C82"/>
    <w:rsid w:val="00D75F81"/>
    <w:rsid w:val="00D77243"/>
    <w:rsid w:val="00D777E7"/>
    <w:rsid w:val="00D77BB2"/>
    <w:rsid w:val="00D80F58"/>
    <w:rsid w:val="00D8146A"/>
    <w:rsid w:val="00D81B91"/>
    <w:rsid w:val="00D81BFE"/>
    <w:rsid w:val="00D82184"/>
    <w:rsid w:val="00D8304A"/>
    <w:rsid w:val="00D83A5B"/>
    <w:rsid w:val="00D83F9F"/>
    <w:rsid w:val="00D84A80"/>
    <w:rsid w:val="00D861CA"/>
    <w:rsid w:val="00D866B5"/>
    <w:rsid w:val="00D86D23"/>
    <w:rsid w:val="00D87CF4"/>
    <w:rsid w:val="00D907BC"/>
    <w:rsid w:val="00D90879"/>
    <w:rsid w:val="00D90CA5"/>
    <w:rsid w:val="00D91DC3"/>
    <w:rsid w:val="00D92D8E"/>
    <w:rsid w:val="00D93B7A"/>
    <w:rsid w:val="00D947D0"/>
    <w:rsid w:val="00D9598E"/>
    <w:rsid w:val="00D96C13"/>
    <w:rsid w:val="00DA04BF"/>
    <w:rsid w:val="00DA161C"/>
    <w:rsid w:val="00DA1A0A"/>
    <w:rsid w:val="00DA230B"/>
    <w:rsid w:val="00DA2701"/>
    <w:rsid w:val="00DA3CF4"/>
    <w:rsid w:val="00DA4506"/>
    <w:rsid w:val="00DA477F"/>
    <w:rsid w:val="00DA48C3"/>
    <w:rsid w:val="00DA4D36"/>
    <w:rsid w:val="00DA7F1B"/>
    <w:rsid w:val="00DB063D"/>
    <w:rsid w:val="00DB0D71"/>
    <w:rsid w:val="00DB1E45"/>
    <w:rsid w:val="00DB48F0"/>
    <w:rsid w:val="00DB54F5"/>
    <w:rsid w:val="00DB679F"/>
    <w:rsid w:val="00DB6A22"/>
    <w:rsid w:val="00DB7073"/>
    <w:rsid w:val="00DC12B3"/>
    <w:rsid w:val="00DC1D04"/>
    <w:rsid w:val="00DC3EA2"/>
    <w:rsid w:val="00DC4194"/>
    <w:rsid w:val="00DC5B9F"/>
    <w:rsid w:val="00DC61EF"/>
    <w:rsid w:val="00DC63FF"/>
    <w:rsid w:val="00DC6DFA"/>
    <w:rsid w:val="00DC6F03"/>
    <w:rsid w:val="00DC7A75"/>
    <w:rsid w:val="00DC7FBF"/>
    <w:rsid w:val="00DD1518"/>
    <w:rsid w:val="00DD2D93"/>
    <w:rsid w:val="00DD3574"/>
    <w:rsid w:val="00DD38F4"/>
    <w:rsid w:val="00DD3CB9"/>
    <w:rsid w:val="00DD422C"/>
    <w:rsid w:val="00DD4EE4"/>
    <w:rsid w:val="00DD5739"/>
    <w:rsid w:val="00DD5F88"/>
    <w:rsid w:val="00DD6A14"/>
    <w:rsid w:val="00DD7E12"/>
    <w:rsid w:val="00DE00FD"/>
    <w:rsid w:val="00DE078C"/>
    <w:rsid w:val="00DE0E5D"/>
    <w:rsid w:val="00DE0F78"/>
    <w:rsid w:val="00DE22AF"/>
    <w:rsid w:val="00DE3850"/>
    <w:rsid w:val="00DE4F01"/>
    <w:rsid w:val="00DE50D7"/>
    <w:rsid w:val="00DE6412"/>
    <w:rsid w:val="00DE65B0"/>
    <w:rsid w:val="00DE66EB"/>
    <w:rsid w:val="00DE682A"/>
    <w:rsid w:val="00DF158F"/>
    <w:rsid w:val="00DF1C6F"/>
    <w:rsid w:val="00DF5C12"/>
    <w:rsid w:val="00DF5C2F"/>
    <w:rsid w:val="00DF6B2B"/>
    <w:rsid w:val="00E016FD"/>
    <w:rsid w:val="00E01AB5"/>
    <w:rsid w:val="00E02318"/>
    <w:rsid w:val="00E02933"/>
    <w:rsid w:val="00E02A4E"/>
    <w:rsid w:val="00E0414F"/>
    <w:rsid w:val="00E049B0"/>
    <w:rsid w:val="00E05E1B"/>
    <w:rsid w:val="00E0606D"/>
    <w:rsid w:val="00E07B80"/>
    <w:rsid w:val="00E10BB1"/>
    <w:rsid w:val="00E10D0C"/>
    <w:rsid w:val="00E112FF"/>
    <w:rsid w:val="00E1221A"/>
    <w:rsid w:val="00E123C4"/>
    <w:rsid w:val="00E14662"/>
    <w:rsid w:val="00E15002"/>
    <w:rsid w:val="00E1573D"/>
    <w:rsid w:val="00E16EF3"/>
    <w:rsid w:val="00E17A1C"/>
    <w:rsid w:val="00E200FE"/>
    <w:rsid w:val="00E201CF"/>
    <w:rsid w:val="00E205CB"/>
    <w:rsid w:val="00E2090D"/>
    <w:rsid w:val="00E20B49"/>
    <w:rsid w:val="00E21D50"/>
    <w:rsid w:val="00E22B5F"/>
    <w:rsid w:val="00E22D23"/>
    <w:rsid w:val="00E276CE"/>
    <w:rsid w:val="00E27FA7"/>
    <w:rsid w:val="00E30076"/>
    <w:rsid w:val="00E32186"/>
    <w:rsid w:val="00E323C4"/>
    <w:rsid w:val="00E332E0"/>
    <w:rsid w:val="00E33486"/>
    <w:rsid w:val="00E334CA"/>
    <w:rsid w:val="00E338A9"/>
    <w:rsid w:val="00E338E4"/>
    <w:rsid w:val="00E33E15"/>
    <w:rsid w:val="00E34214"/>
    <w:rsid w:val="00E34B42"/>
    <w:rsid w:val="00E353E3"/>
    <w:rsid w:val="00E360DC"/>
    <w:rsid w:val="00E364C6"/>
    <w:rsid w:val="00E36D23"/>
    <w:rsid w:val="00E373AF"/>
    <w:rsid w:val="00E4025A"/>
    <w:rsid w:val="00E40FDF"/>
    <w:rsid w:val="00E41664"/>
    <w:rsid w:val="00E41843"/>
    <w:rsid w:val="00E41F81"/>
    <w:rsid w:val="00E44138"/>
    <w:rsid w:val="00E44644"/>
    <w:rsid w:val="00E465B0"/>
    <w:rsid w:val="00E46CF0"/>
    <w:rsid w:val="00E471E4"/>
    <w:rsid w:val="00E474A5"/>
    <w:rsid w:val="00E47544"/>
    <w:rsid w:val="00E50753"/>
    <w:rsid w:val="00E5129B"/>
    <w:rsid w:val="00E53030"/>
    <w:rsid w:val="00E53A76"/>
    <w:rsid w:val="00E55C19"/>
    <w:rsid w:val="00E5698B"/>
    <w:rsid w:val="00E61C5E"/>
    <w:rsid w:val="00E61EC2"/>
    <w:rsid w:val="00E6214F"/>
    <w:rsid w:val="00E63D18"/>
    <w:rsid w:val="00E63D6F"/>
    <w:rsid w:val="00E643D2"/>
    <w:rsid w:val="00E645F8"/>
    <w:rsid w:val="00E648A2"/>
    <w:rsid w:val="00E6504E"/>
    <w:rsid w:val="00E706E2"/>
    <w:rsid w:val="00E707B2"/>
    <w:rsid w:val="00E7099D"/>
    <w:rsid w:val="00E70A39"/>
    <w:rsid w:val="00E70D50"/>
    <w:rsid w:val="00E717E2"/>
    <w:rsid w:val="00E72F8B"/>
    <w:rsid w:val="00E74999"/>
    <w:rsid w:val="00E768B2"/>
    <w:rsid w:val="00E76ACE"/>
    <w:rsid w:val="00E77C8B"/>
    <w:rsid w:val="00E80145"/>
    <w:rsid w:val="00E802FA"/>
    <w:rsid w:val="00E80E96"/>
    <w:rsid w:val="00E8151F"/>
    <w:rsid w:val="00E82276"/>
    <w:rsid w:val="00E828D2"/>
    <w:rsid w:val="00E83282"/>
    <w:rsid w:val="00E8355E"/>
    <w:rsid w:val="00E839A8"/>
    <w:rsid w:val="00E83AE8"/>
    <w:rsid w:val="00E83D8C"/>
    <w:rsid w:val="00E8519D"/>
    <w:rsid w:val="00E862C4"/>
    <w:rsid w:val="00E8677C"/>
    <w:rsid w:val="00E878BD"/>
    <w:rsid w:val="00E90563"/>
    <w:rsid w:val="00E91145"/>
    <w:rsid w:val="00E9181B"/>
    <w:rsid w:val="00E91D20"/>
    <w:rsid w:val="00E93147"/>
    <w:rsid w:val="00E93CA4"/>
    <w:rsid w:val="00E971D5"/>
    <w:rsid w:val="00E971E9"/>
    <w:rsid w:val="00E97B67"/>
    <w:rsid w:val="00E97E84"/>
    <w:rsid w:val="00EA0E42"/>
    <w:rsid w:val="00EA155D"/>
    <w:rsid w:val="00EA2687"/>
    <w:rsid w:val="00EA2C2D"/>
    <w:rsid w:val="00EA2CAA"/>
    <w:rsid w:val="00EA2D5A"/>
    <w:rsid w:val="00EA40AA"/>
    <w:rsid w:val="00EA4800"/>
    <w:rsid w:val="00EA6560"/>
    <w:rsid w:val="00EB0710"/>
    <w:rsid w:val="00EB0A24"/>
    <w:rsid w:val="00EB2085"/>
    <w:rsid w:val="00EB3671"/>
    <w:rsid w:val="00EB4B09"/>
    <w:rsid w:val="00EB5685"/>
    <w:rsid w:val="00EB6603"/>
    <w:rsid w:val="00EB6688"/>
    <w:rsid w:val="00EB74AE"/>
    <w:rsid w:val="00EB7710"/>
    <w:rsid w:val="00EC1353"/>
    <w:rsid w:val="00EC29C1"/>
    <w:rsid w:val="00EC2B13"/>
    <w:rsid w:val="00EC2B88"/>
    <w:rsid w:val="00EC3F37"/>
    <w:rsid w:val="00EC48A4"/>
    <w:rsid w:val="00EC4B4C"/>
    <w:rsid w:val="00EC5404"/>
    <w:rsid w:val="00EC5599"/>
    <w:rsid w:val="00EC6DE9"/>
    <w:rsid w:val="00EC7D92"/>
    <w:rsid w:val="00ED0146"/>
    <w:rsid w:val="00ED03E2"/>
    <w:rsid w:val="00ED04DF"/>
    <w:rsid w:val="00ED13AF"/>
    <w:rsid w:val="00ED1826"/>
    <w:rsid w:val="00ED2EF5"/>
    <w:rsid w:val="00ED3B8D"/>
    <w:rsid w:val="00ED3FC4"/>
    <w:rsid w:val="00ED4ECE"/>
    <w:rsid w:val="00ED6A72"/>
    <w:rsid w:val="00EE05D3"/>
    <w:rsid w:val="00EE2684"/>
    <w:rsid w:val="00EE2B67"/>
    <w:rsid w:val="00EE3A3C"/>
    <w:rsid w:val="00EE459D"/>
    <w:rsid w:val="00EE4DC3"/>
    <w:rsid w:val="00EE51E5"/>
    <w:rsid w:val="00EE5479"/>
    <w:rsid w:val="00EE5BB8"/>
    <w:rsid w:val="00EE6C9B"/>
    <w:rsid w:val="00EE7789"/>
    <w:rsid w:val="00EF11EB"/>
    <w:rsid w:val="00EF1D20"/>
    <w:rsid w:val="00EF2778"/>
    <w:rsid w:val="00EF442A"/>
    <w:rsid w:val="00EF5B3B"/>
    <w:rsid w:val="00EF5C17"/>
    <w:rsid w:val="00EF6385"/>
    <w:rsid w:val="00EF64AB"/>
    <w:rsid w:val="00EF7BCE"/>
    <w:rsid w:val="00F01269"/>
    <w:rsid w:val="00F01542"/>
    <w:rsid w:val="00F0185C"/>
    <w:rsid w:val="00F02304"/>
    <w:rsid w:val="00F024AD"/>
    <w:rsid w:val="00F02572"/>
    <w:rsid w:val="00F028C4"/>
    <w:rsid w:val="00F02B36"/>
    <w:rsid w:val="00F0547D"/>
    <w:rsid w:val="00F05C68"/>
    <w:rsid w:val="00F1073A"/>
    <w:rsid w:val="00F109ED"/>
    <w:rsid w:val="00F10E86"/>
    <w:rsid w:val="00F11D4E"/>
    <w:rsid w:val="00F14082"/>
    <w:rsid w:val="00F146C3"/>
    <w:rsid w:val="00F1480B"/>
    <w:rsid w:val="00F15E3B"/>
    <w:rsid w:val="00F16026"/>
    <w:rsid w:val="00F16216"/>
    <w:rsid w:val="00F16F5E"/>
    <w:rsid w:val="00F17F36"/>
    <w:rsid w:val="00F202CC"/>
    <w:rsid w:val="00F2071B"/>
    <w:rsid w:val="00F22C56"/>
    <w:rsid w:val="00F23225"/>
    <w:rsid w:val="00F23226"/>
    <w:rsid w:val="00F23BC5"/>
    <w:rsid w:val="00F2513A"/>
    <w:rsid w:val="00F25582"/>
    <w:rsid w:val="00F25AEF"/>
    <w:rsid w:val="00F25D63"/>
    <w:rsid w:val="00F26F89"/>
    <w:rsid w:val="00F275A2"/>
    <w:rsid w:val="00F278ED"/>
    <w:rsid w:val="00F304D0"/>
    <w:rsid w:val="00F30828"/>
    <w:rsid w:val="00F32358"/>
    <w:rsid w:val="00F32AF0"/>
    <w:rsid w:val="00F3305B"/>
    <w:rsid w:val="00F3331E"/>
    <w:rsid w:val="00F33CCA"/>
    <w:rsid w:val="00F343E4"/>
    <w:rsid w:val="00F370B4"/>
    <w:rsid w:val="00F37419"/>
    <w:rsid w:val="00F37D02"/>
    <w:rsid w:val="00F37D6A"/>
    <w:rsid w:val="00F37DD8"/>
    <w:rsid w:val="00F40454"/>
    <w:rsid w:val="00F404AE"/>
    <w:rsid w:val="00F40A4E"/>
    <w:rsid w:val="00F41761"/>
    <w:rsid w:val="00F41F95"/>
    <w:rsid w:val="00F41FAA"/>
    <w:rsid w:val="00F426FE"/>
    <w:rsid w:val="00F42CCA"/>
    <w:rsid w:val="00F431B9"/>
    <w:rsid w:val="00F43D05"/>
    <w:rsid w:val="00F449FB"/>
    <w:rsid w:val="00F44AE7"/>
    <w:rsid w:val="00F471AA"/>
    <w:rsid w:val="00F47B2E"/>
    <w:rsid w:val="00F5027B"/>
    <w:rsid w:val="00F51AC2"/>
    <w:rsid w:val="00F51B45"/>
    <w:rsid w:val="00F51F5D"/>
    <w:rsid w:val="00F5287D"/>
    <w:rsid w:val="00F53324"/>
    <w:rsid w:val="00F55320"/>
    <w:rsid w:val="00F5556A"/>
    <w:rsid w:val="00F55629"/>
    <w:rsid w:val="00F56B99"/>
    <w:rsid w:val="00F610F4"/>
    <w:rsid w:val="00F61B3F"/>
    <w:rsid w:val="00F622BE"/>
    <w:rsid w:val="00F62745"/>
    <w:rsid w:val="00F63D25"/>
    <w:rsid w:val="00F640EF"/>
    <w:rsid w:val="00F64582"/>
    <w:rsid w:val="00F6610F"/>
    <w:rsid w:val="00F66EF9"/>
    <w:rsid w:val="00F66EFE"/>
    <w:rsid w:val="00F67021"/>
    <w:rsid w:val="00F731C2"/>
    <w:rsid w:val="00F74F0B"/>
    <w:rsid w:val="00F74FC4"/>
    <w:rsid w:val="00F77115"/>
    <w:rsid w:val="00F778E2"/>
    <w:rsid w:val="00F779EF"/>
    <w:rsid w:val="00F8004F"/>
    <w:rsid w:val="00F8160A"/>
    <w:rsid w:val="00F86B66"/>
    <w:rsid w:val="00F871E7"/>
    <w:rsid w:val="00F900D7"/>
    <w:rsid w:val="00F911C7"/>
    <w:rsid w:val="00F91AD9"/>
    <w:rsid w:val="00F91C71"/>
    <w:rsid w:val="00F92931"/>
    <w:rsid w:val="00F92C6B"/>
    <w:rsid w:val="00F94217"/>
    <w:rsid w:val="00F95073"/>
    <w:rsid w:val="00F962D9"/>
    <w:rsid w:val="00F97A19"/>
    <w:rsid w:val="00F97B6C"/>
    <w:rsid w:val="00FA0563"/>
    <w:rsid w:val="00FA1EC0"/>
    <w:rsid w:val="00FA1FBC"/>
    <w:rsid w:val="00FA274E"/>
    <w:rsid w:val="00FA2DD8"/>
    <w:rsid w:val="00FA328A"/>
    <w:rsid w:val="00FA35A5"/>
    <w:rsid w:val="00FA3899"/>
    <w:rsid w:val="00FA4206"/>
    <w:rsid w:val="00FA44DA"/>
    <w:rsid w:val="00FA4836"/>
    <w:rsid w:val="00FA4E76"/>
    <w:rsid w:val="00FA50A3"/>
    <w:rsid w:val="00FA7C56"/>
    <w:rsid w:val="00FB0136"/>
    <w:rsid w:val="00FB06AB"/>
    <w:rsid w:val="00FB0B4D"/>
    <w:rsid w:val="00FB1D84"/>
    <w:rsid w:val="00FB2CAB"/>
    <w:rsid w:val="00FB4430"/>
    <w:rsid w:val="00FB6910"/>
    <w:rsid w:val="00FB6D3C"/>
    <w:rsid w:val="00FB7226"/>
    <w:rsid w:val="00FB7740"/>
    <w:rsid w:val="00FB7F5D"/>
    <w:rsid w:val="00FC0179"/>
    <w:rsid w:val="00FC07DB"/>
    <w:rsid w:val="00FC134D"/>
    <w:rsid w:val="00FC1C6D"/>
    <w:rsid w:val="00FC239F"/>
    <w:rsid w:val="00FC3280"/>
    <w:rsid w:val="00FC35E8"/>
    <w:rsid w:val="00FC3A90"/>
    <w:rsid w:val="00FC3C88"/>
    <w:rsid w:val="00FC3D7E"/>
    <w:rsid w:val="00FC4574"/>
    <w:rsid w:val="00FC4D60"/>
    <w:rsid w:val="00FC58DA"/>
    <w:rsid w:val="00FC5A7E"/>
    <w:rsid w:val="00FC633A"/>
    <w:rsid w:val="00FC6CB6"/>
    <w:rsid w:val="00FC6F0D"/>
    <w:rsid w:val="00FC7CC0"/>
    <w:rsid w:val="00FD0BED"/>
    <w:rsid w:val="00FD221A"/>
    <w:rsid w:val="00FD2727"/>
    <w:rsid w:val="00FD2EA8"/>
    <w:rsid w:val="00FD3756"/>
    <w:rsid w:val="00FD658F"/>
    <w:rsid w:val="00FD698D"/>
    <w:rsid w:val="00FD6F23"/>
    <w:rsid w:val="00FD75CF"/>
    <w:rsid w:val="00FE029B"/>
    <w:rsid w:val="00FE26CC"/>
    <w:rsid w:val="00FE2D96"/>
    <w:rsid w:val="00FE38F0"/>
    <w:rsid w:val="00FE42DB"/>
    <w:rsid w:val="00FE696D"/>
    <w:rsid w:val="00FE7175"/>
    <w:rsid w:val="00FE7625"/>
    <w:rsid w:val="00FE7D6A"/>
    <w:rsid w:val="00FF0101"/>
    <w:rsid w:val="00FF0919"/>
    <w:rsid w:val="00FF097F"/>
    <w:rsid w:val="00FF1181"/>
    <w:rsid w:val="00FF3AB1"/>
    <w:rsid w:val="00FF43D4"/>
    <w:rsid w:val="00FF45BD"/>
    <w:rsid w:val="00FF5670"/>
    <w:rsid w:val="00FF6128"/>
    <w:rsid w:val="00FF62BC"/>
    <w:rsid w:val="00FF66C3"/>
    <w:rsid w:val="00FF67B0"/>
    <w:rsid w:val="00FF680E"/>
    <w:rsid w:val="00FF6B55"/>
    <w:rsid w:val="00FF6F60"/>
    <w:rsid w:val="00FF78B8"/>
    <w:rsid w:val="01015C37"/>
    <w:rsid w:val="010A14BC"/>
    <w:rsid w:val="010B76FE"/>
    <w:rsid w:val="010C29B1"/>
    <w:rsid w:val="010F7FF3"/>
    <w:rsid w:val="01105490"/>
    <w:rsid w:val="011A0CB4"/>
    <w:rsid w:val="011D4773"/>
    <w:rsid w:val="011F03E0"/>
    <w:rsid w:val="01203FAE"/>
    <w:rsid w:val="01243EE0"/>
    <w:rsid w:val="012451A8"/>
    <w:rsid w:val="0124770C"/>
    <w:rsid w:val="012767A9"/>
    <w:rsid w:val="01380764"/>
    <w:rsid w:val="013844B5"/>
    <w:rsid w:val="014F30DB"/>
    <w:rsid w:val="0152270A"/>
    <w:rsid w:val="01572395"/>
    <w:rsid w:val="015754F6"/>
    <w:rsid w:val="016025FC"/>
    <w:rsid w:val="01626504"/>
    <w:rsid w:val="01644164"/>
    <w:rsid w:val="01662E6C"/>
    <w:rsid w:val="01676B16"/>
    <w:rsid w:val="016B7C0E"/>
    <w:rsid w:val="016E5B69"/>
    <w:rsid w:val="017A7263"/>
    <w:rsid w:val="017D0674"/>
    <w:rsid w:val="017E0CD4"/>
    <w:rsid w:val="018462F3"/>
    <w:rsid w:val="018638CC"/>
    <w:rsid w:val="01A06F09"/>
    <w:rsid w:val="01AD5116"/>
    <w:rsid w:val="01AE34CB"/>
    <w:rsid w:val="01B43E84"/>
    <w:rsid w:val="01B968DC"/>
    <w:rsid w:val="01BE3016"/>
    <w:rsid w:val="01C035C0"/>
    <w:rsid w:val="01C04CDF"/>
    <w:rsid w:val="01CF07F7"/>
    <w:rsid w:val="01D152A8"/>
    <w:rsid w:val="01D35B6E"/>
    <w:rsid w:val="01D37272"/>
    <w:rsid w:val="01D803E5"/>
    <w:rsid w:val="01DA4739"/>
    <w:rsid w:val="01DF5C17"/>
    <w:rsid w:val="01E202A3"/>
    <w:rsid w:val="01E83A82"/>
    <w:rsid w:val="01EF0E72"/>
    <w:rsid w:val="01F6165D"/>
    <w:rsid w:val="02022957"/>
    <w:rsid w:val="020771DF"/>
    <w:rsid w:val="020945D8"/>
    <w:rsid w:val="020C789B"/>
    <w:rsid w:val="0211291E"/>
    <w:rsid w:val="02136EAE"/>
    <w:rsid w:val="02140D77"/>
    <w:rsid w:val="02143890"/>
    <w:rsid w:val="02151639"/>
    <w:rsid w:val="0219028B"/>
    <w:rsid w:val="02284489"/>
    <w:rsid w:val="02290253"/>
    <w:rsid w:val="022B419C"/>
    <w:rsid w:val="022D1D83"/>
    <w:rsid w:val="022E6486"/>
    <w:rsid w:val="023258AD"/>
    <w:rsid w:val="023A11D8"/>
    <w:rsid w:val="023A582E"/>
    <w:rsid w:val="02647B24"/>
    <w:rsid w:val="02672DC5"/>
    <w:rsid w:val="02682A2A"/>
    <w:rsid w:val="02696DA3"/>
    <w:rsid w:val="02720589"/>
    <w:rsid w:val="027303C5"/>
    <w:rsid w:val="027F27F4"/>
    <w:rsid w:val="027F6AB2"/>
    <w:rsid w:val="027F790B"/>
    <w:rsid w:val="028B7ABC"/>
    <w:rsid w:val="028C3EBB"/>
    <w:rsid w:val="0290146E"/>
    <w:rsid w:val="0292348F"/>
    <w:rsid w:val="029657A9"/>
    <w:rsid w:val="029702A0"/>
    <w:rsid w:val="029A3DC7"/>
    <w:rsid w:val="029B7103"/>
    <w:rsid w:val="029B7EC4"/>
    <w:rsid w:val="02A140D5"/>
    <w:rsid w:val="02A902F2"/>
    <w:rsid w:val="02AD48A7"/>
    <w:rsid w:val="02B172C3"/>
    <w:rsid w:val="02B50CAC"/>
    <w:rsid w:val="02B650C0"/>
    <w:rsid w:val="02BF0F17"/>
    <w:rsid w:val="02C14713"/>
    <w:rsid w:val="02CE2D42"/>
    <w:rsid w:val="02EB79FB"/>
    <w:rsid w:val="02F02ADE"/>
    <w:rsid w:val="02F4136E"/>
    <w:rsid w:val="02F77831"/>
    <w:rsid w:val="03001846"/>
    <w:rsid w:val="0304012D"/>
    <w:rsid w:val="030661AE"/>
    <w:rsid w:val="030671D3"/>
    <w:rsid w:val="03070D69"/>
    <w:rsid w:val="030D50CF"/>
    <w:rsid w:val="030F13AA"/>
    <w:rsid w:val="03103B27"/>
    <w:rsid w:val="031249FD"/>
    <w:rsid w:val="0316362D"/>
    <w:rsid w:val="03166657"/>
    <w:rsid w:val="031712C2"/>
    <w:rsid w:val="032E4D47"/>
    <w:rsid w:val="03397EA4"/>
    <w:rsid w:val="03425718"/>
    <w:rsid w:val="03496D35"/>
    <w:rsid w:val="035A46D8"/>
    <w:rsid w:val="035C6DF3"/>
    <w:rsid w:val="03644C1B"/>
    <w:rsid w:val="03661DF0"/>
    <w:rsid w:val="036A6F31"/>
    <w:rsid w:val="036A7C7E"/>
    <w:rsid w:val="036C38B1"/>
    <w:rsid w:val="036F2645"/>
    <w:rsid w:val="036F4C1D"/>
    <w:rsid w:val="03721707"/>
    <w:rsid w:val="037954C9"/>
    <w:rsid w:val="03854360"/>
    <w:rsid w:val="038F4D05"/>
    <w:rsid w:val="03935EAA"/>
    <w:rsid w:val="039538E2"/>
    <w:rsid w:val="03A03184"/>
    <w:rsid w:val="03A762C0"/>
    <w:rsid w:val="03B22D14"/>
    <w:rsid w:val="03B26C61"/>
    <w:rsid w:val="03B3040D"/>
    <w:rsid w:val="03B70C87"/>
    <w:rsid w:val="03BC701B"/>
    <w:rsid w:val="03C70A4A"/>
    <w:rsid w:val="03D13C09"/>
    <w:rsid w:val="03D56844"/>
    <w:rsid w:val="03DB41BC"/>
    <w:rsid w:val="03DF17D9"/>
    <w:rsid w:val="03E11322"/>
    <w:rsid w:val="03E26D1D"/>
    <w:rsid w:val="03E37E33"/>
    <w:rsid w:val="03E85264"/>
    <w:rsid w:val="03F12E09"/>
    <w:rsid w:val="03F45FE6"/>
    <w:rsid w:val="03F6079E"/>
    <w:rsid w:val="03F659B4"/>
    <w:rsid w:val="03FC1D22"/>
    <w:rsid w:val="03FE0410"/>
    <w:rsid w:val="04025BED"/>
    <w:rsid w:val="04045A8D"/>
    <w:rsid w:val="04126293"/>
    <w:rsid w:val="041275B7"/>
    <w:rsid w:val="04161698"/>
    <w:rsid w:val="041616A2"/>
    <w:rsid w:val="04184436"/>
    <w:rsid w:val="04187B07"/>
    <w:rsid w:val="041D6B99"/>
    <w:rsid w:val="04206237"/>
    <w:rsid w:val="04273005"/>
    <w:rsid w:val="042D4918"/>
    <w:rsid w:val="04383D69"/>
    <w:rsid w:val="043E1FEF"/>
    <w:rsid w:val="044161EF"/>
    <w:rsid w:val="04460E6B"/>
    <w:rsid w:val="04472DF8"/>
    <w:rsid w:val="04561783"/>
    <w:rsid w:val="04567CE7"/>
    <w:rsid w:val="045717A5"/>
    <w:rsid w:val="045B7CDE"/>
    <w:rsid w:val="046057CC"/>
    <w:rsid w:val="04654A37"/>
    <w:rsid w:val="047210F8"/>
    <w:rsid w:val="04811285"/>
    <w:rsid w:val="04885A30"/>
    <w:rsid w:val="04892D96"/>
    <w:rsid w:val="049021F1"/>
    <w:rsid w:val="049031F8"/>
    <w:rsid w:val="0491294B"/>
    <w:rsid w:val="049356B2"/>
    <w:rsid w:val="049423BF"/>
    <w:rsid w:val="04A24CDA"/>
    <w:rsid w:val="04AC4A91"/>
    <w:rsid w:val="04AC7907"/>
    <w:rsid w:val="04B341E1"/>
    <w:rsid w:val="04BA235B"/>
    <w:rsid w:val="04BB2E8F"/>
    <w:rsid w:val="04C212E8"/>
    <w:rsid w:val="04C66C1A"/>
    <w:rsid w:val="04CB4231"/>
    <w:rsid w:val="04CD0B1D"/>
    <w:rsid w:val="04D550AF"/>
    <w:rsid w:val="04DB203B"/>
    <w:rsid w:val="04DF2152"/>
    <w:rsid w:val="04E14FEA"/>
    <w:rsid w:val="04EF3743"/>
    <w:rsid w:val="04F62134"/>
    <w:rsid w:val="04F81937"/>
    <w:rsid w:val="04F847F5"/>
    <w:rsid w:val="04F9484C"/>
    <w:rsid w:val="04F960BF"/>
    <w:rsid w:val="05065269"/>
    <w:rsid w:val="050675B8"/>
    <w:rsid w:val="05100E24"/>
    <w:rsid w:val="05156BB1"/>
    <w:rsid w:val="05163267"/>
    <w:rsid w:val="051761CC"/>
    <w:rsid w:val="052136E7"/>
    <w:rsid w:val="05255D1C"/>
    <w:rsid w:val="052A1FD7"/>
    <w:rsid w:val="052C48C7"/>
    <w:rsid w:val="052C76AE"/>
    <w:rsid w:val="05355F25"/>
    <w:rsid w:val="053850A0"/>
    <w:rsid w:val="05422027"/>
    <w:rsid w:val="05444DBA"/>
    <w:rsid w:val="05455314"/>
    <w:rsid w:val="056417A1"/>
    <w:rsid w:val="05687F3F"/>
    <w:rsid w:val="056B1533"/>
    <w:rsid w:val="056F7C94"/>
    <w:rsid w:val="05715B5E"/>
    <w:rsid w:val="057C5132"/>
    <w:rsid w:val="057F4C34"/>
    <w:rsid w:val="05832D5D"/>
    <w:rsid w:val="05873555"/>
    <w:rsid w:val="058A1775"/>
    <w:rsid w:val="05905DC2"/>
    <w:rsid w:val="05B13578"/>
    <w:rsid w:val="05BF5C82"/>
    <w:rsid w:val="05C05314"/>
    <w:rsid w:val="05C2633D"/>
    <w:rsid w:val="05C96DAF"/>
    <w:rsid w:val="05D13C9E"/>
    <w:rsid w:val="05DB04A3"/>
    <w:rsid w:val="05DE1014"/>
    <w:rsid w:val="05DE16D7"/>
    <w:rsid w:val="05DF58F4"/>
    <w:rsid w:val="05E405E6"/>
    <w:rsid w:val="05E66669"/>
    <w:rsid w:val="05EB4823"/>
    <w:rsid w:val="05EE467B"/>
    <w:rsid w:val="05F179AB"/>
    <w:rsid w:val="05F53ECA"/>
    <w:rsid w:val="05F94DCD"/>
    <w:rsid w:val="05FC7975"/>
    <w:rsid w:val="06070763"/>
    <w:rsid w:val="0619555A"/>
    <w:rsid w:val="06283A43"/>
    <w:rsid w:val="063C3719"/>
    <w:rsid w:val="06411781"/>
    <w:rsid w:val="064E332F"/>
    <w:rsid w:val="06547D63"/>
    <w:rsid w:val="065C51CA"/>
    <w:rsid w:val="06643801"/>
    <w:rsid w:val="06647BE2"/>
    <w:rsid w:val="066A1827"/>
    <w:rsid w:val="067243B9"/>
    <w:rsid w:val="067F7C30"/>
    <w:rsid w:val="06872D56"/>
    <w:rsid w:val="068D2959"/>
    <w:rsid w:val="06955C4E"/>
    <w:rsid w:val="069D141D"/>
    <w:rsid w:val="06A26ADE"/>
    <w:rsid w:val="06AB3484"/>
    <w:rsid w:val="06B13C08"/>
    <w:rsid w:val="06B93618"/>
    <w:rsid w:val="06BC02D5"/>
    <w:rsid w:val="06C4264F"/>
    <w:rsid w:val="06C46B16"/>
    <w:rsid w:val="06C83B4C"/>
    <w:rsid w:val="06C83F85"/>
    <w:rsid w:val="06C92E89"/>
    <w:rsid w:val="06D4212C"/>
    <w:rsid w:val="06EA2930"/>
    <w:rsid w:val="06EB0BBA"/>
    <w:rsid w:val="06EE64D1"/>
    <w:rsid w:val="06F71DD2"/>
    <w:rsid w:val="07024AB1"/>
    <w:rsid w:val="0705428F"/>
    <w:rsid w:val="07083BAF"/>
    <w:rsid w:val="07095EF1"/>
    <w:rsid w:val="07110BA2"/>
    <w:rsid w:val="07123728"/>
    <w:rsid w:val="07141ABD"/>
    <w:rsid w:val="0715574B"/>
    <w:rsid w:val="071B72C1"/>
    <w:rsid w:val="071D508F"/>
    <w:rsid w:val="072D11D3"/>
    <w:rsid w:val="07306205"/>
    <w:rsid w:val="07311FFC"/>
    <w:rsid w:val="073123A9"/>
    <w:rsid w:val="07322345"/>
    <w:rsid w:val="0737494B"/>
    <w:rsid w:val="07391470"/>
    <w:rsid w:val="0746163F"/>
    <w:rsid w:val="07571DAC"/>
    <w:rsid w:val="07596EC9"/>
    <w:rsid w:val="0764271A"/>
    <w:rsid w:val="076A17A5"/>
    <w:rsid w:val="076B4988"/>
    <w:rsid w:val="0771121C"/>
    <w:rsid w:val="07764EA6"/>
    <w:rsid w:val="077C1812"/>
    <w:rsid w:val="077D47E4"/>
    <w:rsid w:val="077D6BC9"/>
    <w:rsid w:val="077F445C"/>
    <w:rsid w:val="078448D6"/>
    <w:rsid w:val="079F48EB"/>
    <w:rsid w:val="07A348F0"/>
    <w:rsid w:val="07A421EB"/>
    <w:rsid w:val="07A71269"/>
    <w:rsid w:val="07A9711F"/>
    <w:rsid w:val="07B715B2"/>
    <w:rsid w:val="07BE58E7"/>
    <w:rsid w:val="07BE6360"/>
    <w:rsid w:val="07C442AC"/>
    <w:rsid w:val="07C65661"/>
    <w:rsid w:val="07C77DD7"/>
    <w:rsid w:val="07C92B37"/>
    <w:rsid w:val="07CA293D"/>
    <w:rsid w:val="07CC22C3"/>
    <w:rsid w:val="07D562C4"/>
    <w:rsid w:val="07DD1639"/>
    <w:rsid w:val="07E07FF3"/>
    <w:rsid w:val="07E72AFE"/>
    <w:rsid w:val="07E95755"/>
    <w:rsid w:val="07EA7730"/>
    <w:rsid w:val="07EF38A0"/>
    <w:rsid w:val="07FF2B83"/>
    <w:rsid w:val="08051C66"/>
    <w:rsid w:val="08062039"/>
    <w:rsid w:val="080751CD"/>
    <w:rsid w:val="080B340B"/>
    <w:rsid w:val="080F4113"/>
    <w:rsid w:val="08157E0D"/>
    <w:rsid w:val="08161CD1"/>
    <w:rsid w:val="08191568"/>
    <w:rsid w:val="08242A95"/>
    <w:rsid w:val="082641D3"/>
    <w:rsid w:val="08336611"/>
    <w:rsid w:val="08390C6B"/>
    <w:rsid w:val="083A5FF4"/>
    <w:rsid w:val="083B4AD0"/>
    <w:rsid w:val="083D5469"/>
    <w:rsid w:val="08431E7C"/>
    <w:rsid w:val="084613AB"/>
    <w:rsid w:val="08471E20"/>
    <w:rsid w:val="084F52E3"/>
    <w:rsid w:val="08504710"/>
    <w:rsid w:val="08513C0E"/>
    <w:rsid w:val="085176DB"/>
    <w:rsid w:val="0852541C"/>
    <w:rsid w:val="0855653B"/>
    <w:rsid w:val="08580817"/>
    <w:rsid w:val="085B3309"/>
    <w:rsid w:val="086452CB"/>
    <w:rsid w:val="08685C57"/>
    <w:rsid w:val="08752E31"/>
    <w:rsid w:val="087561C2"/>
    <w:rsid w:val="08830A69"/>
    <w:rsid w:val="08882010"/>
    <w:rsid w:val="088970C6"/>
    <w:rsid w:val="089348C7"/>
    <w:rsid w:val="089B03BE"/>
    <w:rsid w:val="089D5EE4"/>
    <w:rsid w:val="08A732AB"/>
    <w:rsid w:val="08A74EE7"/>
    <w:rsid w:val="08A90D2D"/>
    <w:rsid w:val="08B139CA"/>
    <w:rsid w:val="08B9545D"/>
    <w:rsid w:val="08BA1F86"/>
    <w:rsid w:val="08BE7ABE"/>
    <w:rsid w:val="08C50493"/>
    <w:rsid w:val="08C507A1"/>
    <w:rsid w:val="08C572F6"/>
    <w:rsid w:val="08C946D5"/>
    <w:rsid w:val="08CA0566"/>
    <w:rsid w:val="08CB2A51"/>
    <w:rsid w:val="08DA56FF"/>
    <w:rsid w:val="08DF19E9"/>
    <w:rsid w:val="08EF508B"/>
    <w:rsid w:val="08F972F8"/>
    <w:rsid w:val="08FE10EA"/>
    <w:rsid w:val="09011FAE"/>
    <w:rsid w:val="09040A3B"/>
    <w:rsid w:val="09064E5D"/>
    <w:rsid w:val="090C2F5D"/>
    <w:rsid w:val="090E139C"/>
    <w:rsid w:val="09145A12"/>
    <w:rsid w:val="09171884"/>
    <w:rsid w:val="09175198"/>
    <w:rsid w:val="091A278A"/>
    <w:rsid w:val="09261188"/>
    <w:rsid w:val="092D1499"/>
    <w:rsid w:val="09313A4F"/>
    <w:rsid w:val="09326384"/>
    <w:rsid w:val="09382988"/>
    <w:rsid w:val="093B0913"/>
    <w:rsid w:val="093B707A"/>
    <w:rsid w:val="0952458B"/>
    <w:rsid w:val="09554CD5"/>
    <w:rsid w:val="0957472D"/>
    <w:rsid w:val="095A3511"/>
    <w:rsid w:val="0960001F"/>
    <w:rsid w:val="09647CD0"/>
    <w:rsid w:val="09700C89"/>
    <w:rsid w:val="09731054"/>
    <w:rsid w:val="09817BDC"/>
    <w:rsid w:val="09864BCA"/>
    <w:rsid w:val="09905646"/>
    <w:rsid w:val="099079F2"/>
    <w:rsid w:val="099836F7"/>
    <w:rsid w:val="0998639E"/>
    <w:rsid w:val="09A24CDB"/>
    <w:rsid w:val="09AA1D79"/>
    <w:rsid w:val="09B604B6"/>
    <w:rsid w:val="09BB74E9"/>
    <w:rsid w:val="09BD7EA8"/>
    <w:rsid w:val="09C108F9"/>
    <w:rsid w:val="09C86FF3"/>
    <w:rsid w:val="09C965B9"/>
    <w:rsid w:val="09DB35D7"/>
    <w:rsid w:val="09DD4F8C"/>
    <w:rsid w:val="09ED536B"/>
    <w:rsid w:val="09F6562F"/>
    <w:rsid w:val="09F675A4"/>
    <w:rsid w:val="09FA45C2"/>
    <w:rsid w:val="0A070373"/>
    <w:rsid w:val="0A096491"/>
    <w:rsid w:val="0A110938"/>
    <w:rsid w:val="0A134871"/>
    <w:rsid w:val="0A216B85"/>
    <w:rsid w:val="0A285C81"/>
    <w:rsid w:val="0A2F0DBE"/>
    <w:rsid w:val="0A3060E9"/>
    <w:rsid w:val="0A3528CA"/>
    <w:rsid w:val="0A36774D"/>
    <w:rsid w:val="0A3975BF"/>
    <w:rsid w:val="0A430D17"/>
    <w:rsid w:val="0A490CBA"/>
    <w:rsid w:val="0A4A5C79"/>
    <w:rsid w:val="0A4D4AAC"/>
    <w:rsid w:val="0A4D58DB"/>
    <w:rsid w:val="0A516F86"/>
    <w:rsid w:val="0A57101C"/>
    <w:rsid w:val="0A5A6D44"/>
    <w:rsid w:val="0A5E7D79"/>
    <w:rsid w:val="0A616DE1"/>
    <w:rsid w:val="0A674B0B"/>
    <w:rsid w:val="0A751C34"/>
    <w:rsid w:val="0A794631"/>
    <w:rsid w:val="0A91152C"/>
    <w:rsid w:val="0A9257F6"/>
    <w:rsid w:val="0A93048D"/>
    <w:rsid w:val="0A960F14"/>
    <w:rsid w:val="0A976267"/>
    <w:rsid w:val="0A9C3C41"/>
    <w:rsid w:val="0AAE262A"/>
    <w:rsid w:val="0AAE35C0"/>
    <w:rsid w:val="0AB2719C"/>
    <w:rsid w:val="0AB81E6D"/>
    <w:rsid w:val="0AB8697B"/>
    <w:rsid w:val="0ABA3A59"/>
    <w:rsid w:val="0AC8253F"/>
    <w:rsid w:val="0AC96988"/>
    <w:rsid w:val="0ACA0AE6"/>
    <w:rsid w:val="0ACC2AB1"/>
    <w:rsid w:val="0ACE4A7B"/>
    <w:rsid w:val="0ACF3933"/>
    <w:rsid w:val="0AD23303"/>
    <w:rsid w:val="0ADA5708"/>
    <w:rsid w:val="0AE16866"/>
    <w:rsid w:val="0AEA0C42"/>
    <w:rsid w:val="0AEA12A8"/>
    <w:rsid w:val="0AF017B6"/>
    <w:rsid w:val="0AF049F1"/>
    <w:rsid w:val="0AF62560"/>
    <w:rsid w:val="0AF759D6"/>
    <w:rsid w:val="0B012A84"/>
    <w:rsid w:val="0B0966F6"/>
    <w:rsid w:val="0B0C73F9"/>
    <w:rsid w:val="0B201D5E"/>
    <w:rsid w:val="0B2E3CC9"/>
    <w:rsid w:val="0B2E5E16"/>
    <w:rsid w:val="0B375B18"/>
    <w:rsid w:val="0B3B1EE3"/>
    <w:rsid w:val="0B440B9E"/>
    <w:rsid w:val="0B463FFF"/>
    <w:rsid w:val="0B50112D"/>
    <w:rsid w:val="0B5218A1"/>
    <w:rsid w:val="0B551C24"/>
    <w:rsid w:val="0B574F31"/>
    <w:rsid w:val="0B635425"/>
    <w:rsid w:val="0B650DD9"/>
    <w:rsid w:val="0B656BA8"/>
    <w:rsid w:val="0B673342"/>
    <w:rsid w:val="0B686E11"/>
    <w:rsid w:val="0B6B0F4C"/>
    <w:rsid w:val="0B6E211F"/>
    <w:rsid w:val="0B747210"/>
    <w:rsid w:val="0B773824"/>
    <w:rsid w:val="0B7A69B0"/>
    <w:rsid w:val="0B7C0033"/>
    <w:rsid w:val="0B880BED"/>
    <w:rsid w:val="0B891720"/>
    <w:rsid w:val="0B911E3F"/>
    <w:rsid w:val="0B9C2483"/>
    <w:rsid w:val="0BA26FAF"/>
    <w:rsid w:val="0BA32D07"/>
    <w:rsid w:val="0BA8098F"/>
    <w:rsid w:val="0BB05F2E"/>
    <w:rsid w:val="0BB26F26"/>
    <w:rsid w:val="0BB46034"/>
    <w:rsid w:val="0BBD359F"/>
    <w:rsid w:val="0BC974DB"/>
    <w:rsid w:val="0BD7686C"/>
    <w:rsid w:val="0BE45932"/>
    <w:rsid w:val="0BE67FAE"/>
    <w:rsid w:val="0BEF19A5"/>
    <w:rsid w:val="0BF66AE4"/>
    <w:rsid w:val="0BF86453"/>
    <w:rsid w:val="0BFE6ABB"/>
    <w:rsid w:val="0C072F3E"/>
    <w:rsid w:val="0C0A1AE2"/>
    <w:rsid w:val="0C0A7E62"/>
    <w:rsid w:val="0C0B13B7"/>
    <w:rsid w:val="0C0C467E"/>
    <w:rsid w:val="0C0C5B69"/>
    <w:rsid w:val="0C0F406E"/>
    <w:rsid w:val="0C140339"/>
    <w:rsid w:val="0C1C7D7C"/>
    <w:rsid w:val="0C2810D6"/>
    <w:rsid w:val="0C2A0A31"/>
    <w:rsid w:val="0C2C2093"/>
    <w:rsid w:val="0C3B1C9C"/>
    <w:rsid w:val="0C544F66"/>
    <w:rsid w:val="0C605E1E"/>
    <w:rsid w:val="0C6229D0"/>
    <w:rsid w:val="0C6308E0"/>
    <w:rsid w:val="0C711231"/>
    <w:rsid w:val="0C721C91"/>
    <w:rsid w:val="0C7512C9"/>
    <w:rsid w:val="0C774C9E"/>
    <w:rsid w:val="0C831B32"/>
    <w:rsid w:val="0C8F09D7"/>
    <w:rsid w:val="0C9719D7"/>
    <w:rsid w:val="0C9A2BB7"/>
    <w:rsid w:val="0C9A3091"/>
    <w:rsid w:val="0CAD7E1B"/>
    <w:rsid w:val="0CAE6912"/>
    <w:rsid w:val="0CAF01AF"/>
    <w:rsid w:val="0CB24ABA"/>
    <w:rsid w:val="0CB3727F"/>
    <w:rsid w:val="0CB7640E"/>
    <w:rsid w:val="0CBC4307"/>
    <w:rsid w:val="0CBC5489"/>
    <w:rsid w:val="0CCD3E0C"/>
    <w:rsid w:val="0CD816CB"/>
    <w:rsid w:val="0CD818BC"/>
    <w:rsid w:val="0CE35733"/>
    <w:rsid w:val="0CE6291D"/>
    <w:rsid w:val="0CE6582C"/>
    <w:rsid w:val="0CE6662D"/>
    <w:rsid w:val="0CF85DDF"/>
    <w:rsid w:val="0CFD38D2"/>
    <w:rsid w:val="0D011BEA"/>
    <w:rsid w:val="0D07622A"/>
    <w:rsid w:val="0D0B4276"/>
    <w:rsid w:val="0D190780"/>
    <w:rsid w:val="0D1B6C33"/>
    <w:rsid w:val="0D324ED3"/>
    <w:rsid w:val="0D337916"/>
    <w:rsid w:val="0D350208"/>
    <w:rsid w:val="0D356C7B"/>
    <w:rsid w:val="0D372F7D"/>
    <w:rsid w:val="0D396D5A"/>
    <w:rsid w:val="0D3B653D"/>
    <w:rsid w:val="0D3D0412"/>
    <w:rsid w:val="0D3D37F2"/>
    <w:rsid w:val="0D4E2564"/>
    <w:rsid w:val="0D52191F"/>
    <w:rsid w:val="0D5546C2"/>
    <w:rsid w:val="0D554938"/>
    <w:rsid w:val="0D555343"/>
    <w:rsid w:val="0D5C3F9A"/>
    <w:rsid w:val="0D6600DE"/>
    <w:rsid w:val="0D701199"/>
    <w:rsid w:val="0D735465"/>
    <w:rsid w:val="0D7B0568"/>
    <w:rsid w:val="0D865B9F"/>
    <w:rsid w:val="0D9439F3"/>
    <w:rsid w:val="0D993B08"/>
    <w:rsid w:val="0D9B325A"/>
    <w:rsid w:val="0DA334A6"/>
    <w:rsid w:val="0DAA6CC3"/>
    <w:rsid w:val="0DC14177"/>
    <w:rsid w:val="0DC671F8"/>
    <w:rsid w:val="0DC91EAE"/>
    <w:rsid w:val="0DCF7C3D"/>
    <w:rsid w:val="0DD3176D"/>
    <w:rsid w:val="0DD84CCD"/>
    <w:rsid w:val="0DEC589A"/>
    <w:rsid w:val="0DED24C1"/>
    <w:rsid w:val="0DF30AE2"/>
    <w:rsid w:val="0DFE11A9"/>
    <w:rsid w:val="0E021ABC"/>
    <w:rsid w:val="0E0367E9"/>
    <w:rsid w:val="0E0A5FC1"/>
    <w:rsid w:val="0E1917B1"/>
    <w:rsid w:val="0E1B19B0"/>
    <w:rsid w:val="0E1C7049"/>
    <w:rsid w:val="0E2B31D7"/>
    <w:rsid w:val="0E355A7C"/>
    <w:rsid w:val="0E3633B7"/>
    <w:rsid w:val="0E3E5EFF"/>
    <w:rsid w:val="0E465EE5"/>
    <w:rsid w:val="0E4D0A95"/>
    <w:rsid w:val="0E682A23"/>
    <w:rsid w:val="0E6A5606"/>
    <w:rsid w:val="0E6C04B2"/>
    <w:rsid w:val="0E721BC1"/>
    <w:rsid w:val="0E7228BD"/>
    <w:rsid w:val="0E7809BC"/>
    <w:rsid w:val="0E780BE4"/>
    <w:rsid w:val="0E7F0686"/>
    <w:rsid w:val="0E855450"/>
    <w:rsid w:val="0E923691"/>
    <w:rsid w:val="0E945B4D"/>
    <w:rsid w:val="0E98447E"/>
    <w:rsid w:val="0EA0351B"/>
    <w:rsid w:val="0EA85199"/>
    <w:rsid w:val="0EB16663"/>
    <w:rsid w:val="0EBF4876"/>
    <w:rsid w:val="0EC43B37"/>
    <w:rsid w:val="0ECB7EDB"/>
    <w:rsid w:val="0ED308B1"/>
    <w:rsid w:val="0ED32660"/>
    <w:rsid w:val="0ED816C1"/>
    <w:rsid w:val="0EDB3DB9"/>
    <w:rsid w:val="0EE211C3"/>
    <w:rsid w:val="0EE52461"/>
    <w:rsid w:val="0EE86340"/>
    <w:rsid w:val="0EED690A"/>
    <w:rsid w:val="0EF94CF1"/>
    <w:rsid w:val="0EFA16CC"/>
    <w:rsid w:val="0EFE3668"/>
    <w:rsid w:val="0EFF7422"/>
    <w:rsid w:val="0F044CF2"/>
    <w:rsid w:val="0F0F11BE"/>
    <w:rsid w:val="0F1C5E8F"/>
    <w:rsid w:val="0F1F3CEB"/>
    <w:rsid w:val="0F1F541B"/>
    <w:rsid w:val="0F274071"/>
    <w:rsid w:val="0F2755EC"/>
    <w:rsid w:val="0F2E7521"/>
    <w:rsid w:val="0F380715"/>
    <w:rsid w:val="0F384BB8"/>
    <w:rsid w:val="0F422F09"/>
    <w:rsid w:val="0F4271F2"/>
    <w:rsid w:val="0F4815E9"/>
    <w:rsid w:val="0F4E6CC3"/>
    <w:rsid w:val="0F4F3F65"/>
    <w:rsid w:val="0F5B2655"/>
    <w:rsid w:val="0F690CF3"/>
    <w:rsid w:val="0F6D2C8C"/>
    <w:rsid w:val="0F704352"/>
    <w:rsid w:val="0F730BD4"/>
    <w:rsid w:val="0F775CEB"/>
    <w:rsid w:val="0F7A797E"/>
    <w:rsid w:val="0F7C434F"/>
    <w:rsid w:val="0F7D081D"/>
    <w:rsid w:val="0F7E4AD9"/>
    <w:rsid w:val="0F7F43FD"/>
    <w:rsid w:val="0F827BE2"/>
    <w:rsid w:val="0F834957"/>
    <w:rsid w:val="0F865924"/>
    <w:rsid w:val="0F8A3E81"/>
    <w:rsid w:val="0F8B67FE"/>
    <w:rsid w:val="0F8D1FBD"/>
    <w:rsid w:val="0F8E0CED"/>
    <w:rsid w:val="0F9101FA"/>
    <w:rsid w:val="0F972A09"/>
    <w:rsid w:val="0F9D0A24"/>
    <w:rsid w:val="0FC03992"/>
    <w:rsid w:val="0FC712FE"/>
    <w:rsid w:val="0FCA38F7"/>
    <w:rsid w:val="0FCB5F82"/>
    <w:rsid w:val="0FCF7645"/>
    <w:rsid w:val="0FD3763B"/>
    <w:rsid w:val="0FDA030E"/>
    <w:rsid w:val="0FE27256"/>
    <w:rsid w:val="0FE34610"/>
    <w:rsid w:val="0FE4098F"/>
    <w:rsid w:val="0FE46217"/>
    <w:rsid w:val="0FFC13FE"/>
    <w:rsid w:val="0FFE4C76"/>
    <w:rsid w:val="10005FCF"/>
    <w:rsid w:val="10067ED8"/>
    <w:rsid w:val="10090303"/>
    <w:rsid w:val="100A7FDF"/>
    <w:rsid w:val="100F718A"/>
    <w:rsid w:val="10130B2C"/>
    <w:rsid w:val="1013665B"/>
    <w:rsid w:val="10167BA9"/>
    <w:rsid w:val="101F1086"/>
    <w:rsid w:val="10265B91"/>
    <w:rsid w:val="10275670"/>
    <w:rsid w:val="102D3FF1"/>
    <w:rsid w:val="102E5FAA"/>
    <w:rsid w:val="10305D78"/>
    <w:rsid w:val="10394744"/>
    <w:rsid w:val="103F191C"/>
    <w:rsid w:val="10433815"/>
    <w:rsid w:val="104B4E0C"/>
    <w:rsid w:val="104D3294"/>
    <w:rsid w:val="104D66BD"/>
    <w:rsid w:val="104E1F31"/>
    <w:rsid w:val="1052676A"/>
    <w:rsid w:val="10533CEF"/>
    <w:rsid w:val="105477A1"/>
    <w:rsid w:val="10563548"/>
    <w:rsid w:val="105668F7"/>
    <w:rsid w:val="105E064F"/>
    <w:rsid w:val="10656B5C"/>
    <w:rsid w:val="10670FB6"/>
    <w:rsid w:val="106D393B"/>
    <w:rsid w:val="107C63BF"/>
    <w:rsid w:val="10802B6F"/>
    <w:rsid w:val="10881228"/>
    <w:rsid w:val="108A5114"/>
    <w:rsid w:val="108F6B38"/>
    <w:rsid w:val="10904060"/>
    <w:rsid w:val="10A14CA4"/>
    <w:rsid w:val="10A225A6"/>
    <w:rsid w:val="10A23A69"/>
    <w:rsid w:val="10A51DDA"/>
    <w:rsid w:val="10C14278"/>
    <w:rsid w:val="10C83D1A"/>
    <w:rsid w:val="10CB3D2E"/>
    <w:rsid w:val="10D821AF"/>
    <w:rsid w:val="10EF2624"/>
    <w:rsid w:val="10F36504"/>
    <w:rsid w:val="10FC62A2"/>
    <w:rsid w:val="1103267B"/>
    <w:rsid w:val="11053860"/>
    <w:rsid w:val="1108234F"/>
    <w:rsid w:val="11121F20"/>
    <w:rsid w:val="11186D97"/>
    <w:rsid w:val="112F1F07"/>
    <w:rsid w:val="113D25D0"/>
    <w:rsid w:val="114809B7"/>
    <w:rsid w:val="114C0E1E"/>
    <w:rsid w:val="11523849"/>
    <w:rsid w:val="115726F1"/>
    <w:rsid w:val="1161123E"/>
    <w:rsid w:val="116235CB"/>
    <w:rsid w:val="11655E95"/>
    <w:rsid w:val="11673533"/>
    <w:rsid w:val="116972AB"/>
    <w:rsid w:val="118865E2"/>
    <w:rsid w:val="118A0FD0"/>
    <w:rsid w:val="118F0A79"/>
    <w:rsid w:val="119423A3"/>
    <w:rsid w:val="1196605D"/>
    <w:rsid w:val="119A3908"/>
    <w:rsid w:val="119B7BF3"/>
    <w:rsid w:val="119F43A3"/>
    <w:rsid w:val="119F4A7B"/>
    <w:rsid w:val="11A24056"/>
    <w:rsid w:val="11A271D2"/>
    <w:rsid w:val="11A976A8"/>
    <w:rsid w:val="11AF4BBA"/>
    <w:rsid w:val="11B15073"/>
    <w:rsid w:val="11BC1895"/>
    <w:rsid w:val="11C0052E"/>
    <w:rsid w:val="11C14B4E"/>
    <w:rsid w:val="11C27BEE"/>
    <w:rsid w:val="11C44DCC"/>
    <w:rsid w:val="11C95F9C"/>
    <w:rsid w:val="11C97D48"/>
    <w:rsid w:val="11DE23AF"/>
    <w:rsid w:val="11DE273D"/>
    <w:rsid w:val="11DF511C"/>
    <w:rsid w:val="11E44B84"/>
    <w:rsid w:val="11E66E1B"/>
    <w:rsid w:val="11E71C7F"/>
    <w:rsid w:val="11F35990"/>
    <w:rsid w:val="11F47704"/>
    <w:rsid w:val="11F70BAF"/>
    <w:rsid w:val="11F842E0"/>
    <w:rsid w:val="11F950E4"/>
    <w:rsid w:val="121340A3"/>
    <w:rsid w:val="121B1FCB"/>
    <w:rsid w:val="12244F80"/>
    <w:rsid w:val="12303925"/>
    <w:rsid w:val="12317B5D"/>
    <w:rsid w:val="123211CE"/>
    <w:rsid w:val="12327351"/>
    <w:rsid w:val="123B14FA"/>
    <w:rsid w:val="123D0D6C"/>
    <w:rsid w:val="12434DD7"/>
    <w:rsid w:val="124551D1"/>
    <w:rsid w:val="124C6769"/>
    <w:rsid w:val="12630C5F"/>
    <w:rsid w:val="12677C09"/>
    <w:rsid w:val="126E63CC"/>
    <w:rsid w:val="127351DC"/>
    <w:rsid w:val="1275603D"/>
    <w:rsid w:val="12844552"/>
    <w:rsid w:val="128F52CB"/>
    <w:rsid w:val="12B376DE"/>
    <w:rsid w:val="12BD6CF7"/>
    <w:rsid w:val="12C23AE6"/>
    <w:rsid w:val="12CE4136"/>
    <w:rsid w:val="12D0549C"/>
    <w:rsid w:val="12D70831"/>
    <w:rsid w:val="12DB5F87"/>
    <w:rsid w:val="12DC51A0"/>
    <w:rsid w:val="12E81756"/>
    <w:rsid w:val="12EA441C"/>
    <w:rsid w:val="12F93435"/>
    <w:rsid w:val="12FB3E44"/>
    <w:rsid w:val="12FE1825"/>
    <w:rsid w:val="13052B8F"/>
    <w:rsid w:val="13054DB2"/>
    <w:rsid w:val="13064997"/>
    <w:rsid w:val="13072E5C"/>
    <w:rsid w:val="1311736D"/>
    <w:rsid w:val="132F270C"/>
    <w:rsid w:val="1337117D"/>
    <w:rsid w:val="134577D3"/>
    <w:rsid w:val="13502C12"/>
    <w:rsid w:val="13546C62"/>
    <w:rsid w:val="1356385F"/>
    <w:rsid w:val="13647242"/>
    <w:rsid w:val="136D52C4"/>
    <w:rsid w:val="13706561"/>
    <w:rsid w:val="1373286E"/>
    <w:rsid w:val="1376760F"/>
    <w:rsid w:val="137974FF"/>
    <w:rsid w:val="1382238D"/>
    <w:rsid w:val="13924778"/>
    <w:rsid w:val="13987C5A"/>
    <w:rsid w:val="13995A34"/>
    <w:rsid w:val="139D362F"/>
    <w:rsid w:val="13A67F5D"/>
    <w:rsid w:val="13A73B25"/>
    <w:rsid w:val="13AC5F03"/>
    <w:rsid w:val="13AD4FA0"/>
    <w:rsid w:val="13B22393"/>
    <w:rsid w:val="13BB206E"/>
    <w:rsid w:val="13C3073B"/>
    <w:rsid w:val="13CD770F"/>
    <w:rsid w:val="13D07475"/>
    <w:rsid w:val="13D3066C"/>
    <w:rsid w:val="13DD0546"/>
    <w:rsid w:val="13DF4639"/>
    <w:rsid w:val="13E83022"/>
    <w:rsid w:val="13EE766B"/>
    <w:rsid w:val="13F0781D"/>
    <w:rsid w:val="13FD009A"/>
    <w:rsid w:val="14000935"/>
    <w:rsid w:val="140267B8"/>
    <w:rsid w:val="1407681E"/>
    <w:rsid w:val="14086A9D"/>
    <w:rsid w:val="140E1078"/>
    <w:rsid w:val="1424570B"/>
    <w:rsid w:val="14270D58"/>
    <w:rsid w:val="142923F2"/>
    <w:rsid w:val="144254EC"/>
    <w:rsid w:val="144A1DBA"/>
    <w:rsid w:val="144A663E"/>
    <w:rsid w:val="144D6A10"/>
    <w:rsid w:val="14530224"/>
    <w:rsid w:val="14532973"/>
    <w:rsid w:val="145A2727"/>
    <w:rsid w:val="14611454"/>
    <w:rsid w:val="14792C38"/>
    <w:rsid w:val="147B7751"/>
    <w:rsid w:val="14893746"/>
    <w:rsid w:val="14910533"/>
    <w:rsid w:val="14923128"/>
    <w:rsid w:val="14927C85"/>
    <w:rsid w:val="149673D2"/>
    <w:rsid w:val="149D3B7F"/>
    <w:rsid w:val="149E5E99"/>
    <w:rsid w:val="14A550F1"/>
    <w:rsid w:val="14B537B7"/>
    <w:rsid w:val="14C26019"/>
    <w:rsid w:val="14CA6F83"/>
    <w:rsid w:val="14CB4E38"/>
    <w:rsid w:val="14DA5CEF"/>
    <w:rsid w:val="14DC1B42"/>
    <w:rsid w:val="14E95D78"/>
    <w:rsid w:val="14EB154F"/>
    <w:rsid w:val="14EE42C5"/>
    <w:rsid w:val="14FD4AD1"/>
    <w:rsid w:val="14FE49E3"/>
    <w:rsid w:val="15015A4D"/>
    <w:rsid w:val="1504069F"/>
    <w:rsid w:val="150A49B0"/>
    <w:rsid w:val="150C599F"/>
    <w:rsid w:val="15107A3E"/>
    <w:rsid w:val="151508C6"/>
    <w:rsid w:val="15153797"/>
    <w:rsid w:val="15166027"/>
    <w:rsid w:val="151945F7"/>
    <w:rsid w:val="151C5ACE"/>
    <w:rsid w:val="151E0725"/>
    <w:rsid w:val="152331F6"/>
    <w:rsid w:val="15254B2D"/>
    <w:rsid w:val="152B22BF"/>
    <w:rsid w:val="152E0C40"/>
    <w:rsid w:val="152F4368"/>
    <w:rsid w:val="15400323"/>
    <w:rsid w:val="154465B9"/>
    <w:rsid w:val="15451FB9"/>
    <w:rsid w:val="154C4ED3"/>
    <w:rsid w:val="155023CF"/>
    <w:rsid w:val="15593193"/>
    <w:rsid w:val="155D5A1C"/>
    <w:rsid w:val="15632F90"/>
    <w:rsid w:val="156C2DB5"/>
    <w:rsid w:val="156F15C5"/>
    <w:rsid w:val="157543DA"/>
    <w:rsid w:val="157961AD"/>
    <w:rsid w:val="157B53E9"/>
    <w:rsid w:val="158A77F0"/>
    <w:rsid w:val="158B374C"/>
    <w:rsid w:val="158C6A45"/>
    <w:rsid w:val="15977DC9"/>
    <w:rsid w:val="15A01B6C"/>
    <w:rsid w:val="15A24BE5"/>
    <w:rsid w:val="15A53A73"/>
    <w:rsid w:val="15A77776"/>
    <w:rsid w:val="15AE34DE"/>
    <w:rsid w:val="15AF48A3"/>
    <w:rsid w:val="15B87DAF"/>
    <w:rsid w:val="15B900BC"/>
    <w:rsid w:val="15BC4ED9"/>
    <w:rsid w:val="15BE3E15"/>
    <w:rsid w:val="15CB2F70"/>
    <w:rsid w:val="15CE42D9"/>
    <w:rsid w:val="15D14EF6"/>
    <w:rsid w:val="15D75869"/>
    <w:rsid w:val="15E275F7"/>
    <w:rsid w:val="15EE7A56"/>
    <w:rsid w:val="15F64E85"/>
    <w:rsid w:val="15FC6940"/>
    <w:rsid w:val="16024CD6"/>
    <w:rsid w:val="1609782F"/>
    <w:rsid w:val="160D318D"/>
    <w:rsid w:val="161226C3"/>
    <w:rsid w:val="16132FF7"/>
    <w:rsid w:val="161377E5"/>
    <w:rsid w:val="161D295D"/>
    <w:rsid w:val="16227A29"/>
    <w:rsid w:val="16251C98"/>
    <w:rsid w:val="1629539E"/>
    <w:rsid w:val="162A4AE5"/>
    <w:rsid w:val="16332F7C"/>
    <w:rsid w:val="16334B18"/>
    <w:rsid w:val="163B5B8B"/>
    <w:rsid w:val="163B7D04"/>
    <w:rsid w:val="163F3677"/>
    <w:rsid w:val="16404216"/>
    <w:rsid w:val="1642631D"/>
    <w:rsid w:val="164C6566"/>
    <w:rsid w:val="164C733C"/>
    <w:rsid w:val="164D273A"/>
    <w:rsid w:val="16674575"/>
    <w:rsid w:val="166E53B3"/>
    <w:rsid w:val="16810AFC"/>
    <w:rsid w:val="16821DA9"/>
    <w:rsid w:val="16826719"/>
    <w:rsid w:val="168E2528"/>
    <w:rsid w:val="16933115"/>
    <w:rsid w:val="16963E66"/>
    <w:rsid w:val="169B669B"/>
    <w:rsid w:val="16AD1E91"/>
    <w:rsid w:val="16AE1708"/>
    <w:rsid w:val="16C07884"/>
    <w:rsid w:val="16D90B34"/>
    <w:rsid w:val="16E13E6E"/>
    <w:rsid w:val="16EA0D76"/>
    <w:rsid w:val="16F47083"/>
    <w:rsid w:val="16FF09D2"/>
    <w:rsid w:val="17000F10"/>
    <w:rsid w:val="17074F11"/>
    <w:rsid w:val="170D5DF5"/>
    <w:rsid w:val="17150A2E"/>
    <w:rsid w:val="17151105"/>
    <w:rsid w:val="17286D0C"/>
    <w:rsid w:val="172B6C7E"/>
    <w:rsid w:val="17305031"/>
    <w:rsid w:val="17353427"/>
    <w:rsid w:val="173B532B"/>
    <w:rsid w:val="173E6AE4"/>
    <w:rsid w:val="173F012B"/>
    <w:rsid w:val="174437BC"/>
    <w:rsid w:val="17464064"/>
    <w:rsid w:val="174727ED"/>
    <w:rsid w:val="174D24DD"/>
    <w:rsid w:val="17552123"/>
    <w:rsid w:val="1758256F"/>
    <w:rsid w:val="175D5F5B"/>
    <w:rsid w:val="17607C9A"/>
    <w:rsid w:val="176242F4"/>
    <w:rsid w:val="1766215F"/>
    <w:rsid w:val="1768590F"/>
    <w:rsid w:val="17715B38"/>
    <w:rsid w:val="177D639A"/>
    <w:rsid w:val="178321B2"/>
    <w:rsid w:val="17867815"/>
    <w:rsid w:val="17871801"/>
    <w:rsid w:val="17916491"/>
    <w:rsid w:val="17986D1A"/>
    <w:rsid w:val="179A1A0B"/>
    <w:rsid w:val="179B7320"/>
    <w:rsid w:val="179E57D5"/>
    <w:rsid w:val="17A34975"/>
    <w:rsid w:val="17A60298"/>
    <w:rsid w:val="17A65215"/>
    <w:rsid w:val="17AF3CDF"/>
    <w:rsid w:val="17B96D8F"/>
    <w:rsid w:val="17BE0ABA"/>
    <w:rsid w:val="17C25ADF"/>
    <w:rsid w:val="17D62327"/>
    <w:rsid w:val="17DF329F"/>
    <w:rsid w:val="17E71C1F"/>
    <w:rsid w:val="17EE0DF9"/>
    <w:rsid w:val="17EE64B1"/>
    <w:rsid w:val="17F0701A"/>
    <w:rsid w:val="17F95A7B"/>
    <w:rsid w:val="18071A18"/>
    <w:rsid w:val="18092BFC"/>
    <w:rsid w:val="180938F8"/>
    <w:rsid w:val="18094F0A"/>
    <w:rsid w:val="18134C39"/>
    <w:rsid w:val="18194181"/>
    <w:rsid w:val="181C0B1B"/>
    <w:rsid w:val="181D2B9D"/>
    <w:rsid w:val="18241E46"/>
    <w:rsid w:val="182970C6"/>
    <w:rsid w:val="182A1548"/>
    <w:rsid w:val="182E4DAB"/>
    <w:rsid w:val="184448A4"/>
    <w:rsid w:val="1846083B"/>
    <w:rsid w:val="184C6602"/>
    <w:rsid w:val="184E3C00"/>
    <w:rsid w:val="184E6CCC"/>
    <w:rsid w:val="184F26A3"/>
    <w:rsid w:val="18532B20"/>
    <w:rsid w:val="185A0ED5"/>
    <w:rsid w:val="185A7FC2"/>
    <w:rsid w:val="18635E47"/>
    <w:rsid w:val="18652FC2"/>
    <w:rsid w:val="186F4FFF"/>
    <w:rsid w:val="18796C59"/>
    <w:rsid w:val="187F35D5"/>
    <w:rsid w:val="188668E4"/>
    <w:rsid w:val="18871757"/>
    <w:rsid w:val="188B7807"/>
    <w:rsid w:val="18995368"/>
    <w:rsid w:val="189964EA"/>
    <w:rsid w:val="18B30C10"/>
    <w:rsid w:val="18B54B9D"/>
    <w:rsid w:val="18B80406"/>
    <w:rsid w:val="18B807A5"/>
    <w:rsid w:val="18C179CD"/>
    <w:rsid w:val="18C34EE3"/>
    <w:rsid w:val="18C76764"/>
    <w:rsid w:val="18CC1CBF"/>
    <w:rsid w:val="18CE5ABA"/>
    <w:rsid w:val="18D314AE"/>
    <w:rsid w:val="18D962AC"/>
    <w:rsid w:val="18DA68BE"/>
    <w:rsid w:val="18E36490"/>
    <w:rsid w:val="18E63A9B"/>
    <w:rsid w:val="18E72618"/>
    <w:rsid w:val="18E72B38"/>
    <w:rsid w:val="18E7782C"/>
    <w:rsid w:val="18EC1D08"/>
    <w:rsid w:val="18F33707"/>
    <w:rsid w:val="1908257C"/>
    <w:rsid w:val="19093B33"/>
    <w:rsid w:val="190B07B0"/>
    <w:rsid w:val="190E4E8A"/>
    <w:rsid w:val="190F0683"/>
    <w:rsid w:val="19115796"/>
    <w:rsid w:val="1912263B"/>
    <w:rsid w:val="19126B92"/>
    <w:rsid w:val="19143FA0"/>
    <w:rsid w:val="1922382F"/>
    <w:rsid w:val="19226AEF"/>
    <w:rsid w:val="19276AFB"/>
    <w:rsid w:val="192E0037"/>
    <w:rsid w:val="192E743F"/>
    <w:rsid w:val="19305A9C"/>
    <w:rsid w:val="193E259F"/>
    <w:rsid w:val="194505FE"/>
    <w:rsid w:val="194901EF"/>
    <w:rsid w:val="194B4244"/>
    <w:rsid w:val="19526F56"/>
    <w:rsid w:val="195844C8"/>
    <w:rsid w:val="19593B1A"/>
    <w:rsid w:val="19596D49"/>
    <w:rsid w:val="19630DE6"/>
    <w:rsid w:val="19773BBE"/>
    <w:rsid w:val="197809AF"/>
    <w:rsid w:val="19851F28"/>
    <w:rsid w:val="19897679"/>
    <w:rsid w:val="199969D1"/>
    <w:rsid w:val="199C2C94"/>
    <w:rsid w:val="19A02CB1"/>
    <w:rsid w:val="19A527BE"/>
    <w:rsid w:val="19AA6E05"/>
    <w:rsid w:val="19B579D5"/>
    <w:rsid w:val="19BB441C"/>
    <w:rsid w:val="19BB79AC"/>
    <w:rsid w:val="19C0314D"/>
    <w:rsid w:val="19C06268"/>
    <w:rsid w:val="19C15B92"/>
    <w:rsid w:val="19CE68E2"/>
    <w:rsid w:val="19D13DFC"/>
    <w:rsid w:val="19D159ED"/>
    <w:rsid w:val="19D47AAA"/>
    <w:rsid w:val="19D70EF9"/>
    <w:rsid w:val="19EB0551"/>
    <w:rsid w:val="19EE2997"/>
    <w:rsid w:val="19EE3AE8"/>
    <w:rsid w:val="19F73202"/>
    <w:rsid w:val="19FB3199"/>
    <w:rsid w:val="1A0173C8"/>
    <w:rsid w:val="1A017E6A"/>
    <w:rsid w:val="1A0623EB"/>
    <w:rsid w:val="1A110D24"/>
    <w:rsid w:val="1A174234"/>
    <w:rsid w:val="1A252E71"/>
    <w:rsid w:val="1A27385F"/>
    <w:rsid w:val="1A296538"/>
    <w:rsid w:val="1A2E2E6A"/>
    <w:rsid w:val="1A347E68"/>
    <w:rsid w:val="1A3A1B8F"/>
    <w:rsid w:val="1A3A347D"/>
    <w:rsid w:val="1A465A19"/>
    <w:rsid w:val="1A4B7692"/>
    <w:rsid w:val="1A50273E"/>
    <w:rsid w:val="1A545102"/>
    <w:rsid w:val="1A592139"/>
    <w:rsid w:val="1A5E4965"/>
    <w:rsid w:val="1A625143"/>
    <w:rsid w:val="1A644AB4"/>
    <w:rsid w:val="1A6A12F1"/>
    <w:rsid w:val="1A704B32"/>
    <w:rsid w:val="1A803293"/>
    <w:rsid w:val="1A915A01"/>
    <w:rsid w:val="1A941474"/>
    <w:rsid w:val="1A9C1119"/>
    <w:rsid w:val="1A9D28AE"/>
    <w:rsid w:val="1AA311DA"/>
    <w:rsid w:val="1AAE21D3"/>
    <w:rsid w:val="1AB1581F"/>
    <w:rsid w:val="1ABD0897"/>
    <w:rsid w:val="1AC76DF0"/>
    <w:rsid w:val="1AD020E1"/>
    <w:rsid w:val="1AD324A0"/>
    <w:rsid w:val="1ADB6959"/>
    <w:rsid w:val="1ADF5B23"/>
    <w:rsid w:val="1AE6368B"/>
    <w:rsid w:val="1AEF6A73"/>
    <w:rsid w:val="1B0D0122"/>
    <w:rsid w:val="1B0F3B71"/>
    <w:rsid w:val="1B153CD8"/>
    <w:rsid w:val="1B280C01"/>
    <w:rsid w:val="1B2A3C6F"/>
    <w:rsid w:val="1B2D4875"/>
    <w:rsid w:val="1B2F0429"/>
    <w:rsid w:val="1B2F1FB1"/>
    <w:rsid w:val="1B34092A"/>
    <w:rsid w:val="1B37685E"/>
    <w:rsid w:val="1B3804E1"/>
    <w:rsid w:val="1B3F44E8"/>
    <w:rsid w:val="1B485930"/>
    <w:rsid w:val="1B4B7A22"/>
    <w:rsid w:val="1B4D72F6"/>
    <w:rsid w:val="1B4E4C23"/>
    <w:rsid w:val="1B503904"/>
    <w:rsid w:val="1B511169"/>
    <w:rsid w:val="1B5468D6"/>
    <w:rsid w:val="1B5622D2"/>
    <w:rsid w:val="1B6040D1"/>
    <w:rsid w:val="1B623BD8"/>
    <w:rsid w:val="1B783AC0"/>
    <w:rsid w:val="1B836D49"/>
    <w:rsid w:val="1B855497"/>
    <w:rsid w:val="1B8616A4"/>
    <w:rsid w:val="1B9000B4"/>
    <w:rsid w:val="1BA17641"/>
    <w:rsid w:val="1BA95E71"/>
    <w:rsid w:val="1BA9772A"/>
    <w:rsid w:val="1BAA7F40"/>
    <w:rsid w:val="1BAB0ADF"/>
    <w:rsid w:val="1BB41F8B"/>
    <w:rsid w:val="1BB95EF8"/>
    <w:rsid w:val="1BC1042C"/>
    <w:rsid w:val="1BCA58E7"/>
    <w:rsid w:val="1BCC7B02"/>
    <w:rsid w:val="1BCD078D"/>
    <w:rsid w:val="1BCF2A22"/>
    <w:rsid w:val="1BD13A63"/>
    <w:rsid w:val="1BE64424"/>
    <w:rsid w:val="1BF363BA"/>
    <w:rsid w:val="1C095D48"/>
    <w:rsid w:val="1C0C152B"/>
    <w:rsid w:val="1C162A9A"/>
    <w:rsid w:val="1C1D1215"/>
    <w:rsid w:val="1C220B3F"/>
    <w:rsid w:val="1C252F2A"/>
    <w:rsid w:val="1C30331C"/>
    <w:rsid w:val="1C3310EC"/>
    <w:rsid w:val="1C4133A8"/>
    <w:rsid w:val="1C413C34"/>
    <w:rsid w:val="1C4653FE"/>
    <w:rsid w:val="1C5020B1"/>
    <w:rsid w:val="1C576B97"/>
    <w:rsid w:val="1C645B21"/>
    <w:rsid w:val="1C7444A0"/>
    <w:rsid w:val="1C75322F"/>
    <w:rsid w:val="1C79732D"/>
    <w:rsid w:val="1C7A1077"/>
    <w:rsid w:val="1C850D11"/>
    <w:rsid w:val="1C976DEE"/>
    <w:rsid w:val="1C9B2383"/>
    <w:rsid w:val="1CB10147"/>
    <w:rsid w:val="1CC47F14"/>
    <w:rsid w:val="1CD5622E"/>
    <w:rsid w:val="1CE74348"/>
    <w:rsid w:val="1CE84C84"/>
    <w:rsid w:val="1CEE1205"/>
    <w:rsid w:val="1D12674F"/>
    <w:rsid w:val="1D1E24B3"/>
    <w:rsid w:val="1D2011CA"/>
    <w:rsid w:val="1D215DD4"/>
    <w:rsid w:val="1D216C8C"/>
    <w:rsid w:val="1D2642A2"/>
    <w:rsid w:val="1D364BAA"/>
    <w:rsid w:val="1D3E6637"/>
    <w:rsid w:val="1D481582"/>
    <w:rsid w:val="1D5406E1"/>
    <w:rsid w:val="1D58430D"/>
    <w:rsid w:val="1D5E3F75"/>
    <w:rsid w:val="1D6B2579"/>
    <w:rsid w:val="1D6E5DBE"/>
    <w:rsid w:val="1D77133C"/>
    <w:rsid w:val="1D79396B"/>
    <w:rsid w:val="1D8F1062"/>
    <w:rsid w:val="1D9040EF"/>
    <w:rsid w:val="1D962BCE"/>
    <w:rsid w:val="1D9F7CE6"/>
    <w:rsid w:val="1DA01FFF"/>
    <w:rsid w:val="1DA11B7B"/>
    <w:rsid w:val="1DA212BC"/>
    <w:rsid w:val="1DA33D00"/>
    <w:rsid w:val="1DA67191"/>
    <w:rsid w:val="1DA70534"/>
    <w:rsid w:val="1DAA6C81"/>
    <w:rsid w:val="1DB6149E"/>
    <w:rsid w:val="1DBD130F"/>
    <w:rsid w:val="1DBD7C30"/>
    <w:rsid w:val="1DC96E97"/>
    <w:rsid w:val="1DCE7800"/>
    <w:rsid w:val="1DD86B05"/>
    <w:rsid w:val="1DE166AA"/>
    <w:rsid w:val="1DE47350"/>
    <w:rsid w:val="1DE676BF"/>
    <w:rsid w:val="1DF31A9C"/>
    <w:rsid w:val="1DF42CCF"/>
    <w:rsid w:val="1DFA1DAC"/>
    <w:rsid w:val="1E035853"/>
    <w:rsid w:val="1E0457D8"/>
    <w:rsid w:val="1E0B2E1E"/>
    <w:rsid w:val="1E1249C9"/>
    <w:rsid w:val="1E1B3969"/>
    <w:rsid w:val="1E1C1FB6"/>
    <w:rsid w:val="1E1E39F6"/>
    <w:rsid w:val="1E1E4764"/>
    <w:rsid w:val="1E36252F"/>
    <w:rsid w:val="1E3649B9"/>
    <w:rsid w:val="1E427900"/>
    <w:rsid w:val="1E45337F"/>
    <w:rsid w:val="1E4E1D03"/>
    <w:rsid w:val="1E5F5CBE"/>
    <w:rsid w:val="1E616D7F"/>
    <w:rsid w:val="1E6360C7"/>
    <w:rsid w:val="1E724BB4"/>
    <w:rsid w:val="1E7864E7"/>
    <w:rsid w:val="1E7C71BB"/>
    <w:rsid w:val="1E805FB4"/>
    <w:rsid w:val="1E815B99"/>
    <w:rsid w:val="1E840C2B"/>
    <w:rsid w:val="1E86760A"/>
    <w:rsid w:val="1E8979FE"/>
    <w:rsid w:val="1E95623E"/>
    <w:rsid w:val="1E95787D"/>
    <w:rsid w:val="1E990AA4"/>
    <w:rsid w:val="1EA121D8"/>
    <w:rsid w:val="1EA638ED"/>
    <w:rsid w:val="1EB10427"/>
    <w:rsid w:val="1EB1097C"/>
    <w:rsid w:val="1EBA41FF"/>
    <w:rsid w:val="1EBB0780"/>
    <w:rsid w:val="1ECC1DAB"/>
    <w:rsid w:val="1ECE39AE"/>
    <w:rsid w:val="1EDA363C"/>
    <w:rsid w:val="1EE3747A"/>
    <w:rsid w:val="1EE92B5C"/>
    <w:rsid w:val="1EEE0DF0"/>
    <w:rsid w:val="1EF06916"/>
    <w:rsid w:val="1EFE230E"/>
    <w:rsid w:val="1EFE611D"/>
    <w:rsid w:val="1F0114FF"/>
    <w:rsid w:val="1F04151D"/>
    <w:rsid w:val="1F060BB9"/>
    <w:rsid w:val="1F061279"/>
    <w:rsid w:val="1F066139"/>
    <w:rsid w:val="1F086E69"/>
    <w:rsid w:val="1F240CB5"/>
    <w:rsid w:val="1F2509A1"/>
    <w:rsid w:val="1F2C5BF5"/>
    <w:rsid w:val="1F306850"/>
    <w:rsid w:val="1F3B0282"/>
    <w:rsid w:val="1F3D004E"/>
    <w:rsid w:val="1F3F0880"/>
    <w:rsid w:val="1F440351"/>
    <w:rsid w:val="1F547648"/>
    <w:rsid w:val="1F5B3BC9"/>
    <w:rsid w:val="1F5F1CED"/>
    <w:rsid w:val="1F6466AD"/>
    <w:rsid w:val="1F7A18F4"/>
    <w:rsid w:val="1F953A3B"/>
    <w:rsid w:val="1F9805FE"/>
    <w:rsid w:val="1F9966D3"/>
    <w:rsid w:val="1F9C4CF0"/>
    <w:rsid w:val="1F9F0DC8"/>
    <w:rsid w:val="1FA50F15"/>
    <w:rsid w:val="1FAA65AA"/>
    <w:rsid w:val="1FAD3DC4"/>
    <w:rsid w:val="1FC116CD"/>
    <w:rsid w:val="1FC735F3"/>
    <w:rsid w:val="1FDB70D9"/>
    <w:rsid w:val="1FE025A0"/>
    <w:rsid w:val="1FE6311B"/>
    <w:rsid w:val="1FE6428E"/>
    <w:rsid w:val="1FF218EE"/>
    <w:rsid w:val="1FF35377"/>
    <w:rsid w:val="2004170A"/>
    <w:rsid w:val="20085831"/>
    <w:rsid w:val="200A081E"/>
    <w:rsid w:val="200B2E60"/>
    <w:rsid w:val="2010690E"/>
    <w:rsid w:val="20150C7D"/>
    <w:rsid w:val="201A11BE"/>
    <w:rsid w:val="201E255B"/>
    <w:rsid w:val="20207D22"/>
    <w:rsid w:val="202408C8"/>
    <w:rsid w:val="20247B33"/>
    <w:rsid w:val="2025476B"/>
    <w:rsid w:val="202714B9"/>
    <w:rsid w:val="202B281E"/>
    <w:rsid w:val="202B2B4C"/>
    <w:rsid w:val="20327ED3"/>
    <w:rsid w:val="203902BE"/>
    <w:rsid w:val="203A77B8"/>
    <w:rsid w:val="204123F7"/>
    <w:rsid w:val="204358F4"/>
    <w:rsid w:val="20472FCA"/>
    <w:rsid w:val="204B7DB3"/>
    <w:rsid w:val="20573EE6"/>
    <w:rsid w:val="20580717"/>
    <w:rsid w:val="205A127D"/>
    <w:rsid w:val="20674E60"/>
    <w:rsid w:val="20695FCB"/>
    <w:rsid w:val="206B261C"/>
    <w:rsid w:val="20735512"/>
    <w:rsid w:val="20742CD1"/>
    <w:rsid w:val="207672EF"/>
    <w:rsid w:val="207A331C"/>
    <w:rsid w:val="207A5D57"/>
    <w:rsid w:val="207C43F8"/>
    <w:rsid w:val="20814EFB"/>
    <w:rsid w:val="208337BA"/>
    <w:rsid w:val="208A43E5"/>
    <w:rsid w:val="20914128"/>
    <w:rsid w:val="20922286"/>
    <w:rsid w:val="209F0482"/>
    <w:rsid w:val="20A43E5C"/>
    <w:rsid w:val="20BD38E3"/>
    <w:rsid w:val="20BE2EA1"/>
    <w:rsid w:val="20C2619D"/>
    <w:rsid w:val="20C46ABD"/>
    <w:rsid w:val="20C504E1"/>
    <w:rsid w:val="20CA2961"/>
    <w:rsid w:val="20DC70AF"/>
    <w:rsid w:val="20DE7E97"/>
    <w:rsid w:val="20F84C60"/>
    <w:rsid w:val="20F900A6"/>
    <w:rsid w:val="20F93EB3"/>
    <w:rsid w:val="20FB6A4A"/>
    <w:rsid w:val="20FC2382"/>
    <w:rsid w:val="21050A76"/>
    <w:rsid w:val="21053D95"/>
    <w:rsid w:val="21091E25"/>
    <w:rsid w:val="2111669A"/>
    <w:rsid w:val="21122A7A"/>
    <w:rsid w:val="211B7CFA"/>
    <w:rsid w:val="211E3FF3"/>
    <w:rsid w:val="21232157"/>
    <w:rsid w:val="213F1567"/>
    <w:rsid w:val="2140571C"/>
    <w:rsid w:val="21406FA7"/>
    <w:rsid w:val="2144469A"/>
    <w:rsid w:val="21484843"/>
    <w:rsid w:val="214A566B"/>
    <w:rsid w:val="214E34B8"/>
    <w:rsid w:val="215F4810"/>
    <w:rsid w:val="21607BCC"/>
    <w:rsid w:val="21664758"/>
    <w:rsid w:val="21667363"/>
    <w:rsid w:val="21747B51"/>
    <w:rsid w:val="217B07D6"/>
    <w:rsid w:val="217E2260"/>
    <w:rsid w:val="21836487"/>
    <w:rsid w:val="21863561"/>
    <w:rsid w:val="2192709C"/>
    <w:rsid w:val="21983569"/>
    <w:rsid w:val="21986266"/>
    <w:rsid w:val="21A60A43"/>
    <w:rsid w:val="21B00FBB"/>
    <w:rsid w:val="21B27D0D"/>
    <w:rsid w:val="21B433D5"/>
    <w:rsid w:val="21B71A49"/>
    <w:rsid w:val="21BA4737"/>
    <w:rsid w:val="21BE01D3"/>
    <w:rsid w:val="21BF7025"/>
    <w:rsid w:val="21C1030D"/>
    <w:rsid w:val="21C3358C"/>
    <w:rsid w:val="21C41CC3"/>
    <w:rsid w:val="21C44A9A"/>
    <w:rsid w:val="21C85CED"/>
    <w:rsid w:val="21D173FB"/>
    <w:rsid w:val="21DF6698"/>
    <w:rsid w:val="21E87C45"/>
    <w:rsid w:val="21E93CBD"/>
    <w:rsid w:val="21EC0618"/>
    <w:rsid w:val="21EC290D"/>
    <w:rsid w:val="21ED3EE6"/>
    <w:rsid w:val="21EF33DA"/>
    <w:rsid w:val="21F058D6"/>
    <w:rsid w:val="21F632ED"/>
    <w:rsid w:val="21FC3761"/>
    <w:rsid w:val="2201525D"/>
    <w:rsid w:val="220B19F7"/>
    <w:rsid w:val="220B63E2"/>
    <w:rsid w:val="220F17A9"/>
    <w:rsid w:val="221278CB"/>
    <w:rsid w:val="22185880"/>
    <w:rsid w:val="22194198"/>
    <w:rsid w:val="221A0DB4"/>
    <w:rsid w:val="221D551E"/>
    <w:rsid w:val="22211DCF"/>
    <w:rsid w:val="22275D7A"/>
    <w:rsid w:val="222B7BBD"/>
    <w:rsid w:val="222E3C91"/>
    <w:rsid w:val="222F49F4"/>
    <w:rsid w:val="2234120F"/>
    <w:rsid w:val="22346D7D"/>
    <w:rsid w:val="223B3EEA"/>
    <w:rsid w:val="22424FE6"/>
    <w:rsid w:val="224650EC"/>
    <w:rsid w:val="22466998"/>
    <w:rsid w:val="224C11BF"/>
    <w:rsid w:val="224C498B"/>
    <w:rsid w:val="224D407F"/>
    <w:rsid w:val="224F0245"/>
    <w:rsid w:val="224F5483"/>
    <w:rsid w:val="22533907"/>
    <w:rsid w:val="225B2C40"/>
    <w:rsid w:val="226376D9"/>
    <w:rsid w:val="226567AC"/>
    <w:rsid w:val="22661AB4"/>
    <w:rsid w:val="226A3945"/>
    <w:rsid w:val="226E1DB3"/>
    <w:rsid w:val="227455A4"/>
    <w:rsid w:val="22772D02"/>
    <w:rsid w:val="22961D6C"/>
    <w:rsid w:val="22966C23"/>
    <w:rsid w:val="22987E9D"/>
    <w:rsid w:val="229A330C"/>
    <w:rsid w:val="229D2A06"/>
    <w:rsid w:val="229D4131"/>
    <w:rsid w:val="229E1534"/>
    <w:rsid w:val="22A23E79"/>
    <w:rsid w:val="22A91526"/>
    <w:rsid w:val="22AD0879"/>
    <w:rsid w:val="22B467C5"/>
    <w:rsid w:val="22B65979"/>
    <w:rsid w:val="22BB61E1"/>
    <w:rsid w:val="22BD3BC7"/>
    <w:rsid w:val="22C462E7"/>
    <w:rsid w:val="22C54EEF"/>
    <w:rsid w:val="22C808A2"/>
    <w:rsid w:val="22CB29A8"/>
    <w:rsid w:val="22CC1448"/>
    <w:rsid w:val="22CE6B3A"/>
    <w:rsid w:val="22D45E02"/>
    <w:rsid w:val="22DA7B5E"/>
    <w:rsid w:val="22DF0DA2"/>
    <w:rsid w:val="22F132C7"/>
    <w:rsid w:val="22FA4207"/>
    <w:rsid w:val="22FB4D0B"/>
    <w:rsid w:val="22FB6A70"/>
    <w:rsid w:val="23056BE4"/>
    <w:rsid w:val="231177A3"/>
    <w:rsid w:val="23124620"/>
    <w:rsid w:val="23177C50"/>
    <w:rsid w:val="231E6DD6"/>
    <w:rsid w:val="2324520A"/>
    <w:rsid w:val="23252B76"/>
    <w:rsid w:val="232D2E29"/>
    <w:rsid w:val="23323F86"/>
    <w:rsid w:val="23326BB4"/>
    <w:rsid w:val="233A0AA7"/>
    <w:rsid w:val="233E027C"/>
    <w:rsid w:val="234171BE"/>
    <w:rsid w:val="234F1F97"/>
    <w:rsid w:val="234F2190"/>
    <w:rsid w:val="235975E1"/>
    <w:rsid w:val="235A2B72"/>
    <w:rsid w:val="2369135E"/>
    <w:rsid w:val="23722BC5"/>
    <w:rsid w:val="237D5507"/>
    <w:rsid w:val="23860F70"/>
    <w:rsid w:val="23874A9E"/>
    <w:rsid w:val="23897339"/>
    <w:rsid w:val="238A3A61"/>
    <w:rsid w:val="238B4E5F"/>
    <w:rsid w:val="23943321"/>
    <w:rsid w:val="239A4DE5"/>
    <w:rsid w:val="239B4BDC"/>
    <w:rsid w:val="23A80445"/>
    <w:rsid w:val="23AA2DDC"/>
    <w:rsid w:val="23AB3753"/>
    <w:rsid w:val="23AB5C0B"/>
    <w:rsid w:val="23AF2BA6"/>
    <w:rsid w:val="23B10B73"/>
    <w:rsid w:val="23B753E0"/>
    <w:rsid w:val="23B812F6"/>
    <w:rsid w:val="23C358BC"/>
    <w:rsid w:val="23CF11EF"/>
    <w:rsid w:val="23EE4C2E"/>
    <w:rsid w:val="23EF6FDE"/>
    <w:rsid w:val="23F171DD"/>
    <w:rsid w:val="23F24EDE"/>
    <w:rsid w:val="23FD7C62"/>
    <w:rsid w:val="23FE325B"/>
    <w:rsid w:val="23FE417B"/>
    <w:rsid w:val="24063671"/>
    <w:rsid w:val="240849CC"/>
    <w:rsid w:val="24092722"/>
    <w:rsid w:val="240D11FB"/>
    <w:rsid w:val="240E157D"/>
    <w:rsid w:val="241248AA"/>
    <w:rsid w:val="24131CFB"/>
    <w:rsid w:val="24156E1F"/>
    <w:rsid w:val="24165CAC"/>
    <w:rsid w:val="24207B3A"/>
    <w:rsid w:val="24253225"/>
    <w:rsid w:val="24294678"/>
    <w:rsid w:val="24332BD3"/>
    <w:rsid w:val="243F3E9B"/>
    <w:rsid w:val="2443357E"/>
    <w:rsid w:val="24443260"/>
    <w:rsid w:val="244903E2"/>
    <w:rsid w:val="244E18EA"/>
    <w:rsid w:val="24583D52"/>
    <w:rsid w:val="2458741A"/>
    <w:rsid w:val="247509DD"/>
    <w:rsid w:val="24793672"/>
    <w:rsid w:val="247A698A"/>
    <w:rsid w:val="247C5F34"/>
    <w:rsid w:val="247D4CF8"/>
    <w:rsid w:val="248B4AD6"/>
    <w:rsid w:val="248B7B1A"/>
    <w:rsid w:val="248F3BA6"/>
    <w:rsid w:val="24915D3F"/>
    <w:rsid w:val="249D00AC"/>
    <w:rsid w:val="24A47984"/>
    <w:rsid w:val="24AA201D"/>
    <w:rsid w:val="24C10BC5"/>
    <w:rsid w:val="24C34F01"/>
    <w:rsid w:val="24C905AD"/>
    <w:rsid w:val="24CC0719"/>
    <w:rsid w:val="24CE5B88"/>
    <w:rsid w:val="24CF0004"/>
    <w:rsid w:val="24D3426C"/>
    <w:rsid w:val="24D43E65"/>
    <w:rsid w:val="24D461AE"/>
    <w:rsid w:val="24D83A1F"/>
    <w:rsid w:val="24E473D6"/>
    <w:rsid w:val="24F353CE"/>
    <w:rsid w:val="24F77EC0"/>
    <w:rsid w:val="24FD4AC9"/>
    <w:rsid w:val="2506432F"/>
    <w:rsid w:val="25086C65"/>
    <w:rsid w:val="250E44D1"/>
    <w:rsid w:val="250F276F"/>
    <w:rsid w:val="25123C48"/>
    <w:rsid w:val="252575A0"/>
    <w:rsid w:val="25277163"/>
    <w:rsid w:val="2534533D"/>
    <w:rsid w:val="25394A15"/>
    <w:rsid w:val="25445C0D"/>
    <w:rsid w:val="254A5743"/>
    <w:rsid w:val="254A6EED"/>
    <w:rsid w:val="256133C6"/>
    <w:rsid w:val="2561612C"/>
    <w:rsid w:val="2563786A"/>
    <w:rsid w:val="256517BD"/>
    <w:rsid w:val="256C0CC0"/>
    <w:rsid w:val="256D7AE7"/>
    <w:rsid w:val="256F79A3"/>
    <w:rsid w:val="257234AA"/>
    <w:rsid w:val="25744AC4"/>
    <w:rsid w:val="257D6329"/>
    <w:rsid w:val="257F4970"/>
    <w:rsid w:val="258141AC"/>
    <w:rsid w:val="258C171A"/>
    <w:rsid w:val="25920CD2"/>
    <w:rsid w:val="259278C9"/>
    <w:rsid w:val="25983F7B"/>
    <w:rsid w:val="259B1F5A"/>
    <w:rsid w:val="259B76C0"/>
    <w:rsid w:val="259D1937"/>
    <w:rsid w:val="25A64B31"/>
    <w:rsid w:val="25B032A3"/>
    <w:rsid w:val="25BA5F7A"/>
    <w:rsid w:val="25BA79BD"/>
    <w:rsid w:val="25BE6C7B"/>
    <w:rsid w:val="25C47994"/>
    <w:rsid w:val="25CA0BDC"/>
    <w:rsid w:val="25CD43BE"/>
    <w:rsid w:val="25CF72AB"/>
    <w:rsid w:val="25E04A8B"/>
    <w:rsid w:val="25E55178"/>
    <w:rsid w:val="25EB5630"/>
    <w:rsid w:val="25F63382"/>
    <w:rsid w:val="25FC0808"/>
    <w:rsid w:val="26010582"/>
    <w:rsid w:val="26034D53"/>
    <w:rsid w:val="260B6470"/>
    <w:rsid w:val="260C2046"/>
    <w:rsid w:val="260C44CD"/>
    <w:rsid w:val="261051DB"/>
    <w:rsid w:val="26111092"/>
    <w:rsid w:val="2614137B"/>
    <w:rsid w:val="261509D4"/>
    <w:rsid w:val="26153106"/>
    <w:rsid w:val="26155168"/>
    <w:rsid w:val="261F2C6E"/>
    <w:rsid w:val="2622149E"/>
    <w:rsid w:val="262E1E8B"/>
    <w:rsid w:val="263227F8"/>
    <w:rsid w:val="2640112E"/>
    <w:rsid w:val="265717EE"/>
    <w:rsid w:val="265E2377"/>
    <w:rsid w:val="26691D5B"/>
    <w:rsid w:val="266A16A4"/>
    <w:rsid w:val="26707D84"/>
    <w:rsid w:val="26715CFB"/>
    <w:rsid w:val="267E0CCD"/>
    <w:rsid w:val="26832553"/>
    <w:rsid w:val="26870241"/>
    <w:rsid w:val="26886DAD"/>
    <w:rsid w:val="26997E80"/>
    <w:rsid w:val="269A0AED"/>
    <w:rsid w:val="269C3C6A"/>
    <w:rsid w:val="26A034B6"/>
    <w:rsid w:val="26A91DFC"/>
    <w:rsid w:val="26AA28AF"/>
    <w:rsid w:val="26AB23D8"/>
    <w:rsid w:val="26AD67AF"/>
    <w:rsid w:val="26B674D1"/>
    <w:rsid w:val="26B76E01"/>
    <w:rsid w:val="26BC5CC8"/>
    <w:rsid w:val="26BE08C7"/>
    <w:rsid w:val="26C427D4"/>
    <w:rsid w:val="26C866AC"/>
    <w:rsid w:val="26CD35F9"/>
    <w:rsid w:val="26D057A2"/>
    <w:rsid w:val="26DA3F62"/>
    <w:rsid w:val="26DC376E"/>
    <w:rsid w:val="26DE6052"/>
    <w:rsid w:val="26E256DE"/>
    <w:rsid w:val="26E26F13"/>
    <w:rsid w:val="26E86B9F"/>
    <w:rsid w:val="26F02B3E"/>
    <w:rsid w:val="26F17903"/>
    <w:rsid w:val="26F33261"/>
    <w:rsid w:val="26F606C4"/>
    <w:rsid w:val="26FB054E"/>
    <w:rsid w:val="270216C1"/>
    <w:rsid w:val="27063F24"/>
    <w:rsid w:val="270C6097"/>
    <w:rsid w:val="270E3F73"/>
    <w:rsid w:val="2710535A"/>
    <w:rsid w:val="27146728"/>
    <w:rsid w:val="27162882"/>
    <w:rsid w:val="27166172"/>
    <w:rsid w:val="271A1823"/>
    <w:rsid w:val="271B49D0"/>
    <w:rsid w:val="271C0183"/>
    <w:rsid w:val="271D264A"/>
    <w:rsid w:val="271D5449"/>
    <w:rsid w:val="271F3026"/>
    <w:rsid w:val="27207725"/>
    <w:rsid w:val="272E26D1"/>
    <w:rsid w:val="27397709"/>
    <w:rsid w:val="274B16B4"/>
    <w:rsid w:val="275857B7"/>
    <w:rsid w:val="276A4A1C"/>
    <w:rsid w:val="276E1C0F"/>
    <w:rsid w:val="27725403"/>
    <w:rsid w:val="27823E91"/>
    <w:rsid w:val="27846B0B"/>
    <w:rsid w:val="27876D04"/>
    <w:rsid w:val="278F4242"/>
    <w:rsid w:val="27936015"/>
    <w:rsid w:val="279B684D"/>
    <w:rsid w:val="27A14592"/>
    <w:rsid w:val="27A91D58"/>
    <w:rsid w:val="27AB514C"/>
    <w:rsid w:val="27B04698"/>
    <w:rsid w:val="27B54BA0"/>
    <w:rsid w:val="27BB4EA7"/>
    <w:rsid w:val="27C53356"/>
    <w:rsid w:val="27C8760C"/>
    <w:rsid w:val="27CB4F27"/>
    <w:rsid w:val="27D40360"/>
    <w:rsid w:val="27D53F28"/>
    <w:rsid w:val="27DE3507"/>
    <w:rsid w:val="27F53FE7"/>
    <w:rsid w:val="280002CB"/>
    <w:rsid w:val="28001398"/>
    <w:rsid w:val="2807238C"/>
    <w:rsid w:val="280F766B"/>
    <w:rsid w:val="2814202B"/>
    <w:rsid w:val="281D44F4"/>
    <w:rsid w:val="28234214"/>
    <w:rsid w:val="282729DD"/>
    <w:rsid w:val="282B6C11"/>
    <w:rsid w:val="282C5A6C"/>
    <w:rsid w:val="28302C16"/>
    <w:rsid w:val="283748D1"/>
    <w:rsid w:val="28382E29"/>
    <w:rsid w:val="283E523E"/>
    <w:rsid w:val="28497ED3"/>
    <w:rsid w:val="28576450"/>
    <w:rsid w:val="286A05DF"/>
    <w:rsid w:val="286A5EEA"/>
    <w:rsid w:val="286E1E2D"/>
    <w:rsid w:val="28730004"/>
    <w:rsid w:val="28814CE2"/>
    <w:rsid w:val="289211B4"/>
    <w:rsid w:val="289D67B5"/>
    <w:rsid w:val="28A271D5"/>
    <w:rsid w:val="28A54BF1"/>
    <w:rsid w:val="28A7322C"/>
    <w:rsid w:val="28A87923"/>
    <w:rsid w:val="28B927DF"/>
    <w:rsid w:val="28BE7A85"/>
    <w:rsid w:val="28C122CB"/>
    <w:rsid w:val="28D32C4C"/>
    <w:rsid w:val="28D63020"/>
    <w:rsid w:val="28DA0A2B"/>
    <w:rsid w:val="28E22A2E"/>
    <w:rsid w:val="28E72633"/>
    <w:rsid w:val="28EC2708"/>
    <w:rsid w:val="28ED683F"/>
    <w:rsid w:val="28F52A4A"/>
    <w:rsid w:val="28FA3EA6"/>
    <w:rsid w:val="29080295"/>
    <w:rsid w:val="290C0712"/>
    <w:rsid w:val="29194CBB"/>
    <w:rsid w:val="293F1D70"/>
    <w:rsid w:val="294E538A"/>
    <w:rsid w:val="29665177"/>
    <w:rsid w:val="296779AA"/>
    <w:rsid w:val="296D4AE5"/>
    <w:rsid w:val="296E29B3"/>
    <w:rsid w:val="29705D42"/>
    <w:rsid w:val="297665B1"/>
    <w:rsid w:val="29836D8F"/>
    <w:rsid w:val="298D2A2D"/>
    <w:rsid w:val="29911D2A"/>
    <w:rsid w:val="29A0718A"/>
    <w:rsid w:val="29AC6EB1"/>
    <w:rsid w:val="29AD1C87"/>
    <w:rsid w:val="29B43D6F"/>
    <w:rsid w:val="29B726F0"/>
    <w:rsid w:val="29B81DBD"/>
    <w:rsid w:val="29BF6B0B"/>
    <w:rsid w:val="29C275A9"/>
    <w:rsid w:val="29C73B59"/>
    <w:rsid w:val="29CB572B"/>
    <w:rsid w:val="29D56D78"/>
    <w:rsid w:val="29DD1BCE"/>
    <w:rsid w:val="29F40C71"/>
    <w:rsid w:val="2A016B5D"/>
    <w:rsid w:val="2A0D0CC4"/>
    <w:rsid w:val="2A0F7D89"/>
    <w:rsid w:val="2A1060BE"/>
    <w:rsid w:val="2A162CF0"/>
    <w:rsid w:val="2A1738B0"/>
    <w:rsid w:val="2A1876C6"/>
    <w:rsid w:val="2A1A7A9F"/>
    <w:rsid w:val="2A1C442B"/>
    <w:rsid w:val="2A25006E"/>
    <w:rsid w:val="2A2C347B"/>
    <w:rsid w:val="2A2C4A41"/>
    <w:rsid w:val="2A2E0A89"/>
    <w:rsid w:val="2A310EA7"/>
    <w:rsid w:val="2A453803"/>
    <w:rsid w:val="2A4C7DF6"/>
    <w:rsid w:val="2A55059E"/>
    <w:rsid w:val="2A575D47"/>
    <w:rsid w:val="2A5D1CE6"/>
    <w:rsid w:val="2A5F3191"/>
    <w:rsid w:val="2A5F3ADC"/>
    <w:rsid w:val="2A5F4507"/>
    <w:rsid w:val="2A6C1DD7"/>
    <w:rsid w:val="2A6C5D0A"/>
    <w:rsid w:val="2A701253"/>
    <w:rsid w:val="2A9C2048"/>
    <w:rsid w:val="2A9C22E7"/>
    <w:rsid w:val="2AA45AB2"/>
    <w:rsid w:val="2AC61463"/>
    <w:rsid w:val="2ADB0971"/>
    <w:rsid w:val="2ADF5DD4"/>
    <w:rsid w:val="2AE049E4"/>
    <w:rsid w:val="2AE25DAD"/>
    <w:rsid w:val="2AF14141"/>
    <w:rsid w:val="2AF87399"/>
    <w:rsid w:val="2B084B02"/>
    <w:rsid w:val="2B0F7530"/>
    <w:rsid w:val="2B15743C"/>
    <w:rsid w:val="2B186DC4"/>
    <w:rsid w:val="2B1F5AB9"/>
    <w:rsid w:val="2B220487"/>
    <w:rsid w:val="2B2615C9"/>
    <w:rsid w:val="2B2D7806"/>
    <w:rsid w:val="2B3719C5"/>
    <w:rsid w:val="2B434040"/>
    <w:rsid w:val="2B493F55"/>
    <w:rsid w:val="2B535728"/>
    <w:rsid w:val="2B54647E"/>
    <w:rsid w:val="2B5A0337"/>
    <w:rsid w:val="2B6455F9"/>
    <w:rsid w:val="2B66716A"/>
    <w:rsid w:val="2B681C0A"/>
    <w:rsid w:val="2B6C37C8"/>
    <w:rsid w:val="2B7A5CAF"/>
    <w:rsid w:val="2B7D44E5"/>
    <w:rsid w:val="2B9D1BD3"/>
    <w:rsid w:val="2BA560B8"/>
    <w:rsid w:val="2BA61F79"/>
    <w:rsid w:val="2BAC62BA"/>
    <w:rsid w:val="2BB222EF"/>
    <w:rsid w:val="2BB5437A"/>
    <w:rsid w:val="2BC5322F"/>
    <w:rsid w:val="2BC53A12"/>
    <w:rsid w:val="2BD02F1E"/>
    <w:rsid w:val="2BD81CE3"/>
    <w:rsid w:val="2BDD16E8"/>
    <w:rsid w:val="2BDE4197"/>
    <w:rsid w:val="2BDF40C3"/>
    <w:rsid w:val="2BE2738B"/>
    <w:rsid w:val="2BE974A5"/>
    <w:rsid w:val="2BE97502"/>
    <w:rsid w:val="2BF11F1F"/>
    <w:rsid w:val="2BF64BB8"/>
    <w:rsid w:val="2BF957FB"/>
    <w:rsid w:val="2C02237E"/>
    <w:rsid w:val="2C044FCB"/>
    <w:rsid w:val="2C08790F"/>
    <w:rsid w:val="2C0C0AE8"/>
    <w:rsid w:val="2C1018B8"/>
    <w:rsid w:val="2C116F60"/>
    <w:rsid w:val="2C12027C"/>
    <w:rsid w:val="2C1B6F9C"/>
    <w:rsid w:val="2C265BD4"/>
    <w:rsid w:val="2C345A60"/>
    <w:rsid w:val="2C401F63"/>
    <w:rsid w:val="2C441B80"/>
    <w:rsid w:val="2C446005"/>
    <w:rsid w:val="2C494ACE"/>
    <w:rsid w:val="2C4E7372"/>
    <w:rsid w:val="2C532F64"/>
    <w:rsid w:val="2C5348C6"/>
    <w:rsid w:val="2C584F53"/>
    <w:rsid w:val="2C5D1C85"/>
    <w:rsid w:val="2C6877BF"/>
    <w:rsid w:val="2C6907F8"/>
    <w:rsid w:val="2C7C300F"/>
    <w:rsid w:val="2C81201E"/>
    <w:rsid w:val="2C813804"/>
    <w:rsid w:val="2C8139BA"/>
    <w:rsid w:val="2C876760"/>
    <w:rsid w:val="2C933045"/>
    <w:rsid w:val="2C9A74DC"/>
    <w:rsid w:val="2CA35D25"/>
    <w:rsid w:val="2CA46564"/>
    <w:rsid w:val="2CA61FA3"/>
    <w:rsid w:val="2CA97940"/>
    <w:rsid w:val="2CAB291C"/>
    <w:rsid w:val="2CAD1E3D"/>
    <w:rsid w:val="2CAD5199"/>
    <w:rsid w:val="2CB3364B"/>
    <w:rsid w:val="2CBB4EED"/>
    <w:rsid w:val="2CBC7A94"/>
    <w:rsid w:val="2CC06F3C"/>
    <w:rsid w:val="2CC71744"/>
    <w:rsid w:val="2CD14B53"/>
    <w:rsid w:val="2CEB67F8"/>
    <w:rsid w:val="2CF92401"/>
    <w:rsid w:val="2CFA22F0"/>
    <w:rsid w:val="2CFE774E"/>
    <w:rsid w:val="2D005FCC"/>
    <w:rsid w:val="2D0116EE"/>
    <w:rsid w:val="2D0223EB"/>
    <w:rsid w:val="2D084A24"/>
    <w:rsid w:val="2D12039F"/>
    <w:rsid w:val="2D1265F1"/>
    <w:rsid w:val="2D17643B"/>
    <w:rsid w:val="2D1D6EFA"/>
    <w:rsid w:val="2D1F59ED"/>
    <w:rsid w:val="2D244788"/>
    <w:rsid w:val="2D314573"/>
    <w:rsid w:val="2D3319B5"/>
    <w:rsid w:val="2D3421A6"/>
    <w:rsid w:val="2D3428DC"/>
    <w:rsid w:val="2D3E1C0F"/>
    <w:rsid w:val="2D490FC0"/>
    <w:rsid w:val="2D4C4AC2"/>
    <w:rsid w:val="2D4F51C9"/>
    <w:rsid w:val="2D5033E4"/>
    <w:rsid w:val="2D520C78"/>
    <w:rsid w:val="2D52464C"/>
    <w:rsid w:val="2D534C74"/>
    <w:rsid w:val="2D5704A8"/>
    <w:rsid w:val="2D5A77D4"/>
    <w:rsid w:val="2D6023B1"/>
    <w:rsid w:val="2D60735C"/>
    <w:rsid w:val="2D67693D"/>
    <w:rsid w:val="2D6A0110"/>
    <w:rsid w:val="2D6A0B5D"/>
    <w:rsid w:val="2D71730D"/>
    <w:rsid w:val="2D8404BB"/>
    <w:rsid w:val="2D850B71"/>
    <w:rsid w:val="2D851F8F"/>
    <w:rsid w:val="2D881CC5"/>
    <w:rsid w:val="2D8E6B8C"/>
    <w:rsid w:val="2D9042F7"/>
    <w:rsid w:val="2D940DB4"/>
    <w:rsid w:val="2D9D1E16"/>
    <w:rsid w:val="2DA5706B"/>
    <w:rsid w:val="2DA82D6B"/>
    <w:rsid w:val="2DB135CC"/>
    <w:rsid w:val="2DB305BE"/>
    <w:rsid w:val="2DB45D05"/>
    <w:rsid w:val="2DB72799"/>
    <w:rsid w:val="2DC63307"/>
    <w:rsid w:val="2DD2603B"/>
    <w:rsid w:val="2DD523EE"/>
    <w:rsid w:val="2DDA3473"/>
    <w:rsid w:val="2DDD217B"/>
    <w:rsid w:val="2DE03641"/>
    <w:rsid w:val="2DE93421"/>
    <w:rsid w:val="2DEB2508"/>
    <w:rsid w:val="2DFF2801"/>
    <w:rsid w:val="2E003A71"/>
    <w:rsid w:val="2E0423DE"/>
    <w:rsid w:val="2E093237"/>
    <w:rsid w:val="2E0F5890"/>
    <w:rsid w:val="2E1152DC"/>
    <w:rsid w:val="2E2A0244"/>
    <w:rsid w:val="2E2A1636"/>
    <w:rsid w:val="2E2E2D2D"/>
    <w:rsid w:val="2E3D144C"/>
    <w:rsid w:val="2E47051C"/>
    <w:rsid w:val="2E593BAE"/>
    <w:rsid w:val="2E5B6275"/>
    <w:rsid w:val="2E6609A2"/>
    <w:rsid w:val="2E683E74"/>
    <w:rsid w:val="2E6B420B"/>
    <w:rsid w:val="2E8250B1"/>
    <w:rsid w:val="2E827F52"/>
    <w:rsid w:val="2E85094C"/>
    <w:rsid w:val="2E893126"/>
    <w:rsid w:val="2E8C5556"/>
    <w:rsid w:val="2E8C55BF"/>
    <w:rsid w:val="2E8C7F2E"/>
    <w:rsid w:val="2E8E7DCA"/>
    <w:rsid w:val="2E94264C"/>
    <w:rsid w:val="2E9B04EE"/>
    <w:rsid w:val="2EA32525"/>
    <w:rsid w:val="2EB07E70"/>
    <w:rsid w:val="2EB15996"/>
    <w:rsid w:val="2EB53854"/>
    <w:rsid w:val="2EBE6EBF"/>
    <w:rsid w:val="2EC54F2E"/>
    <w:rsid w:val="2EDF63DC"/>
    <w:rsid w:val="2EED4AA2"/>
    <w:rsid w:val="2EEE381D"/>
    <w:rsid w:val="2EEF693A"/>
    <w:rsid w:val="2EF06B6C"/>
    <w:rsid w:val="2EF11FBA"/>
    <w:rsid w:val="2EF76301"/>
    <w:rsid w:val="2EF84D3C"/>
    <w:rsid w:val="2EFE3AA4"/>
    <w:rsid w:val="2F1B15F2"/>
    <w:rsid w:val="2F26272B"/>
    <w:rsid w:val="2F28389F"/>
    <w:rsid w:val="2F391C13"/>
    <w:rsid w:val="2F392D99"/>
    <w:rsid w:val="2F3B63E8"/>
    <w:rsid w:val="2F3C0D32"/>
    <w:rsid w:val="2F3C4CFF"/>
    <w:rsid w:val="2F3D19D7"/>
    <w:rsid w:val="2F433B90"/>
    <w:rsid w:val="2F454A94"/>
    <w:rsid w:val="2F464330"/>
    <w:rsid w:val="2F5E46D4"/>
    <w:rsid w:val="2F606CBD"/>
    <w:rsid w:val="2F6635EF"/>
    <w:rsid w:val="2F6649D2"/>
    <w:rsid w:val="2F6963F3"/>
    <w:rsid w:val="2F6B41D8"/>
    <w:rsid w:val="2F6C4240"/>
    <w:rsid w:val="2F6C6648"/>
    <w:rsid w:val="2F704980"/>
    <w:rsid w:val="2F730EAA"/>
    <w:rsid w:val="2F7756C8"/>
    <w:rsid w:val="2F8E1EB2"/>
    <w:rsid w:val="2F9024D5"/>
    <w:rsid w:val="2FB75209"/>
    <w:rsid w:val="2FBD0DBF"/>
    <w:rsid w:val="2FBF4CCE"/>
    <w:rsid w:val="2FC26354"/>
    <w:rsid w:val="2FC8743B"/>
    <w:rsid w:val="2FD935ED"/>
    <w:rsid w:val="2FD9660F"/>
    <w:rsid w:val="2FDC2F9F"/>
    <w:rsid w:val="2FDE58A3"/>
    <w:rsid w:val="2FEA2CA6"/>
    <w:rsid w:val="2FEA4F51"/>
    <w:rsid w:val="2FEB493F"/>
    <w:rsid w:val="2FED2BBB"/>
    <w:rsid w:val="2FED62EA"/>
    <w:rsid w:val="2FEF49C8"/>
    <w:rsid w:val="2FF24C15"/>
    <w:rsid w:val="2FF27968"/>
    <w:rsid w:val="2FF56B39"/>
    <w:rsid w:val="2FF6325E"/>
    <w:rsid w:val="30020510"/>
    <w:rsid w:val="300C2463"/>
    <w:rsid w:val="300F45A9"/>
    <w:rsid w:val="300F711F"/>
    <w:rsid w:val="3012656A"/>
    <w:rsid w:val="301D36CE"/>
    <w:rsid w:val="302819ED"/>
    <w:rsid w:val="302E254D"/>
    <w:rsid w:val="303045DB"/>
    <w:rsid w:val="30346372"/>
    <w:rsid w:val="304B3C1C"/>
    <w:rsid w:val="304D7F03"/>
    <w:rsid w:val="304F00B8"/>
    <w:rsid w:val="305D1B42"/>
    <w:rsid w:val="30645601"/>
    <w:rsid w:val="306B46F8"/>
    <w:rsid w:val="30723B78"/>
    <w:rsid w:val="30744CC5"/>
    <w:rsid w:val="3075701C"/>
    <w:rsid w:val="307979E1"/>
    <w:rsid w:val="307B1892"/>
    <w:rsid w:val="307F265E"/>
    <w:rsid w:val="309B5A02"/>
    <w:rsid w:val="309D08C8"/>
    <w:rsid w:val="309F4540"/>
    <w:rsid w:val="30A35E59"/>
    <w:rsid w:val="30A5072E"/>
    <w:rsid w:val="30AE3F44"/>
    <w:rsid w:val="30BE556B"/>
    <w:rsid w:val="30C14E91"/>
    <w:rsid w:val="30C32136"/>
    <w:rsid w:val="30C95219"/>
    <w:rsid w:val="30D50644"/>
    <w:rsid w:val="30D86CFA"/>
    <w:rsid w:val="30D91DB8"/>
    <w:rsid w:val="30DB2B0B"/>
    <w:rsid w:val="30E127D5"/>
    <w:rsid w:val="30E1323A"/>
    <w:rsid w:val="30F36EAE"/>
    <w:rsid w:val="30FE0C36"/>
    <w:rsid w:val="310C339E"/>
    <w:rsid w:val="31115E74"/>
    <w:rsid w:val="31215055"/>
    <w:rsid w:val="312B4CBC"/>
    <w:rsid w:val="313D0086"/>
    <w:rsid w:val="31562B39"/>
    <w:rsid w:val="315E162C"/>
    <w:rsid w:val="316A1119"/>
    <w:rsid w:val="317415B8"/>
    <w:rsid w:val="317C228B"/>
    <w:rsid w:val="318B0193"/>
    <w:rsid w:val="31A34BCD"/>
    <w:rsid w:val="31A76597"/>
    <w:rsid w:val="31B26F73"/>
    <w:rsid w:val="31B3287A"/>
    <w:rsid w:val="31B913F6"/>
    <w:rsid w:val="31C266CE"/>
    <w:rsid w:val="31C33082"/>
    <w:rsid w:val="31C662C7"/>
    <w:rsid w:val="31D300F1"/>
    <w:rsid w:val="31D733F1"/>
    <w:rsid w:val="31D95E0F"/>
    <w:rsid w:val="31DD6063"/>
    <w:rsid w:val="31E32984"/>
    <w:rsid w:val="31E96221"/>
    <w:rsid w:val="31ED4611"/>
    <w:rsid w:val="31EE3DDF"/>
    <w:rsid w:val="31F4315B"/>
    <w:rsid w:val="31F5691C"/>
    <w:rsid w:val="31F848F6"/>
    <w:rsid w:val="31FA35FC"/>
    <w:rsid w:val="31FB03EA"/>
    <w:rsid w:val="31FF7EB0"/>
    <w:rsid w:val="32004C6A"/>
    <w:rsid w:val="320408E8"/>
    <w:rsid w:val="320421A2"/>
    <w:rsid w:val="32055536"/>
    <w:rsid w:val="320D4820"/>
    <w:rsid w:val="321227C7"/>
    <w:rsid w:val="32171DA5"/>
    <w:rsid w:val="32186458"/>
    <w:rsid w:val="321E0B72"/>
    <w:rsid w:val="32207FA2"/>
    <w:rsid w:val="322F3FB8"/>
    <w:rsid w:val="32314D46"/>
    <w:rsid w:val="323B3EF4"/>
    <w:rsid w:val="323D7B71"/>
    <w:rsid w:val="32467639"/>
    <w:rsid w:val="324942DA"/>
    <w:rsid w:val="324A454F"/>
    <w:rsid w:val="32526231"/>
    <w:rsid w:val="32530126"/>
    <w:rsid w:val="32553A33"/>
    <w:rsid w:val="325B3E8B"/>
    <w:rsid w:val="325F0F6C"/>
    <w:rsid w:val="326501D6"/>
    <w:rsid w:val="32662E6F"/>
    <w:rsid w:val="327411B4"/>
    <w:rsid w:val="327A1172"/>
    <w:rsid w:val="327A491A"/>
    <w:rsid w:val="328533C1"/>
    <w:rsid w:val="32867865"/>
    <w:rsid w:val="32873093"/>
    <w:rsid w:val="328D4B95"/>
    <w:rsid w:val="32940808"/>
    <w:rsid w:val="329448A6"/>
    <w:rsid w:val="32960F71"/>
    <w:rsid w:val="329A6704"/>
    <w:rsid w:val="32A35244"/>
    <w:rsid w:val="32A47D3E"/>
    <w:rsid w:val="32A6460B"/>
    <w:rsid w:val="32AE46C6"/>
    <w:rsid w:val="32AF043E"/>
    <w:rsid w:val="32B44047"/>
    <w:rsid w:val="32B8273D"/>
    <w:rsid w:val="32B85394"/>
    <w:rsid w:val="32C0264B"/>
    <w:rsid w:val="32C3598B"/>
    <w:rsid w:val="32CF7AA9"/>
    <w:rsid w:val="32DC3E61"/>
    <w:rsid w:val="32EA4A62"/>
    <w:rsid w:val="32F21F8B"/>
    <w:rsid w:val="32F55942"/>
    <w:rsid w:val="32FB4AC2"/>
    <w:rsid w:val="32FE44EB"/>
    <w:rsid w:val="32FF45E5"/>
    <w:rsid w:val="330A3B0F"/>
    <w:rsid w:val="330B1B18"/>
    <w:rsid w:val="33152250"/>
    <w:rsid w:val="33243E3B"/>
    <w:rsid w:val="332B53F5"/>
    <w:rsid w:val="333A6BDB"/>
    <w:rsid w:val="333B65B6"/>
    <w:rsid w:val="333C31DE"/>
    <w:rsid w:val="333F7228"/>
    <w:rsid w:val="334130FE"/>
    <w:rsid w:val="33457B6B"/>
    <w:rsid w:val="3352022C"/>
    <w:rsid w:val="335339DB"/>
    <w:rsid w:val="33574D5E"/>
    <w:rsid w:val="3359184A"/>
    <w:rsid w:val="335C7AD8"/>
    <w:rsid w:val="335F3F1B"/>
    <w:rsid w:val="33601BCC"/>
    <w:rsid w:val="33664FA1"/>
    <w:rsid w:val="336743E3"/>
    <w:rsid w:val="336B25B7"/>
    <w:rsid w:val="33721193"/>
    <w:rsid w:val="33746AB5"/>
    <w:rsid w:val="337A293E"/>
    <w:rsid w:val="337A5277"/>
    <w:rsid w:val="33884F17"/>
    <w:rsid w:val="338F1BFA"/>
    <w:rsid w:val="3390372F"/>
    <w:rsid w:val="33941B0E"/>
    <w:rsid w:val="33953C2E"/>
    <w:rsid w:val="33971FE5"/>
    <w:rsid w:val="33B73BA0"/>
    <w:rsid w:val="33BE2874"/>
    <w:rsid w:val="33D321C5"/>
    <w:rsid w:val="33D33712"/>
    <w:rsid w:val="33D91F25"/>
    <w:rsid w:val="33DF7979"/>
    <w:rsid w:val="33E56B53"/>
    <w:rsid w:val="33EE4D4F"/>
    <w:rsid w:val="33F237BD"/>
    <w:rsid w:val="33F24A4C"/>
    <w:rsid w:val="33F24FAB"/>
    <w:rsid w:val="33FF2A58"/>
    <w:rsid w:val="33FF7C1B"/>
    <w:rsid w:val="340118A2"/>
    <w:rsid w:val="340807CD"/>
    <w:rsid w:val="34143F7B"/>
    <w:rsid w:val="341A7E61"/>
    <w:rsid w:val="341C3E29"/>
    <w:rsid w:val="3428494C"/>
    <w:rsid w:val="342C7624"/>
    <w:rsid w:val="344062C5"/>
    <w:rsid w:val="34431F06"/>
    <w:rsid w:val="34445789"/>
    <w:rsid w:val="34473776"/>
    <w:rsid w:val="34483255"/>
    <w:rsid w:val="3450319D"/>
    <w:rsid w:val="3458206D"/>
    <w:rsid w:val="345D3D25"/>
    <w:rsid w:val="346702DF"/>
    <w:rsid w:val="346E0638"/>
    <w:rsid w:val="346E5B4E"/>
    <w:rsid w:val="34734046"/>
    <w:rsid w:val="348222AE"/>
    <w:rsid w:val="348339DB"/>
    <w:rsid w:val="3496093B"/>
    <w:rsid w:val="34AF3F03"/>
    <w:rsid w:val="34B275E2"/>
    <w:rsid w:val="34B32468"/>
    <w:rsid w:val="34B8182C"/>
    <w:rsid w:val="34C3033B"/>
    <w:rsid w:val="34C330C5"/>
    <w:rsid w:val="34C572C1"/>
    <w:rsid w:val="34C9433F"/>
    <w:rsid w:val="34C9767B"/>
    <w:rsid w:val="34CC4C80"/>
    <w:rsid w:val="34CC6788"/>
    <w:rsid w:val="34D226FB"/>
    <w:rsid w:val="34D5506F"/>
    <w:rsid w:val="34E96814"/>
    <w:rsid w:val="34F705E2"/>
    <w:rsid w:val="35042256"/>
    <w:rsid w:val="350C2AEE"/>
    <w:rsid w:val="351837F2"/>
    <w:rsid w:val="35225F43"/>
    <w:rsid w:val="3522630E"/>
    <w:rsid w:val="352A0CE3"/>
    <w:rsid w:val="352A733C"/>
    <w:rsid w:val="352B0FC3"/>
    <w:rsid w:val="352F70DE"/>
    <w:rsid w:val="353454E8"/>
    <w:rsid w:val="353C06AF"/>
    <w:rsid w:val="354C745F"/>
    <w:rsid w:val="354D3F60"/>
    <w:rsid w:val="355157DD"/>
    <w:rsid w:val="35545950"/>
    <w:rsid w:val="35564A6A"/>
    <w:rsid w:val="355D6CBD"/>
    <w:rsid w:val="355E3CBB"/>
    <w:rsid w:val="357437EC"/>
    <w:rsid w:val="35821BE0"/>
    <w:rsid w:val="358949DD"/>
    <w:rsid w:val="358F4C7B"/>
    <w:rsid w:val="3598340C"/>
    <w:rsid w:val="359F61AB"/>
    <w:rsid w:val="35A149B6"/>
    <w:rsid w:val="35A24298"/>
    <w:rsid w:val="35A45811"/>
    <w:rsid w:val="35A7059E"/>
    <w:rsid w:val="35BB1FE9"/>
    <w:rsid w:val="35BC4F30"/>
    <w:rsid w:val="35BF61D9"/>
    <w:rsid w:val="35C1407A"/>
    <w:rsid w:val="35C659AC"/>
    <w:rsid w:val="35C752B7"/>
    <w:rsid w:val="35CB23D2"/>
    <w:rsid w:val="35CE6E2D"/>
    <w:rsid w:val="35CF56EB"/>
    <w:rsid w:val="35DB3BDF"/>
    <w:rsid w:val="35DB6F6F"/>
    <w:rsid w:val="35DE3514"/>
    <w:rsid w:val="35E844FC"/>
    <w:rsid w:val="35ED4485"/>
    <w:rsid w:val="35F64461"/>
    <w:rsid w:val="35FB17A3"/>
    <w:rsid w:val="35FC0A7B"/>
    <w:rsid w:val="35FD7CCE"/>
    <w:rsid w:val="35FF40A2"/>
    <w:rsid w:val="360847DA"/>
    <w:rsid w:val="36193EDC"/>
    <w:rsid w:val="361A77B4"/>
    <w:rsid w:val="3622753F"/>
    <w:rsid w:val="36287465"/>
    <w:rsid w:val="36300566"/>
    <w:rsid w:val="363648A1"/>
    <w:rsid w:val="36394BEF"/>
    <w:rsid w:val="363D414B"/>
    <w:rsid w:val="363E6F61"/>
    <w:rsid w:val="36463308"/>
    <w:rsid w:val="364A6FC7"/>
    <w:rsid w:val="364D27D5"/>
    <w:rsid w:val="3650694D"/>
    <w:rsid w:val="3655514F"/>
    <w:rsid w:val="36557C1C"/>
    <w:rsid w:val="365B4B65"/>
    <w:rsid w:val="36605BEB"/>
    <w:rsid w:val="36664FD3"/>
    <w:rsid w:val="36674C84"/>
    <w:rsid w:val="36674E48"/>
    <w:rsid w:val="366C2586"/>
    <w:rsid w:val="366E16F0"/>
    <w:rsid w:val="3671613E"/>
    <w:rsid w:val="36853990"/>
    <w:rsid w:val="368D0A96"/>
    <w:rsid w:val="369434C7"/>
    <w:rsid w:val="369F44AF"/>
    <w:rsid w:val="36AC0123"/>
    <w:rsid w:val="36AE3514"/>
    <w:rsid w:val="36B54800"/>
    <w:rsid w:val="36B77C11"/>
    <w:rsid w:val="36B87389"/>
    <w:rsid w:val="36BF5CEF"/>
    <w:rsid w:val="36C60FB2"/>
    <w:rsid w:val="36D14D6E"/>
    <w:rsid w:val="36D729BC"/>
    <w:rsid w:val="36EE42EB"/>
    <w:rsid w:val="36EF4EEC"/>
    <w:rsid w:val="37013421"/>
    <w:rsid w:val="37030562"/>
    <w:rsid w:val="37060F75"/>
    <w:rsid w:val="37092647"/>
    <w:rsid w:val="370D46A3"/>
    <w:rsid w:val="372155B4"/>
    <w:rsid w:val="37274A45"/>
    <w:rsid w:val="373A012F"/>
    <w:rsid w:val="37423EFF"/>
    <w:rsid w:val="3747231F"/>
    <w:rsid w:val="37495DEC"/>
    <w:rsid w:val="374D4017"/>
    <w:rsid w:val="375168B8"/>
    <w:rsid w:val="3752644D"/>
    <w:rsid w:val="375441BF"/>
    <w:rsid w:val="375D3CE5"/>
    <w:rsid w:val="376E6549"/>
    <w:rsid w:val="37722A4F"/>
    <w:rsid w:val="377B2842"/>
    <w:rsid w:val="377B7AA7"/>
    <w:rsid w:val="378575D7"/>
    <w:rsid w:val="3789762A"/>
    <w:rsid w:val="378D51F2"/>
    <w:rsid w:val="37953B5B"/>
    <w:rsid w:val="379850C2"/>
    <w:rsid w:val="37AC34EC"/>
    <w:rsid w:val="37AC63FB"/>
    <w:rsid w:val="37B16EAF"/>
    <w:rsid w:val="37B71EE9"/>
    <w:rsid w:val="37B73072"/>
    <w:rsid w:val="37BF0A7E"/>
    <w:rsid w:val="37C12BFE"/>
    <w:rsid w:val="37C14E9C"/>
    <w:rsid w:val="37C1781D"/>
    <w:rsid w:val="37C350B5"/>
    <w:rsid w:val="37C42548"/>
    <w:rsid w:val="37C55DE0"/>
    <w:rsid w:val="37C91115"/>
    <w:rsid w:val="37CD509E"/>
    <w:rsid w:val="37CE5077"/>
    <w:rsid w:val="37D01583"/>
    <w:rsid w:val="37D22C05"/>
    <w:rsid w:val="37D2523E"/>
    <w:rsid w:val="37D71DF2"/>
    <w:rsid w:val="37DB473C"/>
    <w:rsid w:val="37DF0AC5"/>
    <w:rsid w:val="37E34E12"/>
    <w:rsid w:val="37E42190"/>
    <w:rsid w:val="37F54B45"/>
    <w:rsid w:val="37F73F67"/>
    <w:rsid w:val="37F831F8"/>
    <w:rsid w:val="38051217"/>
    <w:rsid w:val="381F0910"/>
    <w:rsid w:val="38201320"/>
    <w:rsid w:val="3820407E"/>
    <w:rsid w:val="382668CA"/>
    <w:rsid w:val="38281CEC"/>
    <w:rsid w:val="382D6AF6"/>
    <w:rsid w:val="383B4C4E"/>
    <w:rsid w:val="38412A0F"/>
    <w:rsid w:val="38442273"/>
    <w:rsid w:val="38492EBC"/>
    <w:rsid w:val="384E75F4"/>
    <w:rsid w:val="384F43B6"/>
    <w:rsid w:val="384F6A17"/>
    <w:rsid w:val="385616DA"/>
    <w:rsid w:val="385934B4"/>
    <w:rsid w:val="385A62F6"/>
    <w:rsid w:val="385B52F0"/>
    <w:rsid w:val="385D20A6"/>
    <w:rsid w:val="3864302A"/>
    <w:rsid w:val="386706DB"/>
    <w:rsid w:val="386D5234"/>
    <w:rsid w:val="38727227"/>
    <w:rsid w:val="38732839"/>
    <w:rsid w:val="38735A0D"/>
    <w:rsid w:val="387A4030"/>
    <w:rsid w:val="387D369E"/>
    <w:rsid w:val="38914EC4"/>
    <w:rsid w:val="389E4DF7"/>
    <w:rsid w:val="389E55FC"/>
    <w:rsid w:val="389F7439"/>
    <w:rsid w:val="38B03902"/>
    <w:rsid w:val="38B03AC7"/>
    <w:rsid w:val="38B200E2"/>
    <w:rsid w:val="38B67638"/>
    <w:rsid w:val="38B87BAE"/>
    <w:rsid w:val="38B9057F"/>
    <w:rsid w:val="38BC6A0C"/>
    <w:rsid w:val="38BD1B07"/>
    <w:rsid w:val="38C34B49"/>
    <w:rsid w:val="38C369F1"/>
    <w:rsid w:val="38C5276A"/>
    <w:rsid w:val="38C81FBB"/>
    <w:rsid w:val="38CA6CB0"/>
    <w:rsid w:val="38E246FE"/>
    <w:rsid w:val="38E463D4"/>
    <w:rsid w:val="38E726E0"/>
    <w:rsid w:val="38E928FC"/>
    <w:rsid w:val="390532B6"/>
    <w:rsid w:val="390837D0"/>
    <w:rsid w:val="390B062E"/>
    <w:rsid w:val="390E5425"/>
    <w:rsid w:val="39112709"/>
    <w:rsid w:val="39194DE0"/>
    <w:rsid w:val="391D7DB8"/>
    <w:rsid w:val="3922196A"/>
    <w:rsid w:val="39237685"/>
    <w:rsid w:val="393426A9"/>
    <w:rsid w:val="39441EE8"/>
    <w:rsid w:val="3944571A"/>
    <w:rsid w:val="394816ED"/>
    <w:rsid w:val="39574BC0"/>
    <w:rsid w:val="39584310"/>
    <w:rsid w:val="395852D4"/>
    <w:rsid w:val="39596643"/>
    <w:rsid w:val="395A39CA"/>
    <w:rsid w:val="396C38AF"/>
    <w:rsid w:val="39775BEF"/>
    <w:rsid w:val="398029E4"/>
    <w:rsid w:val="398572E7"/>
    <w:rsid w:val="39903CB4"/>
    <w:rsid w:val="39906A8B"/>
    <w:rsid w:val="399124B2"/>
    <w:rsid w:val="39983880"/>
    <w:rsid w:val="39A13FEE"/>
    <w:rsid w:val="39AA2880"/>
    <w:rsid w:val="39AB2A00"/>
    <w:rsid w:val="39B1709C"/>
    <w:rsid w:val="39B30897"/>
    <w:rsid w:val="39B66A6C"/>
    <w:rsid w:val="39BA7DF4"/>
    <w:rsid w:val="39BB5B05"/>
    <w:rsid w:val="39BE4A47"/>
    <w:rsid w:val="39C7586A"/>
    <w:rsid w:val="39C92027"/>
    <w:rsid w:val="39D45089"/>
    <w:rsid w:val="39DE179F"/>
    <w:rsid w:val="39EA4612"/>
    <w:rsid w:val="39EC2B10"/>
    <w:rsid w:val="39F52FDB"/>
    <w:rsid w:val="39F6317C"/>
    <w:rsid w:val="3A064DE8"/>
    <w:rsid w:val="3A10366F"/>
    <w:rsid w:val="3A1349D6"/>
    <w:rsid w:val="3A150C73"/>
    <w:rsid w:val="3A160959"/>
    <w:rsid w:val="3A163157"/>
    <w:rsid w:val="3A211C22"/>
    <w:rsid w:val="3A240A4F"/>
    <w:rsid w:val="3A2C46B3"/>
    <w:rsid w:val="3A353BF0"/>
    <w:rsid w:val="3A3C68BF"/>
    <w:rsid w:val="3A3E28B0"/>
    <w:rsid w:val="3A3E7718"/>
    <w:rsid w:val="3A46605E"/>
    <w:rsid w:val="3A492D3A"/>
    <w:rsid w:val="3A496448"/>
    <w:rsid w:val="3A4D4A5E"/>
    <w:rsid w:val="3A5164BC"/>
    <w:rsid w:val="3A5C7150"/>
    <w:rsid w:val="3A6D1B9C"/>
    <w:rsid w:val="3A7726A3"/>
    <w:rsid w:val="3A803893"/>
    <w:rsid w:val="3A8A77C7"/>
    <w:rsid w:val="3A8B0C83"/>
    <w:rsid w:val="3A91027F"/>
    <w:rsid w:val="3A9405C5"/>
    <w:rsid w:val="3A9C7257"/>
    <w:rsid w:val="3AA13420"/>
    <w:rsid w:val="3AA36E5C"/>
    <w:rsid w:val="3AAD26B9"/>
    <w:rsid w:val="3AB31ADC"/>
    <w:rsid w:val="3AB72586"/>
    <w:rsid w:val="3ABE1B66"/>
    <w:rsid w:val="3AC24D46"/>
    <w:rsid w:val="3AC83849"/>
    <w:rsid w:val="3ADB28BD"/>
    <w:rsid w:val="3ADF4044"/>
    <w:rsid w:val="3ADF54B3"/>
    <w:rsid w:val="3AE3337B"/>
    <w:rsid w:val="3AE340FF"/>
    <w:rsid w:val="3AE83AD5"/>
    <w:rsid w:val="3AEA69BC"/>
    <w:rsid w:val="3AFC4E62"/>
    <w:rsid w:val="3B015D7F"/>
    <w:rsid w:val="3B0534BF"/>
    <w:rsid w:val="3B1A0F83"/>
    <w:rsid w:val="3B254316"/>
    <w:rsid w:val="3B284AAE"/>
    <w:rsid w:val="3B335F33"/>
    <w:rsid w:val="3B3D1A41"/>
    <w:rsid w:val="3B462B12"/>
    <w:rsid w:val="3B462F44"/>
    <w:rsid w:val="3B46796D"/>
    <w:rsid w:val="3B494C2A"/>
    <w:rsid w:val="3B521AA4"/>
    <w:rsid w:val="3B5B5699"/>
    <w:rsid w:val="3B600EEA"/>
    <w:rsid w:val="3B6224F2"/>
    <w:rsid w:val="3B65335B"/>
    <w:rsid w:val="3B664D4A"/>
    <w:rsid w:val="3B716D99"/>
    <w:rsid w:val="3B7442C9"/>
    <w:rsid w:val="3B7C35D0"/>
    <w:rsid w:val="3B7F5BF9"/>
    <w:rsid w:val="3B8544E4"/>
    <w:rsid w:val="3B8561E0"/>
    <w:rsid w:val="3B8A4281"/>
    <w:rsid w:val="3B8D45DF"/>
    <w:rsid w:val="3B8D54F6"/>
    <w:rsid w:val="3B922D1B"/>
    <w:rsid w:val="3B994C5A"/>
    <w:rsid w:val="3B9F00B6"/>
    <w:rsid w:val="3BA41A36"/>
    <w:rsid w:val="3BA96372"/>
    <w:rsid w:val="3BAA122E"/>
    <w:rsid w:val="3BAB20D8"/>
    <w:rsid w:val="3BAC3739"/>
    <w:rsid w:val="3BAD7846"/>
    <w:rsid w:val="3BB24C42"/>
    <w:rsid w:val="3BB7145E"/>
    <w:rsid w:val="3BB801F1"/>
    <w:rsid w:val="3BC4519D"/>
    <w:rsid w:val="3BC76554"/>
    <w:rsid w:val="3BC95E97"/>
    <w:rsid w:val="3BCB7056"/>
    <w:rsid w:val="3BD243C9"/>
    <w:rsid w:val="3BE97DC3"/>
    <w:rsid w:val="3BEC6400"/>
    <w:rsid w:val="3BF515B8"/>
    <w:rsid w:val="3C066A30"/>
    <w:rsid w:val="3C0D6901"/>
    <w:rsid w:val="3C136C48"/>
    <w:rsid w:val="3C245ED1"/>
    <w:rsid w:val="3C262E48"/>
    <w:rsid w:val="3C340BA3"/>
    <w:rsid w:val="3C340CD4"/>
    <w:rsid w:val="3C4567A1"/>
    <w:rsid w:val="3C4569F0"/>
    <w:rsid w:val="3C5D29B4"/>
    <w:rsid w:val="3C603253"/>
    <w:rsid w:val="3C6250A3"/>
    <w:rsid w:val="3C6847BC"/>
    <w:rsid w:val="3C686BF7"/>
    <w:rsid w:val="3C6A7C3F"/>
    <w:rsid w:val="3C744391"/>
    <w:rsid w:val="3C7666B1"/>
    <w:rsid w:val="3C7928A7"/>
    <w:rsid w:val="3C7B5B5E"/>
    <w:rsid w:val="3C7C70D7"/>
    <w:rsid w:val="3C872058"/>
    <w:rsid w:val="3C9455E1"/>
    <w:rsid w:val="3C9D4141"/>
    <w:rsid w:val="3CA4175B"/>
    <w:rsid w:val="3CA45367"/>
    <w:rsid w:val="3CAC21A2"/>
    <w:rsid w:val="3CB12751"/>
    <w:rsid w:val="3CB21257"/>
    <w:rsid w:val="3CB94393"/>
    <w:rsid w:val="3CBD25A5"/>
    <w:rsid w:val="3CC724F5"/>
    <w:rsid w:val="3CCA38DD"/>
    <w:rsid w:val="3CCC056A"/>
    <w:rsid w:val="3CCC21C2"/>
    <w:rsid w:val="3CCD19B0"/>
    <w:rsid w:val="3CD1582D"/>
    <w:rsid w:val="3CD45D82"/>
    <w:rsid w:val="3CD71223"/>
    <w:rsid w:val="3CE72C18"/>
    <w:rsid w:val="3CF80470"/>
    <w:rsid w:val="3D013F2B"/>
    <w:rsid w:val="3D0568E3"/>
    <w:rsid w:val="3D134230"/>
    <w:rsid w:val="3D1A30C6"/>
    <w:rsid w:val="3D2A1F00"/>
    <w:rsid w:val="3D2A7F67"/>
    <w:rsid w:val="3D304261"/>
    <w:rsid w:val="3D404AB5"/>
    <w:rsid w:val="3D4208FC"/>
    <w:rsid w:val="3D4C00E4"/>
    <w:rsid w:val="3D4F6EA2"/>
    <w:rsid w:val="3D536F4D"/>
    <w:rsid w:val="3D55177B"/>
    <w:rsid w:val="3D6A0595"/>
    <w:rsid w:val="3D6C74FD"/>
    <w:rsid w:val="3D7F382F"/>
    <w:rsid w:val="3D8202D7"/>
    <w:rsid w:val="3D8A3F82"/>
    <w:rsid w:val="3D9450B9"/>
    <w:rsid w:val="3D987913"/>
    <w:rsid w:val="3DA23340"/>
    <w:rsid w:val="3DA55A8B"/>
    <w:rsid w:val="3DAC1A84"/>
    <w:rsid w:val="3DAD3EFD"/>
    <w:rsid w:val="3DB21145"/>
    <w:rsid w:val="3DB54AC2"/>
    <w:rsid w:val="3DB8510A"/>
    <w:rsid w:val="3DC141B0"/>
    <w:rsid w:val="3DC97593"/>
    <w:rsid w:val="3DDB0106"/>
    <w:rsid w:val="3DEA76D9"/>
    <w:rsid w:val="3DF00102"/>
    <w:rsid w:val="3DF05D9E"/>
    <w:rsid w:val="3DF2751A"/>
    <w:rsid w:val="3DF80BFF"/>
    <w:rsid w:val="3DF95F5D"/>
    <w:rsid w:val="3E0334CE"/>
    <w:rsid w:val="3E0A6607"/>
    <w:rsid w:val="3E0D5FDE"/>
    <w:rsid w:val="3E1D54BA"/>
    <w:rsid w:val="3E272B24"/>
    <w:rsid w:val="3E295549"/>
    <w:rsid w:val="3E2A5584"/>
    <w:rsid w:val="3E2C5C98"/>
    <w:rsid w:val="3E2D3BD1"/>
    <w:rsid w:val="3E3839DE"/>
    <w:rsid w:val="3E38412A"/>
    <w:rsid w:val="3E420116"/>
    <w:rsid w:val="3E525D08"/>
    <w:rsid w:val="3E574F0E"/>
    <w:rsid w:val="3E5A2E35"/>
    <w:rsid w:val="3E675C0A"/>
    <w:rsid w:val="3E6F1166"/>
    <w:rsid w:val="3E710D31"/>
    <w:rsid w:val="3E786E8D"/>
    <w:rsid w:val="3E795988"/>
    <w:rsid w:val="3E7D3071"/>
    <w:rsid w:val="3E7F56D1"/>
    <w:rsid w:val="3E825452"/>
    <w:rsid w:val="3E8648BE"/>
    <w:rsid w:val="3E886892"/>
    <w:rsid w:val="3E892FCB"/>
    <w:rsid w:val="3E8F04BB"/>
    <w:rsid w:val="3E942662"/>
    <w:rsid w:val="3E980AC8"/>
    <w:rsid w:val="3EA151FF"/>
    <w:rsid w:val="3EA76F4E"/>
    <w:rsid w:val="3EA8452D"/>
    <w:rsid w:val="3EAE4245"/>
    <w:rsid w:val="3EAF2499"/>
    <w:rsid w:val="3EBA39C9"/>
    <w:rsid w:val="3EC6688D"/>
    <w:rsid w:val="3EC97E6D"/>
    <w:rsid w:val="3ECD4126"/>
    <w:rsid w:val="3ECE7E07"/>
    <w:rsid w:val="3ED0191D"/>
    <w:rsid w:val="3EDF475C"/>
    <w:rsid w:val="3EE215F8"/>
    <w:rsid w:val="3EE43BF5"/>
    <w:rsid w:val="3EE75242"/>
    <w:rsid w:val="3EEC1B58"/>
    <w:rsid w:val="3EF22DB5"/>
    <w:rsid w:val="3F007C50"/>
    <w:rsid w:val="3F0648A0"/>
    <w:rsid w:val="3F0B1F26"/>
    <w:rsid w:val="3F1149E1"/>
    <w:rsid w:val="3F156297"/>
    <w:rsid w:val="3F222679"/>
    <w:rsid w:val="3F2E373E"/>
    <w:rsid w:val="3F3261C1"/>
    <w:rsid w:val="3F354E33"/>
    <w:rsid w:val="3F355F88"/>
    <w:rsid w:val="3F45637A"/>
    <w:rsid w:val="3F467E33"/>
    <w:rsid w:val="3F4E2744"/>
    <w:rsid w:val="3F4E4F22"/>
    <w:rsid w:val="3F503942"/>
    <w:rsid w:val="3F53652F"/>
    <w:rsid w:val="3F540BEA"/>
    <w:rsid w:val="3F5B0B82"/>
    <w:rsid w:val="3F6010CE"/>
    <w:rsid w:val="3F624826"/>
    <w:rsid w:val="3F6E506B"/>
    <w:rsid w:val="3F7347F1"/>
    <w:rsid w:val="3F757F5B"/>
    <w:rsid w:val="3F784C51"/>
    <w:rsid w:val="3F7F27BB"/>
    <w:rsid w:val="3F865579"/>
    <w:rsid w:val="3F8D7751"/>
    <w:rsid w:val="3F930A80"/>
    <w:rsid w:val="3F93154A"/>
    <w:rsid w:val="3F9331B1"/>
    <w:rsid w:val="3FAB40B2"/>
    <w:rsid w:val="3FAD4D36"/>
    <w:rsid w:val="3FB36077"/>
    <w:rsid w:val="3FB362C2"/>
    <w:rsid w:val="3FB545B3"/>
    <w:rsid w:val="3FBD28F8"/>
    <w:rsid w:val="3FC03C8B"/>
    <w:rsid w:val="3FC217B1"/>
    <w:rsid w:val="3FD61700"/>
    <w:rsid w:val="3FDC2362"/>
    <w:rsid w:val="3FDF2650"/>
    <w:rsid w:val="3FE043F3"/>
    <w:rsid w:val="3FE46BFA"/>
    <w:rsid w:val="3FE52124"/>
    <w:rsid w:val="3FF86B5E"/>
    <w:rsid w:val="3FF903C7"/>
    <w:rsid w:val="3FF9519F"/>
    <w:rsid w:val="3FFD05B3"/>
    <w:rsid w:val="400420D2"/>
    <w:rsid w:val="4024072F"/>
    <w:rsid w:val="403123FE"/>
    <w:rsid w:val="40362FE4"/>
    <w:rsid w:val="403B5F0F"/>
    <w:rsid w:val="403C22EF"/>
    <w:rsid w:val="40412C5A"/>
    <w:rsid w:val="40422701"/>
    <w:rsid w:val="404E1296"/>
    <w:rsid w:val="404E14B6"/>
    <w:rsid w:val="404E573A"/>
    <w:rsid w:val="4052541B"/>
    <w:rsid w:val="407623F3"/>
    <w:rsid w:val="407768AD"/>
    <w:rsid w:val="407F3756"/>
    <w:rsid w:val="40873F52"/>
    <w:rsid w:val="408E3D89"/>
    <w:rsid w:val="409273D5"/>
    <w:rsid w:val="4093139F"/>
    <w:rsid w:val="409937B5"/>
    <w:rsid w:val="40996ECE"/>
    <w:rsid w:val="409C3422"/>
    <w:rsid w:val="40A62E81"/>
    <w:rsid w:val="40A71BBB"/>
    <w:rsid w:val="40AB27D1"/>
    <w:rsid w:val="40AC3F0F"/>
    <w:rsid w:val="40BB7804"/>
    <w:rsid w:val="40BD3416"/>
    <w:rsid w:val="40BE1A12"/>
    <w:rsid w:val="40C72178"/>
    <w:rsid w:val="40CE4EF2"/>
    <w:rsid w:val="40CF189E"/>
    <w:rsid w:val="40D7026C"/>
    <w:rsid w:val="40D86DEE"/>
    <w:rsid w:val="40DA6FCE"/>
    <w:rsid w:val="40DB1852"/>
    <w:rsid w:val="40DE0E7A"/>
    <w:rsid w:val="40DE7DDB"/>
    <w:rsid w:val="40ED2526"/>
    <w:rsid w:val="40F3190F"/>
    <w:rsid w:val="40F576DF"/>
    <w:rsid w:val="40F80B23"/>
    <w:rsid w:val="40F85471"/>
    <w:rsid w:val="40FC0EC0"/>
    <w:rsid w:val="40FD1F36"/>
    <w:rsid w:val="410507AD"/>
    <w:rsid w:val="41061395"/>
    <w:rsid w:val="411249BA"/>
    <w:rsid w:val="41297D82"/>
    <w:rsid w:val="412E0CE8"/>
    <w:rsid w:val="41317A54"/>
    <w:rsid w:val="4132165E"/>
    <w:rsid w:val="41367B0D"/>
    <w:rsid w:val="413D55A0"/>
    <w:rsid w:val="41495E65"/>
    <w:rsid w:val="414F176A"/>
    <w:rsid w:val="41581EB6"/>
    <w:rsid w:val="4158226E"/>
    <w:rsid w:val="415A01F3"/>
    <w:rsid w:val="415F5A72"/>
    <w:rsid w:val="41690840"/>
    <w:rsid w:val="416B1290"/>
    <w:rsid w:val="416B602F"/>
    <w:rsid w:val="41774C8D"/>
    <w:rsid w:val="418B01F8"/>
    <w:rsid w:val="41926A0D"/>
    <w:rsid w:val="41970A1B"/>
    <w:rsid w:val="41991381"/>
    <w:rsid w:val="41A90E7A"/>
    <w:rsid w:val="41AC44C7"/>
    <w:rsid w:val="41AC6CAF"/>
    <w:rsid w:val="41AE040C"/>
    <w:rsid w:val="41AE1DED"/>
    <w:rsid w:val="41B121DF"/>
    <w:rsid w:val="41B7137E"/>
    <w:rsid w:val="41B810BD"/>
    <w:rsid w:val="41BF4AC7"/>
    <w:rsid w:val="41C06DDF"/>
    <w:rsid w:val="41C55588"/>
    <w:rsid w:val="41C64CB7"/>
    <w:rsid w:val="41CD4292"/>
    <w:rsid w:val="41DC75BC"/>
    <w:rsid w:val="41E365C4"/>
    <w:rsid w:val="41F8593B"/>
    <w:rsid w:val="41FF1F30"/>
    <w:rsid w:val="420641FD"/>
    <w:rsid w:val="42131563"/>
    <w:rsid w:val="421569A2"/>
    <w:rsid w:val="42170AD3"/>
    <w:rsid w:val="42333557"/>
    <w:rsid w:val="42336996"/>
    <w:rsid w:val="42394768"/>
    <w:rsid w:val="423A5F76"/>
    <w:rsid w:val="4241048B"/>
    <w:rsid w:val="424A08CF"/>
    <w:rsid w:val="42543C3D"/>
    <w:rsid w:val="425570BD"/>
    <w:rsid w:val="425B232E"/>
    <w:rsid w:val="4268508B"/>
    <w:rsid w:val="427F3924"/>
    <w:rsid w:val="428311EF"/>
    <w:rsid w:val="428B3BBD"/>
    <w:rsid w:val="42985594"/>
    <w:rsid w:val="429B6435"/>
    <w:rsid w:val="42A4435F"/>
    <w:rsid w:val="42A50D0B"/>
    <w:rsid w:val="42B4576D"/>
    <w:rsid w:val="42B878CE"/>
    <w:rsid w:val="42BC003D"/>
    <w:rsid w:val="42BD12C7"/>
    <w:rsid w:val="42BD40C8"/>
    <w:rsid w:val="42BE320B"/>
    <w:rsid w:val="42BE7B61"/>
    <w:rsid w:val="42C75D1C"/>
    <w:rsid w:val="42CF5000"/>
    <w:rsid w:val="42DA7E44"/>
    <w:rsid w:val="42DC298F"/>
    <w:rsid w:val="42E27550"/>
    <w:rsid w:val="42F00D2B"/>
    <w:rsid w:val="42F528F0"/>
    <w:rsid w:val="42F94AE0"/>
    <w:rsid w:val="43021E67"/>
    <w:rsid w:val="43062ACB"/>
    <w:rsid w:val="430B29DC"/>
    <w:rsid w:val="430D5748"/>
    <w:rsid w:val="43120CA1"/>
    <w:rsid w:val="43167972"/>
    <w:rsid w:val="43171E14"/>
    <w:rsid w:val="431C167A"/>
    <w:rsid w:val="432F31BC"/>
    <w:rsid w:val="43322079"/>
    <w:rsid w:val="43337E46"/>
    <w:rsid w:val="433659D8"/>
    <w:rsid w:val="433A51B1"/>
    <w:rsid w:val="433B36DA"/>
    <w:rsid w:val="43432C09"/>
    <w:rsid w:val="4348477F"/>
    <w:rsid w:val="434A3FEB"/>
    <w:rsid w:val="434C7187"/>
    <w:rsid w:val="4353776C"/>
    <w:rsid w:val="43580E9D"/>
    <w:rsid w:val="435C7515"/>
    <w:rsid w:val="436360F3"/>
    <w:rsid w:val="436533AE"/>
    <w:rsid w:val="43657DD0"/>
    <w:rsid w:val="43660C53"/>
    <w:rsid w:val="436A3A3F"/>
    <w:rsid w:val="438A5621"/>
    <w:rsid w:val="43A85B37"/>
    <w:rsid w:val="43B05894"/>
    <w:rsid w:val="43BB3356"/>
    <w:rsid w:val="43CA47E4"/>
    <w:rsid w:val="43CE2E03"/>
    <w:rsid w:val="43DB36F4"/>
    <w:rsid w:val="43DE580C"/>
    <w:rsid w:val="43EC4335"/>
    <w:rsid w:val="43EC7BBD"/>
    <w:rsid w:val="43F81836"/>
    <w:rsid w:val="43FB178D"/>
    <w:rsid w:val="43FB412A"/>
    <w:rsid w:val="440A67CE"/>
    <w:rsid w:val="440A7BCA"/>
    <w:rsid w:val="440D7D19"/>
    <w:rsid w:val="44175C6C"/>
    <w:rsid w:val="441E3EA7"/>
    <w:rsid w:val="442519AA"/>
    <w:rsid w:val="44283A1B"/>
    <w:rsid w:val="44296898"/>
    <w:rsid w:val="443470D8"/>
    <w:rsid w:val="4436276D"/>
    <w:rsid w:val="4437127E"/>
    <w:rsid w:val="443E41B9"/>
    <w:rsid w:val="444B1472"/>
    <w:rsid w:val="445B04E4"/>
    <w:rsid w:val="445C0031"/>
    <w:rsid w:val="44755660"/>
    <w:rsid w:val="44775260"/>
    <w:rsid w:val="447A5659"/>
    <w:rsid w:val="44894F93"/>
    <w:rsid w:val="449054F1"/>
    <w:rsid w:val="44981527"/>
    <w:rsid w:val="44981B2D"/>
    <w:rsid w:val="449C2454"/>
    <w:rsid w:val="449D2246"/>
    <w:rsid w:val="44A245CA"/>
    <w:rsid w:val="44A535A6"/>
    <w:rsid w:val="44A57C2A"/>
    <w:rsid w:val="44A64754"/>
    <w:rsid w:val="44BE2D73"/>
    <w:rsid w:val="44C43833"/>
    <w:rsid w:val="44C91833"/>
    <w:rsid w:val="44CB3B1B"/>
    <w:rsid w:val="44CE2F9A"/>
    <w:rsid w:val="44CE4F13"/>
    <w:rsid w:val="44D60696"/>
    <w:rsid w:val="44DA57EF"/>
    <w:rsid w:val="44E328F5"/>
    <w:rsid w:val="44E56D10"/>
    <w:rsid w:val="44E7657C"/>
    <w:rsid w:val="44E80E1C"/>
    <w:rsid w:val="44EB3AD2"/>
    <w:rsid w:val="44ED35CE"/>
    <w:rsid w:val="44F00B6E"/>
    <w:rsid w:val="44F25523"/>
    <w:rsid w:val="44FC6117"/>
    <w:rsid w:val="450979EF"/>
    <w:rsid w:val="45150CA0"/>
    <w:rsid w:val="45174716"/>
    <w:rsid w:val="45236BE7"/>
    <w:rsid w:val="45284CF3"/>
    <w:rsid w:val="45303EAF"/>
    <w:rsid w:val="45361227"/>
    <w:rsid w:val="454D7D6F"/>
    <w:rsid w:val="454E255C"/>
    <w:rsid w:val="454F28AE"/>
    <w:rsid w:val="45505AB1"/>
    <w:rsid w:val="455235D7"/>
    <w:rsid w:val="455B0481"/>
    <w:rsid w:val="455F61E6"/>
    <w:rsid w:val="4561219E"/>
    <w:rsid w:val="456168E3"/>
    <w:rsid w:val="45717F01"/>
    <w:rsid w:val="4576719D"/>
    <w:rsid w:val="45877CAE"/>
    <w:rsid w:val="45886FF9"/>
    <w:rsid w:val="458945BC"/>
    <w:rsid w:val="4599791E"/>
    <w:rsid w:val="459B4F7E"/>
    <w:rsid w:val="459F3E2E"/>
    <w:rsid w:val="45A45181"/>
    <w:rsid w:val="45A5496D"/>
    <w:rsid w:val="45B664E2"/>
    <w:rsid w:val="45C278A3"/>
    <w:rsid w:val="45C54722"/>
    <w:rsid w:val="45C64F3E"/>
    <w:rsid w:val="45CA2330"/>
    <w:rsid w:val="45CA2C44"/>
    <w:rsid w:val="45CD505A"/>
    <w:rsid w:val="45CF1031"/>
    <w:rsid w:val="45CF1C33"/>
    <w:rsid w:val="45D33BC9"/>
    <w:rsid w:val="45DF6BAF"/>
    <w:rsid w:val="45E05087"/>
    <w:rsid w:val="45F46C44"/>
    <w:rsid w:val="45FB6B1D"/>
    <w:rsid w:val="46016864"/>
    <w:rsid w:val="46052FFA"/>
    <w:rsid w:val="4617144B"/>
    <w:rsid w:val="461B6DE2"/>
    <w:rsid w:val="461C7C89"/>
    <w:rsid w:val="461F3398"/>
    <w:rsid w:val="462064F9"/>
    <w:rsid w:val="46252B8F"/>
    <w:rsid w:val="46342CDD"/>
    <w:rsid w:val="463772D8"/>
    <w:rsid w:val="463908CB"/>
    <w:rsid w:val="463C108D"/>
    <w:rsid w:val="46450251"/>
    <w:rsid w:val="465950E5"/>
    <w:rsid w:val="46651908"/>
    <w:rsid w:val="466B0DF4"/>
    <w:rsid w:val="466D2E2F"/>
    <w:rsid w:val="467454A6"/>
    <w:rsid w:val="467977C5"/>
    <w:rsid w:val="467E21A7"/>
    <w:rsid w:val="467F21AA"/>
    <w:rsid w:val="468050AE"/>
    <w:rsid w:val="468140A5"/>
    <w:rsid w:val="468166BD"/>
    <w:rsid w:val="46827B2D"/>
    <w:rsid w:val="46833207"/>
    <w:rsid w:val="468A5BDC"/>
    <w:rsid w:val="468F19EB"/>
    <w:rsid w:val="469521CD"/>
    <w:rsid w:val="469A3487"/>
    <w:rsid w:val="469D0586"/>
    <w:rsid w:val="469F45FA"/>
    <w:rsid w:val="46AA7741"/>
    <w:rsid w:val="46BA60E8"/>
    <w:rsid w:val="46C154B0"/>
    <w:rsid w:val="46D21AC8"/>
    <w:rsid w:val="46D82D7A"/>
    <w:rsid w:val="46DF2D3D"/>
    <w:rsid w:val="46E2098A"/>
    <w:rsid w:val="46E56730"/>
    <w:rsid w:val="46F87D23"/>
    <w:rsid w:val="46F9019A"/>
    <w:rsid w:val="470316A4"/>
    <w:rsid w:val="470851E8"/>
    <w:rsid w:val="47095F17"/>
    <w:rsid w:val="47105212"/>
    <w:rsid w:val="4712589E"/>
    <w:rsid w:val="471547BC"/>
    <w:rsid w:val="4716043D"/>
    <w:rsid w:val="47180768"/>
    <w:rsid w:val="47264BB4"/>
    <w:rsid w:val="47267801"/>
    <w:rsid w:val="473236C0"/>
    <w:rsid w:val="47351311"/>
    <w:rsid w:val="473D2470"/>
    <w:rsid w:val="473E357E"/>
    <w:rsid w:val="47490C0E"/>
    <w:rsid w:val="47514BAE"/>
    <w:rsid w:val="4758094C"/>
    <w:rsid w:val="476067BD"/>
    <w:rsid w:val="47683713"/>
    <w:rsid w:val="47777520"/>
    <w:rsid w:val="47785BF2"/>
    <w:rsid w:val="477C3392"/>
    <w:rsid w:val="477E7CCE"/>
    <w:rsid w:val="4782435E"/>
    <w:rsid w:val="47897529"/>
    <w:rsid w:val="47904979"/>
    <w:rsid w:val="47946129"/>
    <w:rsid w:val="47975C19"/>
    <w:rsid w:val="47A0012E"/>
    <w:rsid w:val="47A07437"/>
    <w:rsid w:val="47A5221C"/>
    <w:rsid w:val="47A61E03"/>
    <w:rsid w:val="47B16CDB"/>
    <w:rsid w:val="47B76882"/>
    <w:rsid w:val="47B93DC3"/>
    <w:rsid w:val="47BC2435"/>
    <w:rsid w:val="47BD0662"/>
    <w:rsid w:val="47C120B3"/>
    <w:rsid w:val="47CB21D4"/>
    <w:rsid w:val="47D551A8"/>
    <w:rsid w:val="47D772EC"/>
    <w:rsid w:val="47E144B0"/>
    <w:rsid w:val="47E23776"/>
    <w:rsid w:val="47E8670A"/>
    <w:rsid w:val="47E90634"/>
    <w:rsid w:val="47EF3A03"/>
    <w:rsid w:val="47F04B43"/>
    <w:rsid w:val="47F90F1A"/>
    <w:rsid w:val="47FF4413"/>
    <w:rsid w:val="48032205"/>
    <w:rsid w:val="4804129E"/>
    <w:rsid w:val="480B0368"/>
    <w:rsid w:val="480C223B"/>
    <w:rsid w:val="480D1A37"/>
    <w:rsid w:val="48111EA0"/>
    <w:rsid w:val="481A0352"/>
    <w:rsid w:val="481B2C6A"/>
    <w:rsid w:val="481C62A1"/>
    <w:rsid w:val="481D7ECC"/>
    <w:rsid w:val="482A7009"/>
    <w:rsid w:val="482E100B"/>
    <w:rsid w:val="48366CFA"/>
    <w:rsid w:val="483B3434"/>
    <w:rsid w:val="483B72D6"/>
    <w:rsid w:val="483E74B7"/>
    <w:rsid w:val="483F0F08"/>
    <w:rsid w:val="48445965"/>
    <w:rsid w:val="48457423"/>
    <w:rsid w:val="484A372F"/>
    <w:rsid w:val="48507E30"/>
    <w:rsid w:val="485246CB"/>
    <w:rsid w:val="48535936"/>
    <w:rsid w:val="485F1A4A"/>
    <w:rsid w:val="48641BA5"/>
    <w:rsid w:val="486A5D14"/>
    <w:rsid w:val="486E697A"/>
    <w:rsid w:val="488241D3"/>
    <w:rsid w:val="489B2425"/>
    <w:rsid w:val="48A25794"/>
    <w:rsid w:val="48B14AB8"/>
    <w:rsid w:val="48B23078"/>
    <w:rsid w:val="48BA5778"/>
    <w:rsid w:val="48BB0904"/>
    <w:rsid w:val="48BC1FA2"/>
    <w:rsid w:val="48BE0F96"/>
    <w:rsid w:val="48BF1904"/>
    <w:rsid w:val="48C62757"/>
    <w:rsid w:val="48C77B96"/>
    <w:rsid w:val="48C81A9C"/>
    <w:rsid w:val="48C92504"/>
    <w:rsid w:val="48C97259"/>
    <w:rsid w:val="48CB0D15"/>
    <w:rsid w:val="48D16F09"/>
    <w:rsid w:val="48D24A1A"/>
    <w:rsid w:val="48DA2AB1"/>
    <w:rsid w:val="48F74B68"/>
    <w:rsid w:val="48F93936"/>
    <w:rsid w:val="48FD2631"/>
    <w:rsid w:val="48FD5EDD"/>
    <w:rsid w:val="48FD7079"/>
    <w:rsid w:val="4911548B"/>
    <w:rsid w:val="491B6C6E"/>
    <w:rsid w:val="492223DF"/>
    <w:rsid w:val="492360B3"/>
    <w:rsid w:val="49271947"/>
    <w:rsid w:val="492A3696"/>
    <w:rsid w:val="49325907"/>
    <w:rsid w:val="4937624A"/>
    <w:rsid w:val="493C5CD0"/>
    <w:rsid w:val="493D44B7"/>
    <w:rsid w:val="493E56AB"/>
    <w:rsid w:val="493F54EA"/>
    <w:rsid w:val="49402663"/>
    <w:rsid w:val="49502F3F"/>
    <w:rsid w:val="49545323"/>
    <w:rsid w:val="495B184D"/>
    <w:rsid w:val="495E5062"/>
    <w:rsid w:val="495E6D91"/>
    <w:rsid w:val="495F791E"/>
    <w:rsid w:val="496531F2"/>
    <w:rsid w:val="496C2855"/>
    <w:rsid w:val="497862E6"/>
    <w:rsid w:val="497C7E57"/>
    <w:rsid w:val="497F1F6E"/>
    <w:rsid w:val="49831D56"/>
    <w:rsid w:val="498B5309"/>
    <w:rsid w:val="49A32653"/>
    <w:rsid w:val="49AC3041"/>
    <w:rsid w:val="49B30BE7"/>
    <w:rsid w:val="49B55228"/>
    <w:rsid w:val="49BE5E87"/>
    <w:rsid w:val="49C20808"/>
    <w:rsid w:val="49C336C7"/>
    <w:rsid w:val="49CC5693"/>
    <w:rsid w:val="49D236E0"/>
    <w:rsid w:val="49D60039"/>
    <w:rsid w:val="49DC17D2"/>
    <w:rsid w:val="49E649E3"/>
    <w:rsid w:val="49F1460A"/>
    <w:rsid w:val="49F2676E"/>
    <w:rsid w:val="49F36938"/>
    <w:rsid w:val="49F50B31"/>
    <w:rsid w:val="49F536CF"/>
    <w:rsid w:val="49F7474D"/>
    <w:rsid w:val="4A0561E0"/>
    <w:rsid w:val="4A09547A"/>
    <w:rsid w:val="4A096566"/>
    <w:rsid w:val="4A171B6A"/>
    <w:rsid w:val="4A2368E2"/>
    <w:rsid w:val="4A236B7A"/>
    <w:rsid w:val="4A2719F3"/>
    <w:rsid w:val="4A3634C7"/>
    <w:rsid w:val="4A395FD0"/>
    <w:rsid w:val="4A4229CB"/>
    <w:rsid w:val="4A4B01FC"/>
    <w:rsid w:val="4A4E4CB6"/>
    <w:rsid w:val="4A4F2DB8"/>
    <w:rsid w:val="4A553F4E"/>
    <w:rsid w:val="4A561E76"/>
    <w:rsid w:val="4A5A1E5C"/>
    <w:rsid w:val="4A5C2C74"/>
    <w:rsid w:val="4A722FB2"/>
    <w:rsid w:val="4A723167"/>
    <w:rsid w:val="4A773372"/>
    <w:rsid w:val="4A782C73"/>
    <w:rsid w:val="4A7E2F9A"/>
    <w:rsid w:val="4A9374BA"/>
    <w:rsid w:val="4A9D46FE"/>
    <w:rsid w:val="4AA74182"/>
    <w:rsid w:val="4AAA3E65"/>
    <w:rsid w:val="4AB12CDE"/>
    <w:rsid w:val="4AB80380"/>
    <w:rsid w:val="4ACA7F9D"/>
    <w:rsid w:val="4ADA014C"/>
    <w:rsid w:val="4ADB0BBB"/>
    <w:rsid w:val="4ADB5A3C"/>
    <w:rsid w:val="4AE23D4B"/>
    <w:rsid w:val="4AF11A0B"/>
    <w:rsid w:val="4AF37370"/>
    <w:rsid w:val="4AF84C20"/>
    <w:rsid w:val="4AF97BAF"/>
    <w:rsid w:val="4AFD3FE5"/>
    <w:rsid w:val="4AFF49AD"/>
    <w:rsid w:val="4B0710A5"/>
    <w:rsid w:val="4B0C5C86"/>
    <w:rsid w:val="4B114FF9"/>
    <w:rsid w:val="4B144292"/>
    <w:rsid w:val="4B1517F6"/>
    <w:rsid w:val="4B174F20"/>
    <w:rsid w:val="4B1763F5"/>
    <w:rsid w:val="4B2407FC"/>
    <w:rsid w:val="4B315D69"/>
    <w:rsid w:val="4B355B8B"/>
    <w:rsid w:val="4B412619"/>
    <w:rsid w:val="4B41360A"/>
    <w:rsid w:val="4B486A70"/>
    <w:rsid w:val="4B5C4769"/>
    <w:rsid w:val="4B66136F"/>
    <w:rsid w:val="4B6650BF"/>
    <w:rsid w:val="4B687423"/>
    <w:rsid w:val="4B6C4929"/>
    <w:rsid w:val="4B7D1899"/>
    <w:rsid w:val="4B891F50"/>
    <w:rsid w:val="4B8F7DAB"/>
    <w:rsid w:val="4B8F7DC4"/>
    <w:rsid w:val="4B986E74"/>
    <w:rsid w:val="4B991F60"/>
    <w:rsid w:val="4B9A66C0"/>
    <w:rsid w:val="4B9E0F3F"/>
    <w:rsid w:val="4BA97CC9"/>
    <w:rsid w:val="4BAC3727"/>
    <w:rsid w:val="4BB41BE8"/>
    <w:rsid w:val="4BB61D4F"/>
    <w:rsid w:val="4BC16E89"/>
    <w:rsid w:val="4BC24EA7"/>
    <w:rsid w:val="4BC34D4C"/>
    <w:rsid w:val="4BCE3403"/>
    <w:rsid w:val="4BD302E8"/>
    <w:rsid w:val="4BD63105"/>
    <w:rsid w:val="4BE331DB"/>
    <w:rsid w:val="4BE72423"/>
    <w:rsid w:val="4BEB39CC"/>
    <w:rsid w:val="4BED18C9"/>
    <w:rsid w:val="4BED77A1"/>
    <w:rsid w:val="4BEE4953"/>
    <w:rsid w:val="4BFC6D22"/>
    <w:rsid w:val="4C034147"/>
    <w:rsid w:val="4C043CB5"/>
    <w:rsid w:val="4C07689D"/>
    <w:rsid w:val="4C0D46FC"/>
    <w:rsid w:val="4C15740A"/>
    <w:rsid w:val="4C187735"/>
    <w:rsid w:val="4C1A7CB9"/>
    <w:rsid w:val="4C226976"/>
    <w:rsid w:val="4C26098E"/>
    <w:rsid w:val="4C273037"/>
    <w:rsid w:val="4C2E27D0"/>
    <w:rsid w:val="4C322A40"/>
    <w:rsid w:val="4C3703CD"/>
    <w:rsid w:val="4C373527"/>
    <w:rsid w:val="4C415029"/>
    <w:rsid w:val="4C424DE4"/>
    <w:rsid w:val="4C4740C9"/>
    <w:rsid w:val="4C487F19"/>
    <w:rsid w:val="4C5256D4"/>
    <w:rsid w:val="4C576955"/>
    <w:rsid w:val="4C580FD4"/>
    <w:rsid w:val="4C5D57D9"/>
    <w:rsid w:val="4C5E0AB3"/>
    <w:rsid w:val="4C681C5B"/>
    <w:rsid w:val="4C6A56AA"/>
    <w:rsid w:val="4C704EB3"/>
    <w:rsid w:val="4C7958C7"/>
    <w:rsid w:val="4C796B87"/>
    <w:rsid w:val="4C7D70CC"/>
    <w:rsid w:val="4C7F1DD7"/>
    <w:rsid w:val="4C82302A"/>
    <w:rsid w:val="4C84680D"/>
    <w:rsid w:val="4C87260B"/>
    <w:rsid w:val="4C893A3D"/>
    <w:rsid w:val="4C8B1B78"/>
    <w:rsid w:val="4C8B2099"/>
    <w:rsid w:val="4C9461E1"/>
    <w:rsid w:val="4C9840BF"/>
    <w:rsid w:val="4CB15717"/>
    <w:rsid w:val="4CB50711"/>
    <w:rsid w:val="4CB613E8"/>
    <w:rsid w:val="4CB66B41"/>
    <w:rsid w:val="4CBF0432"/>
    <w:rsid w:val="4CC50081"/>
    <w:rsid w:val="4CC90623"/>
    <w:rsid w:val="4CD34FFD"/>
    <w:rsid w:val="4CDE5DE6"/>
    <w:rsid w:val="4CE416A7"/>
    <w:rsid w:val="4CEA7A4E"/>
    <w:rsid w:val="4CF76E7D"/>
    <w:rsid w:val="4D000ACC"/>
    <w:rsid w:val="4D0F7FFF"/>
    <w:rsid w:val="4D1C1AB9"/>
    <w:rsid w:val="4D1F3A30"/>
    <w:rsid w:val="4D235C32"/>
    <w:rsid w:val="4D2E745A"/>
    <w:rsid w:val="4D3F4C11"/>
    <w:rsid w:val="4D4014CA"/>
    <w:rsid w:val="4D406716"/>
    <w:rsid w:val="4D420FCC"/>
    <w:rsid w:val="4D444ABF"/>
    <w:rsid w:val="4D4B6871"/>
    <w:rsid w:val="4D5008F4"/>
    <w:rsid w:val="4D595BDC"/>
    <w:rsid w:val="4D5F01EB"/>
    <w:rsid w:val="4D6550F2"/>
    <w:rsid w:val="4D673892"/>
    <w:rsid w:val="4D6910D4"/>
    <w:rsid w:val="4D742255"/>
    <w:rsid w:val="4D7665AB"/>
    <w:rsid w:val="4D7A191D"/>
    <w:rsid w:val="4D7F2BD9"/>
    <w:rsid w:val="4D8A76B0"/>
    <w:rsid w:val="4D8E361A"/>
    <w:rsid w:val="4D96420E"/>
    <w:rsid w:val="4D990F20"/>
    <w:rsid w:val="4DA31B14"/>
    <w:rsid w:val="4DA35BE5"/>
    <w:rsid w:val="4DA40310"/>
    <w:rsid w:val="4DA803AA"/>
    <w:rsid w:val="4DAA2F94"/>
    <w:rsid w:val="4DAB41CC"/>
    <w:rsid w:val="4DB53509"/>
    <w:rsid w:val="4DC10A93"/>
    <w:rsid w:val="4DC51718"/>
    <w:rsid w:val="4DC65200"/>
    <w:rsid w:val="4DC72A89"/>
    <w:rsid w:val="4DCB500F"/>
    <w:rsid w:val="4DCB5530"/>
    <w:rsid w:val="4DD23DC7"/>
    <w:rsid w:val="4DD3102D"/>
    <w:rsid w:val="4DD44A8D"/>
    <w:rsid w:val="4DDD4603"/>
    <w:rsid w:val="4DE10937"/>
    <w:rsid w:val="4DE64E8D"/>
    <w:rsid w:val="4DF416CF"/>
    <w:rsid w:val="4E013DEC"/>
    <w:rsid w:val="4E08517B"/>
    <w:rsid w:val="4E0F4144"/>
    <w:rsid w:val="4E11118C"/>
    <w:rsid w:val="4E154514"/>
    <w:rsid w:val="4E1B4014"/>
    <w:rsid w:val="4E1C6E78"/>
    <w:rsid w:val="4E1D5DD7"/>
    <w:rsid w:val="4E1E0C15"/>
    <w:rsid w:val="4E1F0E96"/>
    <w:rsid w:val="4E1F0F8C"/>
    <w:rsid w:val="4E202CFB"/>
    <w:rsid w:val="4E273DE5"/>
    <w:rsid w:val="4E291031"/>
    <w:rsid w:val="4E323FA5"/>
    <w:rsid w:val="4E3B57F9"/>
    <w:rsid w:val="4E4837C9"/>
    <w:rsid w:val="4E4C52BC"/>
    <w:rsid w:val="4E4D2A0C"/>
    <w:rsid w:val="4E4D31B4"/>
    <w:rsid w:val="4E500EC3"/>
    <w:rsid w:val="4E504147"/>
    <w:rsid w:val="4E555EE6"/>
    <w:rsid w:val="4E585A69"/>
    <w:rsid w:val="4E5E12F3"/>
    <w:rsid w:val="4E6E3FBD"/>
    <w:rsid w:val="4E704B27"/>
    <w:rsid w:val="4E791313"/>
    <w:rsid w:val="4E7B505D"/>
    <w:rsid w:val="4E7E43EE"/>
    <w:rsid w:val="4E7E543D"/>
    <w:rsid w:val="4E807AE6"/>
    <w:rsid w:val="4E9446C1"/>
    <w:rsid w:val="4E9502E8"/>
    <w:rsid w:val="4E965A41"/>
    <w:rsid w:val="4E9662CD"/>
    <w:rsid w:val="4E9D5CA8"/>
    <w:rsid w:val="4E9F13AD"/>
    <w:rsid w:val="4EA43238"/>
    <w:rsid w:val="4EA823FA"/>
    <w:rsid w:val="4EA8711E"/>
    <w:rsid w:val="4EB25F74"/>
    <w:rsid w:val="4EB54AC3"/>
    <w:rsid w:val="4EB7380F"/>
    <w:rsid w:val="4EB751C3"/>
    <w:rsid w:val="4EBE538C"/>
    <w:rsid w:val="4EC07AE4"/>
    <w:rsid w:val="4EC96A44"/>
    <w:rsid w:val="4ECF5003"/>
    <w:rsid w:val="4ED357AB"/>
    <w:rsid w:val="4EE1076C"/>
    <w:rsid w:val="4EE334F2"/>
    <w:rsid w:val="4EE84F54"/>
    <w:rsid w:val="4EFD4860"/>
    <w:rsid w:val="4F0C7551"/>
    <w:rsid w:val="4F1D07B2"/>
    <w:rsid w:val="4F306EDD"/>
    <w:rsid w:val="4F4968AB"/>
    <w:rsid w:val="4F4E7ABA"/>
    <w:rsid w:val="4F544CAD"/>
    <w:rsid w:val="4F660041"/>
    <w:rsid w:val="4F793E4F"/>
    <w:rsid w:val="4F902A7E"/>
    <w:rsid w:val="4FA97723"/>
    <w:rsid w:val="4FAC33AD"/>
    <w:rsid w:val="4FB22FA3"/>
    <w:rsid w:val="4FB82F38"/>
    <w:rsid w:val="4FBC1E84"/>
    <w:rsid w:val="4FC1201E"/>
    <w:rsid w:val="4FC61AAE"/>
    <w:rsid w:val="4FCC6620"/>
    <w:rsid w:val="4FD77C0B"/>
    <w:rsid w:val="4FD77F76"/>
    <w:rsid w:val="4FF04967"/>
    <w:rsid w:val="4FF361FE"/>
    <w:rsid w:val="4FFC023E"/>
    <w:rsid w:val="50011E81"/>
    <w:rsid w:val="500D13A0"/>
    <w:rsid w:val="50170CA9"/>
    <w:rsid w:val="501C2B7B"/>
    <w:rsid w:val="501E106D"/>
    <w:rsid w:val="50282AA9"/>
    <w:rsid w:val="502867BA"/>
    <w:rsid w:val="50287404"/>
    <w:rsid w:val="502B565A"/>
    <w:rsid w:val="502D4AD3"/>
    <w:rsid w:val="50302767"/>
    <w:rsid w:val="50373299"/>
    <w:rsid w:val="504828D3"/>
    <w:rsid w:val="50494DC1"/>
    <w:rsid w:val="504A07DA"/>
    <w:rsid w:val="5050377F"/>
    <w:rsid w:val="5054319B"/>
    <w:rsid w:val="5059663C"/>
    <w:rsid w:val="505C4C07"/>
    <w:rsid w:val="505D551E"/>
    <w:rsid w:val="5062117E"/>
    <w:rsid w:val="50642410"/>
    <w:rsid w:val="506E2C9A"/>
    <w:rsid w:val="506E3F2C"/>
    <w:rsid w:val="50747785"/>
    <w:rsid w:val="507606A6"/>
    <w:rsid w:val="50771D81"/>
    <w:rsid w:val="507837EB"/>
    <w:rsid w:val="508230AB"/>
    <w:rsid w:val="5084478B"/>
    <w:rsid w:val="50851989"/>
    <w:rsid w:val="50861A41"/>
    <w:rsid w:val="50B3434C"/>
    <w:rsid w:val="50B534AD"/>
    <w:rsid w:val="50BA3D02"/>
    <w:rsid w:val="50CD605E"/>
    <w:rsid w:val="50D31C9F"/>
    <w:rsid w:val="50DE7239"/>
    <w:rsid w:val="50E60A07"/>
    <w:rsid w:val="50E71589"/>
    <w:rsid w:val="50E9588C"/>
    <w:rsid w:val="50E973A8"/>
    <w:rsid w:val="50EC4885"/>
    <w:rsid w:val="50F6603F"/>
    <w:rsid w:val="50F745BA"/>
    <w:rsid w:val="50FA1CA7"/>
    <w:rsid w:val="510460CD"/>
    <w:rsid w:val="51077562"/>
    <w:rsid w:val="51113F85"/>
    <w:rsid w:val="5119144D"/>
    <w:rsid w:val="511B6F73"/>
    <w:rsid w:val="512433E2"/>
    <w:rsid w:val="51293641"/>
    <w:rsid w:val="512A4735"/>
    <w:rsid w:val="513008CA"/>
    <w:rsid w:val="513261BA"/>
    <w:rsid w:val="51353481"/>
    <w:rsid w:val="51364D28"/>
    <w:rsid w:val="5139564B"/>
    <w:rsid w:val="513C2D56"/>
    <w:rsid w:val="513D15DF"/>
    <w:rsid w:val="513F4D16"/>
    <w:rsid w:val="514D4737"/>
    <w:rsid w:val="514F1FA1"/>
    <w:rsid w:val="51552A05"/>
    <w:rsid w:val="51556929"/>
    <w:rsid w:val="51606BFC"/>
    <w:rsid w:val="516256ED"/>
    <w:rsid w:val="51663558"/>
    <w:rsid w:val="51707247"/>
    <w:rsid w:val="51744A4A"/>
    <w:rsid w:val="517A1A62"/>
    <w:rsid w:val="51847428"/>
    <w:rsid w:val="51881F81"/>
    <w:rsid w:val="51884273"/>
    <w:rsid w:val="519A258E"/>
    <w:rsid w:val="51A451BA"/>
    <w:rsid w:val="51A61C2D"/>
    <w:rsid w:val="51B6770D"/>
    <w:rsid w:val="51B722DE"/>
    <w:rsid w:val="51BC4751"/>
    <w:rsid w:val="51C01A01"/>
    <w:rsid w:val="51C03390"/>
    <w:rsid w:val="51C4585C"/>
    <w:rsid w:val="51C65307"/>
    <w:rsid w:val="51CB4D85"/>
    <w:rsid w:val="51D123C2"/>
    <w:rsid w:val="51D66CF6"/>
    <w:rsid w:val="51D80D85"/>
    <w:rsid w:val="51DE12FC"/>
    <w:rsid w:val="51E541F9"/>
    <w:rsid w:val="51EC076E"/>
    <w:rsid w:val="51F06CF2"/>
    <w:rsid w:val="51F31B58"/>
    <w:rsid w:val="51F868C1"/>
    <w:rsid w:val="52014570"/>
    <w:rsid w:val="52057C7F"/>
    <w:rsid w:val="52062BEA"/>
    <w:rsid w:val="520812A5"/>
    <w:rsid w:val="52104C64"/>
    <w:rsid w:val="521C11F4"/>
    <w:rsid w:val="52223DB3"/>
    <w:rsid w:val="522602C5"/>
    <w:rsid w:val="52277055"/>
    <w:rsid w:val="522816AD"/>
    <w:rsid w:val="522A0FD2"/>
    <w:rsid w:val="522A7D62"/>
    <w:rsid w:val="522B3249"/>
    <w:rsid w:val="52371D6C"/>
    <w:rsid w:val="52375F7A"/>
    <w:rsid w:val="523F1387"/>
    <w:rsid w:val="52526B1F"/>
    <w:rsid w:val="525B7D41"/>
    <w:rsid w:val="528364E8"/>
    <w:rsid w:val="52890899"/>
    <w:rsid w:val="528C1266"/>
    <w:rsid w:val="529015B0"/>
    <w:rsid w:val="529448CC"/>
    <w:rsid w:val="52972F71"/>
    <w:rsid w:val="52974ED7"/>
    <w:rsid w:val="529A1206"/>
    <w:rsid w:val="52B15FA1"/>
    <w:rsid w:val="52B47467"/>
    <w:rsid w:val="52B70F1D"/>
    <w:rsid w:val="52BC53A4"/>
    <w:rsid w:val="52BE3AB4"/>
    <w:rsid w:val="52C0045A"/>
    <w:rsid w:val="52CA29FF"/>
    <w:rsid w:val="52CF406F"/>
    <w:rsid w:val="52DE5220"/>
    <w:rsid w:val="52ED0DE3"/>
    <w:rsid w:val="52F037A1"/>
    <w:rsid w:val="52F92CE3"/>
    <w:rsid w:val="530A54F1"/>
    <w:rsid w:val="53191BD8"/>
    <w:rsid w:val="5322219A"/>
    <w:rsid w:val="5324032B"/>
    <w:rsid w:val="532D3261"/>
    <w:rsid w:val="533A3ECE"/>
    <w:rsid w:val="533E53A8"/>
    <w:rsid w:val="53431E94"/>
    <w:rsid w:val="53463A85"/>
    <w:rsid w:val="53492B23"/>
    <w:rsid w:val="534F110E"/>
    <w:rsid w:val="535112B4"/>
    <w:rsid w:val="53576E10"/>
    <w:rsid w:val="535D1309"/>
    <w:rsid w:val="53645CDF"/>
    <w:rsid w:val="5367764E"/>
    <w:rsid w:val="536A2433"/>
    <w:rsid w:val="536A3D92"/>
    <w:rsid w:val="53707343"/>
    <w:rsid w:val="537D52A8"/>
    <w:rsid w:val="53860061"/>
    <w:rsid w:val="53872630"/>
    <w:rsid w:val="5388299C"/>
    <w:rsid w:val="538B7F8C"/>
    <w:rsid w:val="539349F0"/>
    <w:rsid w:val="53991236"/>
    <w:rsid w:val="539F6C50"/>
    <w:rsid w:val="53AE2DE0"/>
    <w:rsid w:val="53B272A7"/>
    <w:rsid w:val="53BC6A95"/>
    <w:rsid w:val="53BE4267"/>
    <w:rsid w:val="53C119F3"/>
    <w:rsid w:val="53C16078"/>
    <w:rsid w:val="53C93962"/>
    <w:rsid w:val="53D22DC6"/>
    <w:rsid w:val="53DE69AE"/>
    <w:rsid w:val="53E93358"/>
    <w:rsid w:val="53F005F3"/>
    <w:rsid w:val="53F27802"/>
    <w:rsid w:val="53F544E9"/>
    <w:rsid w:val="53FD3EF0"/>
    <w:rsid w:val="540444E2"/>
    <w:rsid w:val="54053CC8"/>
    <w:rsid w:val="54082EF0"/>
    <w:rsid w:val="54181DE1"/>
    <w:rsid w:val="541A0B61"/>
    <w:rsid w:val="541B4984"/>
    <w:rsid w:val="542234AE"/>
    <w:rsid w:val="54257246"/>
    <w:rsid w:val="543B1B24"/>
    <w:rsid w:val="544040DB"/>
    <w:rsid w:val="54432F16"/>
    <w:rsid w:val="5443730C"/>
    <w:rsid w:val="544A2E36"/>
    <w:rsid w:val="544E5B82"/>
    <w:rsid w:val="545C6386"/>
    <w:rsid w:val="546450D5"/>
    <w:rsid w:val="546D18BF"/>
    <w:rsid w:val="54714509"/>
    <w:rsid w:val="547C44DF"/>
    <w:rsid w:val="547D0BAA"/>
    <w:rsid w:val="54895879"/>
    <w:rsid w:val="548C0F69"/>
    <w:rsid w:val="5499550F"/>
    <w:rsid w:val="54A26E92"/>
    <w:rsid w:val="54A557A9"/>
    <w:rsid w:val="54A97900"/>
    <w:rsid w:val="54AB6860"/>
    <w:rsid w:val="54AD4345"/>
    <w:rsid w:val="54B05DCB"/>
    <w:rsid w:val="54B77022"/>
    <w:rsid w:val="54B81B15"/>
    <w:rsid w:val="54BE5A0A"/>
    <w:rsid w:val="54C052D0"/>
    <w:rsid w:val="54C40FED"/>
    <w:rsid w:val="54C55925"/>
    <w:rsid w:val="54CC1DD9"/>
    <w:rsid w:val="54D264E2"/>
    <w:rsid w:val="54E97B0D"/>
    <w:rsid w:val="54EA4540"/>
    <w:rsid w:val="54F05465"/>
    <w:rsid w:val="54F4210F"/>
    <w:rsid w:val="54F63982"/>
    <w:rsid w:val="54FC20CA"/>
    <w:rsid w:val="54FC6198"/>
    <w:rsid w:val="55086545"/>
    <w:rsid w:val="550A3340"/>
    <w:rsid w:val="550D56AD"/>
    <w:rsid w:val="551B201F"/>
    <w:rsid w:val="552159C7"/>
    <w:rsid w:val="5528196E"/>
    <w:rsid w:val="55346DAA"/>
    <w:rsid w:val="553650D0"/>
    <w:rsid w:val="553C395C"/>
    <w:rsid w:val="554503F2"/>
    <w:rsid w:val="55450813"/>
    <w:rsid w:val="554835B8"/>
    <w:rsid w:val="55535092"/>
    <w:rsid w:val="555B607B"/>
    <w:rsid w:val="5560589C"/>
    <w:rsid w:val="55631913"/>
    <w:rsid w:val="55682BE8"/>
    <w:rsid w:val="556A262E"/>
    <w:rsid w:val="556C4241"/>
    <w:rsid w:val="556D7907"/>
    <w:rsid w:val="557531D6"/>
    <w:rsid w:val="557C634E"/>
    <w:rsid w:val="557E77B7"/>
    <w:rsid w:val="5582576A"/>
    <w:rsid w:val="5585490B"/>
    <w:rsid w:val="55894DF3"/>
    <w:rsid w:val="55923320"/>
    <w:rsid w:val="559C1D17"/>
    <w:rsid w:val="559C7EE1"/>
    <w:rsid w:val="559E1496"/>
    <w:rsid w:val="559E224E"/>
    <w:rsid w:val="55AE2AAB"/>
    <w:rsid w:val="55AE3E27"/>
    <w:rsid w:val="55BF6A67"/>
    <w:rsid w:val="55D27B43"/>
    <w:rsid w:val="55D51D0D"/>
    <w:rsid w:val="55D909B9"/>
    <w:rsid w:val="55E276DA"/>
    <w:rsid w:val="55E6199B"/>
    <w:rsid w:val="55F77D8C"/>
    <w:rsid w:val="55F8121C"/>
    <w:rsid w:val="55F877C7"/>
    <w:rsid w:val="55FF1168"/>
    <w:rsid w:val="560945C6"/>
    <w:rsid w:val="561548D9"/>
    <w:rsid w:val="561641AD"/>
    <w:rsid w:val="561D793B"/>
    <w:rsid w:val="56221CAB"/>
    <w:rsid w:val="56336B0D"/>
    <w:rsid w:val="56354770"/>
    <w:rsid w:val="56417C4B"/>
    <w:rsid w:val="564A4959"/>
    <w:rsid w:val="565129A9"/>
    <w:rsid w:val="5653126C"/>
    <w:rsid w:val="565D00E5"/>
    <w:rsid w:val="566118F6"/>
    <w:rsid w:val="56623FDF"/>
    <w:rsid w:val="56657940"/>
    <w:rsid w:val="56696897"/>
    <w:rsid w:val="56725361"/>
    <w:rsid w:val="56870BCE"/>
    <w:rsid w:val="56893E7C"/>
    <w:rsid w:val="568C73A3"/>
    <w:rsid w:val="568E69E4"/>
    <w:rsid w:val="569157D9"/>
    <w:rsid w:val="569F4772"/>
    <w:rsid w:val="56A919C7"/>
    <w:rsid w:val="56AB0BA8"/>
    <w:rsid w:val="56AC3A85"/>
    <w:rsid w:val="56B37C4E"/>
    <w:rsid w:val="56B42C5E"/>
    <w:rsid w:val="56B60047"/>
    <w:rsid w:val="56B709A2"/>
    <w:rsid w:val="56BF7DF2"/>
    <w:rsid w:val="56C6317F"/>
    <w:rsid w:val="56C86DF8"/>
    <w:rsid w:val="56C9690C"/>
    <w:rsid w:val="56CA7FDA"/>
    <w:rsid w:val="56CD3F59"/>
    <w:rsid w:val="56D200E1"/>
    <w:rsid w:val="56D46610"/>
    <w:rsid w:val="56D73355"/>
    <w:rsid w:val="56E322E1"/>
    <w:rsid w:val="56E9366F"/>
    <w:rsid w:val="56EF4470"/>
    <w:rsid w:val="56EF4FC6"/>
    <w:rsid w:val="56F62110"/>
    <w:rsid w:val="56FB2AFF"/>
    <w:rsid w:val="57077F9F"/>
    <w:rsid w:val="570822DC"/>
    <w:rsid w:val="57090A81"/>
    <w:rsid w:val="570C57C6"/>
    <w:rsid w:val="571A2333"/>
    <w:rsid w:val="5721507B"/>
    <w:rsid w:val="572518AB"/>
    <w:rsid w:val="572648C3"/>
    <w:rsid w:val="572959A2"/>
    <w:rsid w:val="572B3C88"/>
    <w:rsid w:val="572D1331"/>
    <w:rsid w:val="573072C0"/>
    <w:rsid w:val="57323C3C"/>
    <w:rsid w:val="57417911"/>
    <w:rsid w:val="57467FBB"/>
    <w:rsid w:val="5748735F"/>
    <w:rsid w:val="574B60D8"/>
    <w:rsid w:val="574D280E"/>
    <w:rsid w:val="57621BD0"/>
    <w:rsid w:val="576A7826"/>
    <w:rsid w:val="57721347"/>
    <w:rsid w:val="577D0B9E"/>
    <w:rsid w:val="57852F0E"/>
    <w:rsid w:val="578A6C00"/>
    <w:rsid w:val="57A06424"/>
    <w:rsid w:val="57A10134"/>
    <w:rsid w:val="57A23F4A"/>
    <w:rsid w:val="57A25CD3"/>
    <w:rsid w:val="57AC396B"/>
    <w:rsid w:val="57B70667"/>
    <w:rsid w:val="57BC3D89"/>
    <w:rsid w:val="57BD0C66"/>
    <w:rsid w:val="57C714EF"/>
    <w:rsid w:val="57C94576"/>
    <w:rsid w:val="57D32355"/>
    <w:rsid w:val="57DF052E"/>
    <w:rsid w:val="57E24562"/>
    <w:rsid w:val="57E83E4C"/>
    <w:rsid w:val="57EB3753"/>
    <w:rsid w:val="57EF2EDD"/>
    <w:rsid w:val="57EF62EE"/>
    <w:rsid w:val="57F03CA5"/>
    <w:rsid w:val="57F13243"/>
    <w:rsid w:val="57F91F71"/>
    <w:rsid w:val="57FD20CE"/>
    <w:rsid w:val="5804376F"/>
    <w:rsid w:val="580B751B"/>
    <w:rsid w:val="5813734B"/>
    <w:rsid w:val="58153A3A"/>
    <w:rsid w:val="58213F10"/>
    <w:rsid w:val="5825082B"/>
    <w:rsid w:val="5828202D"/>
    <w:rsid w:val="5835523D"/>
    <w:rsid w:val="58407472"/>
    <w:rsid w:val="58463803"/>
    <w:rsid w:val="5849381E"/>
    <w:rsid w:val="58560D1B"/>
    <w:rsid w:val="5858676E"/>
    <w:rsid w:val="585978A4"/>
    <w:rsid w:val="585A2A77"/>
    <w:rsid w:val="586414B1"/>
    <w:rsid w:val="58642D3C"/>
    <w:rsid w:val="58753041"/>
    <w:rsid w:val="58767BA7"/>
    <w:rsid w:val="58841156"/>
    <w:rsid w:val="588C2EB7"/>
    <w:rsid w:val="58947257"/>
    <w:rsid w:val="58975289"/>
    <w:rsid w:val="58985754"/>
    <w:rsid w:val="589B1B8E"/>
    <w:rsid w:val="58A11769"/>
    <w:rsid w:val="58B54E2C"/>
    <w:rsid w:val="58B61A11"/>
    <w:rsid w:val="58BF3060"/>
    <w:rsid w:val="58C16652"/>
    <w:rsid w:val="58C24BD6"/>
    <w:rsid w:val="58C47BEF"/>
    <w:rsid w:val="58CB4787"/>
    <w:rsid w:val="58CE43F8"/>
    <w:rsid w:val="58E5304E"/>
    <w:rsid w:val="58E556C0"/>
    <w:rsid w:val="58FB698C"/>
    <w:rsid w:val="58FD5BE8"/>
    <w:rsid w:val="58FF44B7"/>
    <w:rsid w:val="590429E2"/>
    <w:rsid w:val="59050C34"/>
    <w:rsid w:val="590604D8"/>
    <w:rsid w:val="590B0C92"/>
    <w:rsid w:val="59117379"/>
    <w:rsid w:val="59142C25"/>
    <w:rsid w:val="59184390"/>
    <w:rsid w:val="59192AB0"/>
    <w:rsid w:val="592B61ED"/>
    <w:rsid w:val="593218C8"/>
    <w:rsid w:val="593A182D"/>
    <w:rsid w:val="593F3A1A"/>
    <w:rsid w:val="594062D6"/>
    <w:rsid w:val="594141C3"/>
    <w:rsid w:val="59456244"/>
    <w:rsid w:val="59480B21"/>
    <w:rsid w:val="59484FC5"/>
    <w:rsid w:val="594C6863"/>
    <w:rsid w:val="59514715"/>
    <w:rsid w:val="59597EA9"/>
    <w:rsid w:val="595A1DEA"/>
    <w:rsid w:val="595C2057"/>
    <w:rsid w:val="5965125D"/>
    <w:rsid w:val="59680FE1"/>
    <w:rsid w:val="596A4F3B"/>
    <w:rsid w:val="596C23D7"/>
    <w:rsid w:val="597F13DE"/>
    <w:rsid w:val="59937AFB"/>
    <w:rsid w:val="599646C8"/>
    <w:rsid w:val="599A1D6F"/>
    <w:rsid w:val="599F570C"/>
    <w:rsid w:val="59A51DB2"/>
    <w:rsid w:val="59AA3314"/>
    <w:rsid w:val="59AB1D36"/>
    <w:rsid w:val="59B34FCB"/>
    <w:rsid w:val="59B8562B"/>
    <w:rsid w:val="59BB0071"/>
    <w:rsid w:val="59BF5310"/>
    <w:rsid w:val="59CB7C19"/>
    <w:rsid w:val="59DA30FF"/>
    <w:rsid w:val="59DD247F"/>
    <w:rsid w:val="59E265BA"/>
    <w:rsid w:val="59E36A9C"/>
    <w:rsid w:val="59E702F0"/>
    <w:rsid w:val="59E87605"/>
    <w:rsid w:val="59F81C8F"/>
    <w:rsid w:val="59FA62BF"/>
    <w:rsid w:val="59FE06FB"/>
    <w:rsid w:val="59FE0AC5"/>
    <w:rsid w:val="5A0D5C8C"/>
    <w:rsid w:val="5A0F4038"/>
    <w:rsid w:val="5A2D3C58"/>
    <w:rsid w:val="5A3E3A0D"/>
    <w:rsid w:val="5A3F0DF1"/>
    <w:rsid w:val="5A4C63EF"/>
    <w:rsid w:val="5A504131"/>
    <w:rsid w:val="5A5513EB"/>
    <w:rsid w:val="5A590603"/>
    <w:rsid w:val="5A5B515A"/>
    <w:rsid w:val="5A5C303D"/>
    <w:rsid w:val="5A5D4E2B"/>
    <w:rsid w:val="5A5F673F"/>
    <w:rsid w:val="5A615D86"/>
    <w:rsid w:val="5A650D5A"/>
    <w:rsid w:val="5A690D4F"/>
    <w:rsid w:val="5A6F6F7F"/>
    <w:rsid w:val="5A711A24"/>
    <w:rsid w:val="5A7B6F96"/>
    <w:rsid w:val="5A7C0C42"/>
    <w:rsid w:val="5A8042EB"/>
    <w:rsid w:val="5A833F6D"/>
    <w:rsid w:val="5A903430"/>
    <w:rsid w:val="5A9436F8"/>
    <w:rsid w:val="5A9A07E3"/>
    <w:rsid w:val="5AA314BD"/>
    <w:rsid w:val="5AB309D1"/>
    <w:rsid w:val="5AB5009D"/>
    <w:rsid w:val="5AB640FE"/>
    <w:rsid w:val="5ABB4345"/>
    <w:rsid w:val="5AC10B8B"/>
    <w:rsid w:val="5AC16DDD"/>
    <w:rsid w:val="5ACC3F0E"/>
    <w:rsid w:val="5AD05272"/>
    <w:rsid w:val="5AD410D4"/>
    <w:rsid w:val="5AD556B9"/>
    <w:rsid w:val="5ADB3CBD"/>
    <w:rsid w:val="5ADD2BA5"/>
    <w:rsid w:val="5AE35A60"/>
    <w:rsid w:val="5AEE1D63"/>
    <w:rsid w:val="5AF429EC"/>
    <w:rsid w:val="5AF81503"/>
    <w:rsid w:val="5AF8302B"/>
    <w:rsid w:val="5AFB26D3"/>
    <w:rsid w:val="5B0664D1"/>
    <w:rsid w:val="5B0A20DA"/>
    <w:rsid w:val="5B0B5AF6"/>
    <w:rsid w:val="5B190037"/>
    <w:rsid w:val="5B1E7D8B"/>
    <w:rsid w:val="5B2048D9"/>
    <w:rsid w:val="5B2A1BC3"/>
    <w:rsid w:val="5B2A416F"/>
    <w:rsid w:val="5B2F1CA8"/>
    <w:rsid w:val="5B32031C"/>
    <w:rsid w:val="5B3A093D"/>
    <w:rsid w:val="5B3E1B99"/>
    <w:rsid w:val="5B413A8C"/>
    <w:rsid w:val="5B414466"/>
    <w:rsid w:val="5B422FE3"/>
    <w:rsid w:val="5B507E7F"/>
    <w:rsid w:val="5B62197B"/>
    <w:rsid w:val="5B650AB5"/>
    <w:rsid w:val="5B687515"/>
    <w:rsid w:val="5B766812"/>
    <w:rsid w:val="5B7703DE"/>
    <w:rsid w:val="5B821CA0"/>
    <w:rsid w:val="5B834092"/>
    <w:rsid w:val="5B8F6C67"/>
    <w:rsid w:val="5B935E32"/>
    <w:rsid w:val="5B9426CB"/>
    <w:rsid w:val="5B9548BF"/>
    <w:rsid w:val="5BB2012D"/>
    <w:rsid w:val="5BB34843"/>
    <w:rsid w:val="5BC3215C"/>
    <w:rsid w:val="5BD13050"/>
    <w:rsid w:val="5BD26DC8"/>
    <w:rsid w:val="5BE22BE2"/>
    <w:rsid w:val="5BE943C7"/>
    <w:rsid w:val="5BEA23FD"/>
    <w:rsid w:val="5BF22F75"/>
    <w:rsid w:val="5BF671F3"/>
    <w:rsid w:val="5BF703F9"/>
    <w:rsid w:val="5BF96B1A"/>
    <w:rsid w:val="5BFB0FD6"/>
    <w:rsid w:val="5BFE2350"/>
    <w:rsid w:val="5C101354"/>
    <w:rsid w:val="5C131400"/>
    <w:rsid w:val="5C154A2D"/>
    <w:rsid w:val="5C1C6FB9"/>
    <w:rsid w:val="5C335AB8"/>
    <w:rsid w:val="5C352D37"/>
    <w:rsid w:val="5C392AD6"/>
    <w:rsid w:val="5C3F58C0"/>
    <w:rsid w:val="5C3F5D21"/>
    <w:rsid w:val="5C4B6CC8"/>
    <w:rsid w:val="5C4F6A3B"/>
    <w:rsid w:val="5C515F1A"/>
    <w:rsid w:val="5C6B4BB4"/>
    <w:rsid w:val="5C6F7A73"/>
    <w:rsid w:val="5C700BAA"/>
    <w:rsid w:val="5C734427"/>
    <w:rsid w:val="5C734DB5"/>
    <w:rsid w:val="5C747B79"/>
    <w:rsid w:val="5C82647A"/>
    <w:rsid w:val="5C826D06"/>
    <w:rsid w:val="5C873145"/>
    <w:rsid w:val="5C950521"/>
    <w:rsid w:val="5C992608"/>
    <w:rsid w:val="5C9C519C"/>
    <w:rsid w:val="5CA408A7"/>
    <w:rsid w:val="5CAA564F"/>
    <w:rsid w:val="5CB62DA9"/>
    <w:rsid w:val="5CBD4C77"/>
    <w:rsid w:val="5CBF01A8"/>
    <w:rsid w:val="5CC74453"/>
    <w:rsid w:val="5CCE27A2"/>
    <w:rsid w:val="5CDA421A"/>
    <w:rsid w:val="5CDB40DA"/>
    <w:rsid w:val="5CDF4408"/>
    <w:rsid w:val="5CDF5AD2"/>
    <w:rsid w:val="5CEE7DE0"/>
    <w:rsid w:val="5CF711A1"/>
    <w:rsid w:val="5D092AA9"/>
    <w:rsid w:val="5D0C00B7"/>
    <w:rsid w:val="5D13037F"/>
    <w:rsid w:val="5D1947F9"/>
    <w:rsid w:val="5D1D2296"/>
    <w:rsid w:val="5D271234"/>
    <w:rsid w:val="5D305589"/>
    <w:rsid w:val="5D32630C"/>
    <w:rsid w:val="5D3A4C25"/>
    <w:rsid w:val="5D4D4B30"/>
    <w:rsid w:val="5D53091E"/>
    <w:rsid w:val="5D551D45"/>
    <w:rsid w:val="5D555CF6"/>
    <w:rsid w:val="5D595A1D"/>
    <w:rsid w:val="5D5E4630"/>
    <w:rsid w:val="5D5E60CD"/>
    <w:rsid w:val="5D6361C4"/>
    <w:rsid w:val="5D641CA2"/>
    <w:rsid w:val="5D7958A3"/>
    <w:rsid w:val="5D870900"/>
    <w:rsid w:val="5D885DC1"/>
    <w:rsid w:val="5D9041C4"/>
    <w:rsid w:val="5D9555C5"/>
    <w:rsid w:val="5D9D04C9"/>
    <w:rsid w:val="5D9D7082"/>
    <w:rsid w:val="5DB949BF"/>
    <w:rsid w:val="5DC12353"/>
    <w:rsid w:val="5DC307FA"/>
    <w:rsid w:val="5DC34C1A"/>
    <w:rsid w:val="5DC44876"/>
    <w:rsid w:val="5DC751C3"/>
    <w:rsid w:val="5DCB3ACF"/>
    <w:rsid w:val="5DDA5938"/>
    <w:rsid w:val="5DE04D77"/>
    <w:rsid w:val="5DE54B34"/>
    <w:rsid w:val="5DEB7CBF"/>
    <w:rsid w:val="5DEC37D0"/>
    <w:rsid w:val="5DEF452C"/>
    <w:rsid w:val="5DFD5D58"/>
    <w:rsid w:val="5E00560C"/>
    <w:rsid w:val="5E20213F"/>
    <w:rsid w:val="5E304ED4"/>
    <w:rsid w:val="5E315716"/>
    <w:rsid w:val="5E37263F"/>
    <w:rsid w:val="5E3D59D6"/>
    <w:rsid w:val="5E456633"/>
    <w:rsid w:val="5E46735B"/>
    <w:rsid w:val="5E522ABE"/>
    <w:rsid w:val="5E524718"/>
    <w:rsid w:val="5E5577C0"/>
    <w:rsid w:val="5E5A354E"/>
    <w:rsid w:val="5E6E0206"/>
    <w:rsid w:val="5E6E6029"/>
    <w:rsid w:val="5E7248A5"/>
    <w:rsid w:val="5E83582A"/>
    <w:rsid w:val="5E884785"/>
    <w:rsid w:val="5E903E74"/>
    <w:rsid w:val="5E934044"/>
    <w:rsid w:val="5E977D01"/>
    <w:rsid w:val="5E980273"/>
    <w:rsid w:val="5E992621"/>
    <w:rsid w:val="5E9D36BD"/>
    <w:rsid w:val="5EA03336"/>
    <w:rsid w:val="5EA558D6"/>
    <w:rsid w:val="5EA55D11"/>
    <w:rsid w:val="5EA6278C"/>
    <w:rsid w:val="5EBF1885"/>
    <w:rsid w:val="5EC17405"/>
    <w:rsid w:val="5EC7199D"/>
    <w:rsid w:val="5EC80351"/>
    <w:rsid w:val="5EC95725"/>
    <w:rsid w:val="5ECC4BD3"/>
    <w:rsid w:val="5ED120FF"/>
    <w:rsid w:val="5EE62ABD"/>
    <w:rsid w:val="5EEC01A1"/>
    <w:rsid w:val="5EEE7526"/>
    <w:rsid w:val="5EF6315E"/>
    <w:rsid w:val="5EFC1A9B"/>
    <w:rsid w:val="5EFE3607"/>
    <w:rsid w:val="5F0370E8"/>
    <w:rsid w:val="5F064BBF"/>
    <w:rsid w:val="5F067FF7"/>
    <w:rsid w:val="5F1217C2"/>
    <w:rsid w:val="5F1310D4"/>
    <w:rsid w:val="5F16521D"/>
    <w:rsid w:val="5F170948"/>
    <w:rsid w:val="5F1A5289"/>
    <w:rsid w:val="5F1F116C"/>
    <w:rsid w:val="5F2C04C2"/>
    <w:rsid w:val="5F3913F3"/>
    <w:rsid w:val="5F45196E"/>
    <w:rsid w:val="5F4A0AB9"/>
    <w:rsid w:val="5F4E034B"/>
    <w:rsid w:val="5F520B89"/>
    <w:rsid w:val="5F5643DE"/>
    <w:rsid w:val="5F610B6B"/>
    <w:rsid w:val="5F675A73"/>
    <w:rsid w:val="5F6A50E9"/>
    <w:rsid w:val="5F6B1250"/>
    <w:rsid w:val="5F6E2A69"/>
    <w:rsid w:val="5F777EC3"/>
    <w:rsid w:val="5F83500A"/>
    <w:rsid w:val="5F847A72"/>
    <w:rsid w:val="5F882426"/>
    <w:rsid w:val="5F894190"/>
    <w:rsid w:val="5F8B21CC"/>
    <w:rsid w:val="5F8B2AEA"/>
    <w:rsid w:val="5F925054"/>
    <w:rsid w:val="5F9467E5"/>
    <w:rsid w:val="5F953566"/>
    <w:rsid w:val="5F9920D6"/>
    <w:rsid w:val="5F9F1AF5"/>
    <w:rsid w:val="5FA9607E"/>
    <w:rsid w:val="5FA9682F"/>
    <w:rsid w:val="5FC9467F"/>
    <w:rsid w:val="5FD8679B"/>
    <w:rsid w:val="5FDC720B"/>
    <w:rsid w:val="5FEF39BE"/>
    <w:rsid w:val="5FF94530"/>
    <w:rsid w:val="5FFB1909"/>
    <w:rsid w:val="60000E7D"/>
    <w:rsid w:val="60067904"/>
    <w:rsid w:val="6008604F"/>
    <w:rsid w:val="601229C4"/>
    <w:rsid w:val="601347E5"/>
    <w:rsid w:val="6015244D"/>
    <w:rsid w:val="60261B73"/>
    <w:rsid w:val="602E3170"/>
    <w:rsid w:val="603269C5"/>
    <w:rsid w:val="60331837"/>
    <w:rsid w:val="60345499"/>
    <w:rsid w:val="60395667"/>
    <w:rsid w:val="603961ED"/>
    <w:rsid w:val="6042329A"/>
    <w:rsid w:val="60476578"/>
    <w:rsid w:val="60485450"/>
    <w:rsid w:val="605113E4"/>
    <w:rsid w:val="60561D75"/>
    <w:rsid w:val="605A37BF"/>
    <w:rsid w:val="606103C9"/>
    <w:rsid w:val="6061582C"/>
    <w:rsid w:val="60631B06"/>
    <w:rsid w:val="60636240"/>
    <w:rsid w:val="60636AB9"/>
    <w:rsid w:val="60636E1C"/>
    <w:rsid w:val="60665EB8"/>
    <w:rsid w:val="60795AB7"/>
    <w:rsid w:val="607D065B"/>
    <w:rsid w:val="608A6848"/>
    <w:rsid w:val="60911000"/>
    <w:rsid w:val="609D55CB"/>
    <w:rsid w:val="609F7BE7"/>
    <w:rsid w:val="60A87FA8"/>
    <w:rsid w:val="60B7767B"/>
    <w:rsid w:val="60B839C7"/>
    <w:rsid w:val="60C13A84"/>
    <w:rsid w:val="60C31EB2"/>
    <w:rsid w:val="60C334BA"/>
    <w:rsid w:val="60C76855"/>
    <w:rsid w:val="60DB3C2F"/>
    <w:rsid w:val="60E03218"/>
    <w:rsid w:val="60E12996"/>
    <w:rsid w:val="60E83163"/>
    <w:rsid w:val="60EB54F9"/>
    <w:rsid w:val="60F1342B"/>
    <w:rsid w:val="60F344DB"/>
    <w:rsid w:val="60FC031F"/>
    <w:rsid w:val="60FC58E6"/>
    <w:rsid w:val="60FD63A4"/>
    <w:rsid w:val="610E7D0F"/>
    <w:rsid w:val="610F0880"/>
    <w:rsid w:val="611A4046"/>
    <w:rsid w:val="611B0BA1"/>
    <w:rsid w:val="611D0AE5"/>
    <w:rsid w:val="611F2897"/>
    <w:rsid w:val="61272E51"/>
    <w:rsid w:val="612B4CC9"/>
    <w:rsid w:val="613227E3"/>
    <w:rsid w:val="61333E65"/>
    <w:rsid w:val="613E0BA0"/>
    <w:rsid w:val="61410C27"/>
    <w:rsid w:val="61410C30"/>
    <w:rsid w:val="61483DB4"/>
    <w:rsid w:val="61484467"/>
    <w:rsid w:val="614928B4"/>
    <w:rsid w:val="614F18DE"/>
    <w:rsid w:val="61535E2D"/>
    <w:rsid w:val="61554C5A"/>
    <w:rsid w:val="61572C72"/>
    <w:rsid w:val="615A3C55"/>
    <w:rsid w:val="615B7C36"/>
    <w:rsid w:val="61624E77"/>
    <w:rsid w:val="616468D3"/>
    <w:rsid w:val="61683A6C"/>
    <w:rsid w:val="61786F13"/>
    <w:rsid w:val="61796CB2"/>
    <w:rsid w:val="618C2B41"/>
    <w:rsid w:val="61942FE6"/>
    <w:rsid w:val="61963FB3"/>
    <w:rsid w:val="61994610"/>
    <w:rsid w:val="619B20B1"/>
    <w:rsid w:val="61A05CD4"/>
    <w:rsid w:val="61AF7CB6"/>
    <w:rsid w:val="61BA69C9"/>
    <w:rsid w:val="61C022DD"/>
    <w:rsid w:val="61C05839"/>
    <w:rsid w:val="61C4086B"/>
    <w:rsid w:val="61C428EE"/>
    <w:rsid w:val="61C90D1D"/>
    <w:rsid w:val="61CF0031"/>
    <w:rsid w:val="61CF5DA0"/>
    <w:rsid w:val="61D05B92"/>
    <w:rsid w:val="61D21EBB"/>
    <w:rsid w:val="61D90C62"/>
    <w:rsid w:val="61E239A6"/>
    <w:rsid w:val="61E92327"/>
    <w:rsid w:val="61EB6306"/>
    <w:rsid w:val="61F40BD2"/>
    <w:rsid w:val="61FF623E"/>
    <w:rsid w:val="620B5C43"/>
    <w:rsid w:val="62103631"/>
    <w:rsid w:val="6214616A"/>
    <w:rsid w:val="62194486"/>
    <w:rsid w:val="62201024"/>
    <w:rsid w:val="62205C3F"/>
    <w:rsid w:val="6224602D"/>
    <w:rsid w:val="622A06E2"/>
    <w:rsid w:val="623E75FC"/>
    <w:rsid w:val="624A0B51"/>
    <w:rsid w:val="624C4D00"/>
    <w:rsid w:val="62595956"/>
    <w:rsid w:val="625D0045"/>
    <w:rsid w:val="62606EDB"/>
    <w:rsid w:val="626D15F8"/>
    <w:rsid w:val="62710E5F"/>
    <w:rsid w:val="62733293"/>
    <w:rsid w:val="62764951"/>
    <w:rsid w:val="627E7362"/>
    <w:rsid w:val="628376A1"/>
    <w:rsid w:val="62916673"/>
    <w:rsid w:val="629A4D89"/>
    <w:rsid w:val="62A45B49"/>
    <w:rsid w:val="62B05550"/>
    <w:rsid w:val="62BB7C41"/>
    <w:rsid w:val="62C5706B"/>
    <w:rsid w:val="62C87908"/>
    <w:rsid w:val="62F17B37"/>
    <w:rsid w:val="62FD3F0A"/>
    <w:rsid w:val="6304257F"/>
    <w:rsid w:val="630B58BE"/>
    <w:rsid w:val="630F45B5"/>
    <w:rsid w:val="63133234"/>
    <w:rsid w:val="631713F3"/>
    <w:rsid w:val="631B56B1"/>
    <w:rsid w:val="63311E2F"/>
    <w:rsid w:val="6335141E"/>
    <w:rsid w:val="634226C3"/>
    <w:rsid w:val="63477B96"/>
    <w:rsid w:val="63512B30"/>
    <w:rsid w:val="63521C2D"/>
    <w:rsid w:val="6352658E"/>
    <w:rsid w:val="63541245"/>
    <w:rsid w:val="635C1859"/>
    <w:rsid w:val="63650E7B"/>
    <w:rsid w:val="636547CA"/>
    <w:rsid w:val="6370314E"/>
    <w:rsid w:val="63710F4C"/>
    <w:rsid w:val="63716434"/>
    <w:rsid w:val="63783F75"/>
    <w:rsid w:val="637C47C5"/>
    <w:rsid w:val="637C5D8F"/>
    <w:rsid w:val="63846476"/>
    <w:rsid w:val="638E22F2"/>
    <w:rsid w:val="63936E3D"/>
    <w:rsid w:val="639B6322"/>
    <w:rsid w:val="639B742C"/>
    <w:rsid w:val="63A34DAA"/>
    <w:rsid w:val="63AD1D80"/>
    <w:rsid w:val="63AD4053"/>
    <w:rsid w:val="63B524AD"/>
    <w:rsid w:val="63BF4DB2"/>
    <w:rsid w:val="63CB3506"/>
    <w:rsid w:val="63D3141F"/>
    <w:rsid w:val="63D47E1D"/>
    <w:rsid w:val="63D77D17"/>
    <w:rsid w:val="63D9116D"/>
    <w:rsid w:val="63DB6159"/>
    <w:rsid w:val="63DC3BF7"/>
    <w:rsid w:val="63E80F78"/>
    <w:rsid w:val="63E97A21"/>
    <w:rsid w:val="63F05642"/>
    <w:rsid w:val="63F36C31"/>
    <w:rsid w:val="63FA16A0"/>
    <w:rsid w:val="63FC11B8"/>
    <w:rsid w:val="64015D29"/>
    <w:rsid w:val="64032209"/>
    <w:rsid w:val="64050C29"/>
    <w:rsid w:val="640D4E41"/>
    <w:rsid w:val="641E6BB8"/>
    <w:rsid w:val="64252605"/>
    <w:rsid w:val="642A77A1"/>
    <w:rsid w:val="642D42F0"/>
    <w:rsid w:val="6431668F"/>
    <w:rsid w:val="644219EB"/>
    <w:rsid w:val="644840CB"/>
    <w:rsid w:val="64487926"/>
    <w:rsid w:val="64496236"/>
    <w:rsid w:val="644B7E9A"/>
    <w:rsid w:val="645542BE"/>
    <w:rsid w:val="645F0D81"/>
    <w:rsid w:val="645F278C"/>
    <w:rsid w:val="64605627"/>
    <w:rsid w:val="646A4442"/>
    <w:rsid w:val="646C1BB9"/>
    <w:rsid w:val="6471500B"/>
    <w:rsid w:val="64737ABD"/>
    <w:rsid w:val="64805613"/>
    <w:rsid w:val="64835691"/>
    <w:rsid w:val="64892A0D"/>
    <w:rsid w:val="648D05E0"/>
    <w:rsid w:val="64986E00"/>
    <w:rsid w:val="649C2AF8"/>
    <w:rsid w:val="649D05D6"/>
    <w:rsid w:val="64A70DB1"/>
    <w:rsid w:val="64AE6D34"/>
    <w:rsid w:val="64AF30A1"/>
    <w:rsid w:val="64AF5C32"/>
    <w:rsid w:val="64B52F24"/>
    <w:rsid w:val="64BD5616"/>
    <w:rsid w:val="64BF74AD"/>
    <w:rsid w:val="64C3073C"/>
    <w:rsid w:val="64CD2361"/>
    <w:rsid w:val="64CE3C75"/>
    <w:rsid w:val="64CF56A4"/>
    <w:rsid w:val="64D32D6D"/>
    <w:rsid w:val="64EA0093"/>
    <w:rsid w:val="64F21AC4"/>
    <w:rsid w:val="64F42038"/>
    <w:rsid w:val="64F6723F"/>
    <w:rsid w:val="64F80028"/>
    <w:rsid w:val="64FA2A38"/>
    <w:rsid w:val="64FB6A08"/>
    <w:rsid w:val="64FE021F"/>
    <w:rsid w:val="64FF1E92"/>
    <w:rsid w:val="65006450"/>
    <w:rsid w:val="65031979"/>
    <w:rsid w:val="6516562F"/>
    <w:rsid w:val="65222B6E"/>
    <w:rsid w:val="65232E52"/>
    <w:rsid w:val="652736B8"/>
    <w:rsid w:val="652D2A15"/>
    <w:rsid w:val="6530590C"/>
    <w:rsid w:val="653353E7"/>
    <w:rsid w:val="65384140"/>
    <w:rsid w:val="653A2AB7"/>
    <w:rsid w:val="653D13C7"/>
    <w:rsid w:val="6545707D"/>
    <w:rsid w:val="654806A6"/>
    <w:rsid w:val="654867BE"/>
    <w:rsid w:val="654D6F4B"/>
    <w:rsid w:val="654F0FE3"/>
    <w:rsid w:val="655151DF"/>
    <w:rsid w:val="65554B86"/>
    <w:rsid w:val="655A40B6"/>
    <w:rsid w:val="655B488F"/>
    <w:rsid w:val="655D0BC3"/>
    <w:rsid w:val="655E4E86"/>
    <w:rsid w:val="656331CA"/>
    <w:rsid w:val="657A09FF"/>
    <w:rsid w:val="657B09D8"/>
    <w:rsid w:val="65834996"/>
    <w:rsid w:val="6589396E"/>
    <w:rsid w:val="65900D97"/>
    <w:rsid w:val="65A52030"/>
    <w:rsid w:val="65A76E6F"/>
    <w:rsid w:val="65B57620"/>
    <w:rsid w:val="65CB4640"/>
    <w:rsid w:val="65D0133C"/>
    <w:rsid w:val="65D134AF"/>
    <w:rsid w:val="65E16061"/>
    <w:rsid w:val="65E320C7"/>
    <w:rsid w:val="65E603C8"/>
    <w:rsid w:val="65F07423"/>
    <w:rsid w:val="65F07C88"/>
    <w:rsid w:val="65F81723"/>
    <w:rsid w:val="65FB7383"/>
    <w:rsid w:val="65FD2C93"/>
    <w:rsid w:val="65FE21FE"/>
    <w:rsid w:val="660C1FC4"/>
    <w:rsid w:val="660D77BE"/>
    <w:rsid w:val="661549CE"/>
    <w:rsid w:val="661D5F5B"/>
    <w:rsid w:val="661D7B7B"/>
    <w:rsid w:val="662413C7"/>
    <w:rsid w:val="66262B3E"/>
    <w:rsid w:val="66356F3C"/>
    <w:rsid w:val="663D5DFA"/>
    <w:rsid w:val="663F0F56"/>
    <w:rsid w:val="66440A5A"/>
    <w:rsid w:val="66490087"/>
    <w:rsid w:val="66490E8D"/>
    <w:rsid w:val="664F3A9D"/>
    <w:rsid w:val="66571A59"/>
    <w:rsid w:val="66667ACE"/>
    <w:rsid w:val="66676D2D"/>
    <w:rsid w:val="6680501B"/>
    <w:rsid w:val="66871BDF"/>
    <w:rsid w:val="668E08CF"/>
    <w:rsid w:val="669320E3"/>
    <w:rsid w:val="66947B1D"/>
    <w:rsid w:val="66973210"/>
    <w:rsid w:val="669C6028"/>
    <w:rsid w:val="669E5062"/>
    <w:rsid w:val="66A02C7C"/>
    <w:rsid w:val="66A12EFA"/>
    <w:rsid w:val="66A66B2C"/>
    <w:rsid w:val="66B127D1"/>
    <w:rsid w:val="66B423EC"/>
    <w:rsid w:val="66B7107A"/>
    <w:rsid w:val="66BB7A2F"/>
    <w:rsid w:val="66C022CE"/>
    <w:rsid w:val="66CB277F"/>
    <w:rsid w:val="66E03742"/>
    <w:rsid w:val="66E93C0E"/>
    <w:rsid w:val="66EA24BB"/>
    <w:rsid w:val="66F157A5"/>
    <w:rsid w:val="66F42721"/>
    <w:rsid w:val="66F607A6"/>
    <w:rsid w:val="66F62281"/>
    <w:rsid w:val="66F92FDA"/>
    <w:rsid w:val="66FA5862"/>
    <w:rsid w:val="66FD2FF3"/>
    <w:rsid w:val="67030D86"/>
    <w:rsid w:val="670536F6"/>
    <w:rsid w:val="670F2FB6"/>
    <w:rsid w:val="67124F0A"/>
    <w:rsid w:val="67132DB9"/>
    <w:rsid w:val="6719617D"/>
    <w:rsid w:val="671B602F"/>
    <w:rsid w:val="67220901"/>
    <w:rsid w:val="67230832"/>
    <w:rsid w:val="67252C41"/>
    <w:rsid w:val="672712C1"/>
    <w:rsid w:val="672F41F6"/>
    <w:rsid w:val="67354103"/>
    <w:rsid w:val="673554FB"/>
    <w:rsid w:val="67395F4D"/>
    <w:rsid w:val="673E0DDC"/>
    <w:rsid w:val="674E64C0"/>
    <w:rsid w:val="67542F61"/>
    <w:rsid w:val="67574E4A"/>
    <w:rsid w:val="675B2367"/>
    <w:rsid w:val="675C1913"/>
    <w:rsid w:val="675C1FE9"/>
    <w:rsid w:val="675E7F57"/>
    <w:rsid w:val="676B3F3A"/>
    <w:rsid w:val="67812108"/>
    <w:rsid w:val="678A786E"/>
    <w:rsid w:val="678F190A"/>
    <w:rsid w:val="67A36AA6"/>
    <w:rsid w:val="67B3068B"/>
    <w:rsid w:val="67B766A0"/>
    <w:rsid w:val="67C57AA3"/>
    <w:rsid w:val="67C95523"/>
    <w:rsid w:val="67CC1244"/>
    <w:rsid w:val="67D22AF9"/>
    <w:rsid w:val="67E102D3"/>
    <w:rsid w:val="67E175F7"/>
    <w:rsid w:val="67E60D91"/>
    <w:rsid w:val="67E860DB"/>
    <w:rsid w:val="67EB36EB"/>
    <w:rsid w:val="67FB0EE5"/>
    <w:rsid w:val="67FE6F94"/>
    <w:rsid w:val="68020A32"/>
    <w:rsid w:val="68040121"/>
    <w:rsid w:val="680C2DD0"/>
    <w:rsid w:val="68157452"/>
    <w:rsid w:val="68171A2C"/>
    <w:rsid w:val="68195F20"/>
    <w:rsid w:val="681C6D02"/>
    <w:rsid w:val="681F713D"/>
    <w:rsid w:val="682E598F"/>
    <w:rsid w:val="682F47C8"/>
    <w:rsid w:val="68312A88"/>
    <w:rsid w:val="68313FBA"/>
    <w:rsid w:val="68356424"/>
    <w:rsid w:val="68357326"/>
    <w:rsid w:val="68373FF1"/>
    <w:rsid w:val="68435575"/>
    <w:rsid w:val="68552CA8"/>
    <w:rsid w:val="68691E5B"/>
    <w:rsid w:val="687063BF"/>
    <w:rsid w:val="68745085"/>
    <w:rsid w:val="68770DA2"/>
    <w:rsid w:val="68796158"/>
    <w:rsid w:val="687F0A88"/>
    <w:rsid w:val="687F398F"/>
    <w:rsid w:val="688B7B96"/>
    <w:rsid w:val="68951F34"/>
    <w:rsid w:val="68A45648"/>
    <w:rsid w:val="68AA1D77"/>
    <w:rsid w:val="68AB1C72"/>
    <w:rsid w:val="68AC6886"/>
    <w:rsid w:val="68AE61B6"/>
    <w:rsid w:val="68B329D2"/>
    <w:rsid w:val="68B665F9"/>
    <w:rsid w:val="68BB1F19"/>
    <w:rsid w:val="68D23F98"/>
    <w:rsid w:val="68D53765"/>
    <w:rsid w:val="68DF7981"/>
    <w:rsid w:val="68E2016C"/>
    <w:rsid w:val="68E25DD0"/>
    <w:rsid w:val="68E5213C"/>
    <w:rsid w:val="68EC0661"/>
    <w:rsid w:val="68EC6169"/>
    <w:rsid w:val="69091567"/>
    <w:rsid w:val="69160588"/>
    <w:rsid w:val="691D5640"/>
    <w:rsid w:val="69216C99"/>
    <w:rsid w:val="69233924"/>
    <w:rsid w:val="69296448"/>
    <w:rsid w:val="693174F4"/>
    <w:rsid w:val="69361C26"/>
    <w:rsid w:val="6937082E"/>
    <w:rsid w:val="693710DE"/>
    <w:rsid w:val="69380F1D"/>
    <w:rsid w:val="6938470E"/>
    <w:rsid w:val="693A2B0B"/>
    <w:rsid w:val="693B79E8"/>
    <w:rsid w:val="693D2819"/>
    <w:rsid w:val="694516B0"/>
    <w:rsid w:val="69475245"/>
    <w:rsid w:val="69490DE0"/>
    <w:rsid w:val="69561DEF"/>
    <w:rsid w:val="695B3703"/>
    <w:rsid w:val="69616D27"/>
    <w:rsid w:val="696668F3"/>
    <w:rsid w:val="69750E54"/>
    <w:rsid w:val="697A6B2C"/>
    <w:rsid w:val="697D5394"/>
    <w:rsid w:val="697D6528"/>
    <w:rsid w:val="697D7C89"/>
    <w:rsid w:val="698340AA"/>
    <w:rsid w:val="6985204A"/>
    <w:rsid w:val="698B24AB"/>
    <w:rsid w:val="69984FF2"/>
    <w:rsid w:val="699859E0"/>
    <w:rsid w:val="699E76D6"/>
    <w:rsid w:val="69AA0759"/>
    <w:rsid w:val="69B10C5F"/>
    <w:rsid w:val="69B47B0D"/>
    <w:rsid w:val="69BC70B0"/>
    <w:rsid w:val="69BD0B1C"/>
    <w:rsid w:val="69C43C6D"/>
    <w:rsid w:val="69CA11F4"/>
    <w:rsid w:val="69CB061E"/>
    <w:rsid w:val="69E268E0"/>
    <w:rsid w:val="69E95E35"/>
    <w:rsid w:val="69EE5A5D"/>
    <w:rsid w:val="69EE5EF6"/>
    <w:rsid w:val="69F06324"/>
    <w:rsid w:val="69F55085"/>
    <w:rsid w:val="69F5727A"/>
    <w:rsid w:val="6A095686"/>
    <w:rsid w:val="6A115F93"/>
    <w:rsid w:val="6A1D1E0A"/>
    <w:rsid w:val="6A262C83"/>
    <w:rsid w:val="6A2922A9"/>
    <w:rsid w:val="6A2A7C2D"/>
    <w:rsid w:val="6A335EA2"/>
    <w:rsid w:val="6A342DAB"/>
    <w:rsid w:val="6A3751B8"/>
    <w:rsid w:val="6A3824EC"/>
    <w:rsid w:val="6A3B0684"/>
    <w:rsid w:val="6A3D1BFD"/>
    <w:rsid w:val="6A3F4171"/>
    <w:rsid w:val="6A3F5689"/>
    <w:rsid w:val="6A446845"/>
    <w:rsid w:val="6A49016C"/>
    <w:rsid w:val="6A532FF3"/>
    <w:rsid w:val="6A5F66A0"/>
    <w:rsid w:val="6A6921D7"/>
    <w:rsid w:val="6A6A3DBE"/>
    <w:rsid w:val="6A773014"/>
    <w:rsid w:val="6A793230"/>
    <w:rsid w:val="6A896231"/>
    <w:rsid w:val="6A8E0B90"/>
    <w:rsid w:val="6A9713CB"/>
    <w:rsid w:val="6A9B3A3F"/>
    <w:rsid w:val="6AAD6A36"/>
    <w:rsid w:val="6AB64CC0"/>
    <w:rsid w:val="6ABD0B6E"/>
    <w:rsid w:val="6AC36EFA"/>
    <w:rsid w:val="6AC41FD2"/>
    <w:rsid w:val="6AC82FF8"/>
    <w:rsid w:val="6ACA3BE6"/>
    <w:rsid w:val="6ACB083A"/>
    <w:rsid w:val="6ACD3FF8"/>
    <w:rsid w:val="6ADA0CA2"/>
    <w:rsid w:val="6AE508C6"/>
    <w:rsid w:val="6AE77DAE"/>
    <w:rsid w:val="6AF26B3F"/>
    <w:rsid w:val="6AF97ECD"/>
    <w:rsid w:val="6AFD6E95"/>
    <w:rsid w:val="6AFF3F3E"/>
    <w:rsid w:val="6B005971"/>
    <w:rsid w:val="6B025885"/>
    <w:rsid w:val="6B065627"/>
    <w:rsid w:val="6B1124CE"/>
    <w:rsid w:val="6B313E6C"/>
    <w:rsid w:val="6B340F05"/>
    <w:rsid w:val="6B397FBC"/>
    <w:rsid w:val="6B3A4FF8"/>
    <w:rsid w:val="6B3A609C"/>
    <w:rsid w:val="6B466BAE"/>
    <w:rsid w:val="6B493687"/>
    <w:rsid w:val="6B4A6F94"/>
    <w:rsid w:val="6B502F74"/>
    <w:rsid w:val="6B5123B0"/>
    <w:rsid w:val="6B512423"/>
    <w:rsid w:val="6B580621"/>
    <w:rsid w:val="6B581C23"/>
    <w:rsid w:val="6B5862AA"/>
    <w:rsid w:val="6B6251AF"/>
    <w:rsid w:val="6B627EBE"/>
    <w:rsid w:val="6B6446DD"/>
    <w:rsid w:val="6B6A3C01"/>
    <w:rsid w:val="6B781BDB"/>
    <w:rsid w:val="6B823440"/>
    <w:rsid w:val="6B8C3636"/>
    <w:rsid w:val="6B9970A5"/>
    <w:rsid w:val="6B9A2731"/>
    <w:rsid w:val="6B9F280F"/>
    <w:rsid w:val="6B9F79E1"/>
    <w:rsid w:val="6BA06A65"/>
    <w:rsid w:val="6BAD146A"/>
    <w:rsid w:val="6BBB571F"/>
    <w:rsid w:val="6BC172F1"/>
    <w:rsid w:val="6BC71D79"/>
    <w:rsid w:val="6BD02406"/>
    <w:rsid w:val="6BD12C1C"/>
    <w:rsid w:val="6BD215D7"/>
    <w:rsid w:val="6BD46244"/>
    <w:rsid w:val="6BD9765A"/>
    <w:rsid w:val="6BDD6E03"/>
    <w:rsid w:val="6BF16FBD"/>
    <w:rsid w:val="6C091686"/>
    <w:rsid w:val="6C0A0400"/>
    <w:rsid w:val="6C0B52C6"/>
    <w:rsid w:val="6C1121B0"/>
    <w:rsid w:val="6C116374"/>
    <w:rsid w:val="6C1256EA"/>
    <w:rsid w:val="6C1C16B9"/>
    <w:rsid w:val="6C21592D"/>
    <w:rsid w:val="6C2509BE"/>
    <w:rsid w:val="6C25251E"/>
    <w:rsid w:val="6C283CFA"/>
    <w:rsid w:val="6C2D4A5B"/>
    <w:rsid w:val="6C2F04F0"/>
    <w:rsid w:val="6C322CE6"/>
    <w:rsid w:val="6C34742C"/>
    <w:rsid w:val="6C3A69EF"/>
    <w:rsid w:val="6C3D21F8"/>
    <w:rsid w:val="6C3E228B"/>
    <w:rsid w:val="6C3E7E88"/>
    <w:rsid w:val="6C4E5C7C"/>
    <w:rsid w:val="6C511BE8"/>
    <w:rsid w:val="6C511D4B"/>
    <w:rsid w:val="6C651230"/>
    <w:rsid w:val="6C65269A"/>
    <w:rsid w:val="6C692BA0"/>
    <w:rsid w:val="6C7E26B5"/>
    <w:rsid w:val="6C814811"/>
    <w:rsid w:val="6C81627F"/>
    <w:rsid w:val="6C946FE5"/>
    <w:rsid w:val="6C964436"/>
    <w:rsid w:val="6C977140"/>
    <w:rsid w:val="6C9E457C"/>
    <w:rsid w:val="6CA0305D"/>
    <w:rsid w:val="6CA15FE8"/>
    <w:rsid w:val="6CA91F70"/>
    <w:rsid w:val="6CB0535E"/>
    <w:rsid w:val="6CB33F61"/>
    <w:rsid w:val="6CBA5EF1"/>
    <w:rsid w:val="6CBA7B30"/>
    <w:rsid w:val="6CBB46DB"/>
    <w:rsid w:val="6CC56E41"/>
    <w:rsid w:val="6CC618D3"/>
    <w:rsid w:val="6CC96936"/>
    <w:rsid w:val="6CD33E06"/>
    <w:rsid w:val="6CD477E5"/>
    <w:rsid w:val="6CDA4186"/>
    <w:rsid w:val="6CF448DC"/>
    <w:rsid w:val="6CF56FD0"/>
    <w:rsid w:val="6CFF0A76"/>
    <w:rsid w:val="6D052614"/>
    <w:rsid w:val="6D09463B"/>
    <w:rsid w:val="6D0D6C64"/>
    <w:rsid w:val="6D0E26BD"/>
    <w:rsid w:val="6D0F752A"/>
    <w:rsid w:val="6D103126"/>
    <w:rsid w:val="6D135E7F"/>
    <w:rsid w:val="6D202379"/>
    <w:rsid w:val="6D203E37"/>
    <w:rsid w:val="6D2139E6"/>
    <w:rsid w:val="6D245100"/>
    <w:rsid w:val="6D2D0302"/>
    <w:rsid w:val="6D361D9F"/>
    <w:rsid w:val="6D36203D"/>
    <w:rsid w:val="6D3703DA"/>
    <w:rsid w:val="6D3B74FF"/>
    <w:rsid w:val="6D3E6933"/>
    <w:rsid w:val="6D3E72B1"/>
    <w:rsid w:val="6D486AFE"/>
    <w:rsid w:val="6D4C6F44"/>
    <w:rsid w:val="6D4D765D"/>
    <w:rsid w:val="6D527137"/>
    <w:rsid w:val="6D53268A"/>
    <w:rsid w:val="6D561607"/>
    <w:rsid w:val="6D57391F"/>
    <w:rsid w:val="6D5B6DAA"/>
    <w:rsid w:val="6D5E247C"/>
    <w:rsid w:val="6D612B75"/>
    <w:rsid w:val="6D6605C1"/>
    <w:rsid w:val="6D6931E7"/>
    <w:rsid w:val="6D7365B2"/>
    <w:rsid w:val="6D8A305E"/>
    <w:rsid w:val="6D914BEF"/>
    <w:rsid w:val="6DA27809"/>
    <w:rsid w:val="6DA576C9"/>
    <w:rsid w:val="6DA93431"/>
    <w:rsid w:val="6DAF3DA5"/>
    <w:rsid w:val="6DAF6F69"/>
    <w:rsid w:val="6DB30807"/>
    <w:rsid w:val="6DB43048"/>
    <w:rsid w:val="6DB77BCC"/>
    <w:rsid w:val="6DBF086E"/>
    <w:rsid w:val="6DC04CD2"/>
    <w:rsid w:val="6DC52073"/>
    <w:rsid w:val="6DD30429"/>
    <w:rsid w:val="6DDF7986"/>
    <w:rsid w:val="6DE60C01"/>
    <w:rsid w:val="6DE7144B"/>
    <w:rsid w:val="6DE845DB"/>
    <w:rsid w:val="6DEB2654"/>
    <w:rsid w:val="6DF46BB9"/>
    <w:rsid w:val="6DFA6436"/>
    <w:rsid w:val="6DFC690B"/>
    <w:rsid w:val="6E025185"/>
    <w:rsid w:val="6E095305"/>
    <w:rsid w:val="6E114777"/>
    <w:rsid w:val="6E163BAD"/>
    <w:rsid w:val="6E1663CE"/>
    <w:rsid w:val="6E197682"/>
    <w:rsid w:val="6E1976D4"/>
    <w:rsid w:val="6E24689F"/>
    <w:rsid w:val="6E28717A"/>
    <w:rsid w:val="6E2B6580"/>
    <w:rsid w:val="6E337B9A"/>
    <w:rsid w:val="6E3879B5"/>
    <w:rsid w:val="6E3B22BB"/>
    <w:rsid w:val="6E406C4D"/>
    <w:rsid w:val="6E407443"/>
    <w:rsid w:val="6E4245B0"/>
    <w:rsid w:val="6E476FB2"/>
    <w:rsid w:val="6E477B75"/>
    <w:rsid w:val="6E4E7458"/>
    <w:rsid w:val="6E504D25"/>
    <w:rsid w:val="6E5A37B3"/>
    <w:rsid w:val="6E714E6E"/>
    <w:rsid w:val="6E7220C5"/>
    <w:rsid w:val="6E722256"/>
    <w:rsid w:val="6E771DD1"/>
    <w:rsid w:val="6E85561A"/>
    <w:rsid w:val="6E891568"/>
    <w:rsid w:val="6E8E58E7"/>
    <w:rsid w:val="6E907F65"/>
    <w:rsid w:val="6E9E269F"/>
    <w:rsid w:val="6E9F6FDD"/>
    <w:rsid w:val="6EB26BFA"/>
    <w:rsid w:val="6EB435DF"/>
    <w:rsid w:val="6EB80A04"/>
    <w:rsid w:val="6EB94080"/>
    <w:rsid w:val="6EBA7C5C"/>
    <w:rsid w:val="6EC24A7A"/>
    <w:rsid w:val="6EC82E43"/>
    <w:rsid w:val="6ECE6856"/>
    <w:rsid w:val="6ED10099"/>
    <w:rsid w:val="6ED366E9"/>
    <w:rsid w:val="6ED36C87"/>
    <w:rsid w:val="6EDB52D9"/>
    <w:rsid w:val="6EDC188F"/>
    <w:rsid w:val="6EDD06CC"/>
    <w:rsid w:val="6EE41815"/>
    <w:rsid w:val="6EED0F85"/>
    <w:rsid w:val="6EF047B0"/>
    <w:rsid w:val="6EF261E1"/>
    <w:rsid w:val="6EFC7656"/>
    <w:rsid w:val="6F010E6F"/>
    <w:rsid w:val="6F1002EA"/>
    <w:rsid w:val="6F170FD2"/>
    <w:rsid w:val="6F1A3BE3"/>
    <w:rsid w:val="6F2128F0"/>
    <w:rsid w:val="6F32657A"/>
    <w:rsid w:val="6F3D47CF"/>
    <w:rsid w:val="6F534F3F"/>
    <w:rsid w:val="6F5B58E3"/>
    <w:rsid w:val="6F6C19EE"/>
    <w:rsid w:val="6F72660E"/>
    <w:rsid w:val="6F7562A2"/>
    <w:rsid w:val="6F7A00FD"/>
    <w:rsid w:val="6F7A21F2"/>
    <w:rsid w:val="6F7B4322"/>
    <w:rsid w:val="6F7B4CFB"/>
    <w:rsid w:val="6F7D6A06"/>
    <w:rsid w:val="6F8D1212"/>
    <w:rsid w:val="6F904A19"/>
    <w:rsid w:val="6F910FFA"/>
    <w:rsid w:val="6F923DEC"/>
    <w:rsid w:val="6F937EB8"/>
    <w:rsid w:val="6F9C3A2B"/>
    <w:rsid w:val="6FA10613"/>
    <w:rsid w:val="6FA50623"/>
    <w:rsid w:val="6FA75B64"/>
    <w:rsid w:val="6FA873CB"/>
    <w:rsid w:val="6FC53DD6"/>
    <w:rsid w:val="6FD058EA"/>
    <w:rsid w:val="6FD14B4C"/>
    <w:rsid w:val="6FD52087"/>
    <w:rsid w:val="6FD723B6"/>
    <w:rsid w:val="6FE9742F"/>
    <w:rsid w:val="6FEA24DA"/>
    <w:rsid w:val="6FEE06D0"/>
    <w:rsid w:val="6FFD31EC"/>
    <w:rsid w:val="6FFD43BC"/>
    <w:rsid w:val="70101990"/>
    <w:rsid w:val="70191A43"/>
    <w:rsid w:val="701D6C26"/>
    <w:rsid w:val="70280EF3"/>
    <w:rsid w:val="702C6330"/>
    <w:rsid w:val="70330E8F"/>
    <w:rsid w:val="70350E1A"/>
    <w:rsid w:val="703867BA"/>
    <w:rsid w:val="703B7EBA"/>
    <w:rsid w:val="703E0CB4"/>
    <w:rsid w:val="703E5095"/>
    <w:rsid w:val="70453BB5"/>
    <w:rsid w:val="70497BBC"/>
    <w:rsid w:val="705262F8"/>
    <w:rsid w:val="70546FBF"/>
    <w:rsid w:val="705618D7"/>
    <w:rsid w:val="705C7751"/>
    <w:rsid w:val="705E59C5"/>
    <w:rsid w:val="706347FA"/>
    <w:rsid w:val="706C7393"/>
    <w:rsid w:val="706D5AEA"/>
    <w:rsid w:val="70700C31"/>
    <w:rsid w:val="70962242"/>
    <w:rsid w:val="709F41D3"/>
    <w:rsid w:val="709F441D"/>
    <w:rsid w:val="70A1528F"/>
    <w:rsid w:val="70A158FB"/>
    <w:rsid w:val="70A87228"/>
    <w:rsid w:val="70B639E4"/>
    <w:rsid w:val="70BB1ECF"/>
    <w:rsid w:val="70BE7630"/>
    <w:rsid w:val="70C010C7"/>
    <w:rsid w:val="70C34593"/>
    <w:rsid w:val="70C91DD6"/>
    <w:rsid w:val="70D95550"/>
    <w:rsid w:val="70DA254F"/>
    <w:rsid w:val="70DF7B65"/>
    <w:rsid w:val="70E168CE"/>
    <w:rsid w:val="70E701CA"/>
    <w:rsid w:val="70ED0DB6"/>
    <w:rsid w:val="70F43EAF"/>
    <w:rsid w:val="70FC29DB"/>
    <w:rsid w:val="70FE346B"/>
    <w:rsid w:val="71021528"/>
    <w:rsid w:val="71035A81"/>
    <w:rsid w:val="71045209"/>
    <w:rsid w:val="710A06C6"/>
    <w:rsid w:val="710D2B8C"/>
    <w:rsid w:val="710D5340"/>
    <w:rsid w:val="7114210E"/>
    <w:rsid w:val="71190435"/>
    <w:rsid w:val="7119633D"/>
    <w:rsid w:val="7121482F"/>
    <w:rsid w:val="712903CC"/>
    <w:rsid w:val="713D7853"/>
    <w:rsid w:val="713E0DE6"/>
    <w:rsid w:val="71435015"/>
    <w:rsid w:val="714479C8"/>
    <w:rsid w:val="714649BA"/>
    <w:rsid w:val="71496907"/>
    <w:rsid w:val="714A2C7A"/>
    <w:rsid w:val="71514147"/>
    <w:rsid w:val="7155717A"/>
    <w:rsid w:val="716024DB"/>
    <w:rsid w:val="71633BB4"/>
    <w:rsid w:val="716C22E2"/>
    <w:rsid w:val="71706225"/>
    <w:rsid w:val="71730F76"/>
    <w:rsid w:val="717338A9"/>
    <w:rsid w:val="71760056"/>
    <w:rsid w:val="71791C90"/>
    <w:rsid w:val="71797903"/>
    <w:rsid w:val="717C1104"/>
    <w:rsid w:val="717C1133"/>
    <w:rsid w:val="717C2491"/>
    <w:rsid w:val="717C2799"/>
    <w:rsid w:val="717E613F"/>
    <w:rsid w:val="71821A85"/>
    <w:rsid w:val="718719E6"/>
    <w:rsid w:val="71922716"/>
    <w:rsid w:val="71940098"/>
    <w:rsid w:val="71983729"/>
    <w:rsid w:val="719B7366"/>
    <w:rsid w:val="719C5584"/>
    <w:rsid w:val="71A670AA"/>
    <w:rsid w:val="71AB2D98"/>
    <w:rsid w:val="71B14B49"/>
    <w:rsid w:val="71B621FF"/>
    <w:rsid w:val="71B65151"/>
    <w:rsid w:val="71B72909"/>
    <w:rsid w:val="71C75411"/>
    <w:rsid w:val="71CC3C20"/>
    <w:rsid w:val="71CD7D06"/>
    <w:rsid w:val="71D073BC"/>
    <w:rsid w:val="71D80940"/>
    <w:rsid w:val="71DD6AD7"/>
    <w:rsid w:val="71E743E6"/>
    <w:rsid w:val="71EF7ACC"/>
    <w:rsid w:val="71F64E2E"/>
    <w:rsid w:val="71FA2F3A"/>
    <w:rsid w:val="72253C9E"/>
    <w:rsid w:val="72273C06"/>
    <w:rsid w:val="722E57A3"/>
    <w:rsid w:val="7231298D"/>
    <w:rsid w:val="72312FEC"/>
    <w:rsid w:val="72356C6F"/>
    <w:rsid w:val="723A7873"/>
    <w:rsid w:val="723F3D00"/>
    <w:rsid w:val="723F474A"/>
    <w:rsid w:val="72430F2A"/>
    <w:rsid w:val="724E1389"/>
    <w:rsid w:val="72501FE3"/>
    <w:rsid w:val="72555A9E"/>
    <w:rsid w:val="7261096F"/>
    <w:rsid w:val="72616B76"/>
    <w:rsid w:val="726705F3"/>
    <w:rsid w:val="72723FF6"/>
    <w:rsid w:val="727C377E"/>
    <w:rsid w:val="727D3F4E"/>
    <w:rsid w:val="72896353"/>
    <w:rsid w:val="72933DE9"/>
    <w:rsid w:val="72937435"/>
    <w:rsid w:val="72A23924"/>
    <w:rsid w:val="72B15692"/>
    <w:rsid w:val="72C30B59"/>
    <w:rsid w:val="72C4504F"/>
    <w:rsid w:val="72CD11DC"/>
    <w:rsid w:val="72CE714F"/>
    <w:rsid w:val="72D03584"/>
    <w:rsid w:val="72D130E8"/>
    <w:rsid w:val="72E51CFD"/>
    <w:rsid w:val="72E57E49"/>
    <w:rsid w:val="72E6208D"/>
    <w:rsid w:val="72E824FD"/>
    <w:rsid w:val="72E9397F"/>
    <w:rsid w:val="72F13B80"/>
    <w:rsid w:val="72F54F6B"/>
    <w:rsid w:val="72F84F0E"/>
    <w:rsid w:val="72F97638"/>
    <w:rsid w:val="72FB71EE"/>
    <w:rsid w:val="730003FA"/>
    <w:rsid w:val="73000839"/>
    <w:rsid w:val="73021234"/>
    <w:rsid w:val="73113A1D"/>
    <w:rsid w:val="7313723A"/>
    <w:rsid w:val="731645FF"/>
    <w:rsid w:val="731B00BA"/>
    <w:rsid w:val="731B5188"/>
    <w:rsid w:val="731D1633"/>
    <w:rsid w:val="73201768"/>
    <w:rsid w:val="732112BE"/>
    <w:rsid w:val="73216213"/>
    <w:rsid w:val="73287BA4"/>
    <w:rsid w:val="732C5510"/>
    <w:rsid w:val="732E41C7"/>
    <w:rsid w:val="732E4873"/>
    <w:rsid w:val="732F113E"/>
    <w:rsid w:val="7339640D"/>
    <w:rsid w:val="733C49D7"/>
    <w:rsid w:val="73411B0D"/>
    <w:rsid w:val="734343DB"/>
    <w:rsid w:val="73445420"/>
    <w:rsid w:val="73495B3B"/>
    <w:rsid w:val="734A5880"/>
    <w:rsid w:val="734D1F34"/>
    <w:rsid w:val="73564081"/>
    <w:rsid w:val="73574201"/>
    <w:rsid w:val="735B0DE2"/>
    <w:rsid w:val="735C01EE"/>
    <w:rsid w:val="735D2FC3"/>
    <w:rsid w:val="735D5637"/>
    <w:rsid w:val="73651103"/>
    <w:rsid w:val="736735DA"/>
    <w:rsid w:val="736D76AA"/>
    <w:rsid w:val="736F330A"/>
    <w:rsid w:val="73702427"/>
    <w:rsid w:val="73724EE4"/>
    <w:rsid w:val="73740A39"/>
    <w:rsid w:val="737E0D44"/>
    <w:rsid w:val="737E5413"/>
    <w:rsid w:val="73894D7A"/>
    <w:rsid w:val="738A5B9F"/>
    <w:rsid w:val="739020D0"/>
    <w:rsid w:val="73922297"/>
    <w:rsid w:val="7399224D"/>
    <w:rsid w:val="73A2472F"/>
    <w:rsid w:val="73AA3A05"/>
    <w:rsid w:val="73AF7CC3"/>
    <w:rsid w:val="73B0234A"/>
    <w:rsid w:val="73B73B6A"/>
    <w:rsid w:val="73C053F4"/>
    <w:rsid w:val="73D74B24"/>
    <w:rsid w:val="73DB21E0"/>
    <w:rsid w:val="73DC6345"/>
    <w:rsid w:val="73E31FE5"/>
    <w:rsid w:val="73E61128"/>
    <w:rsid w:val="73F514F7"/>
    <w:rsid w:val="73F955BB"/>
    <w:rsid w:val="73FC5756"/>
    <w:rsid w:val="7413195A"/>
    <w:rsid w:val="741527AA"/>
    <w:rsid w:val="74152A06"/>
    <w:rsid w:val="741619FD"/>
    <w:rsid w:val="74165ABB"/>
    <w:rsid w:val="74175E3E"/>
    <w:rsid w:val="74242CF0"/>
    <w:rsid w:val="742655D0"/>
    <w:rsid w:val="742D0C4A"/>
    <w:rsid w:val="74305980"/>
    <w:rsid w:val="743F2874"/>
    <w:rsid w:val="74485737"/>
    <w:rsid w:val="744A5358"/>
    <w:rsid w:val="744C1142"/>
    <w:rsid w:val="744D46CA"/>
    <w:rsid w:val="744F43B3"/>
    <w:rsid w:val="74527FE9"/>
    <w:rsid w:val="745E7A58"/>
    <w:rsid w:val="746217D9"/>
    <w:rsid w:val="7469691F"/>
    <w:rsid w:val="74717248"/>
    <w:rsid w:val="747C7602"/>
    <w:rsid w:val="747E0D47"/>
    <w:rsid w:val="747F58E7"/>
    <w:rsid w:val="74914982"/>
    <w:rsid w:val="749A211F"/>
    <w:rsid w:val="749B31B7"/>
    <w:rsid w:val="74B74939"/>
    <w:rsid w:val="74BE5431"/>
    <w:rsid w:val="74C257D4"/>
    <w:rsid w:val="74C261B8"/>
    <w:rsid w:val="74C71105"/>
    <w:rsid w:val="74CA2513"/>
    <w:rsid w:val="74CC145C"/>
    <w:rsid w:val="74F165FF"/>
    <w:rsid w:val="74F7180C"/>
    <w:rsid w:val="750000AA"/>
    <w:rsid w:val="750004E2"/>
    <w:rsid w:val="75003802"/>
    <w:rsid w:val="7505504D"/>
    <w:rsid w:val="750944F8"/>
    <w:rsid w:val="751A21AE"/>
    <w:rsid w:val="751D2F20"/>
    <w:rsid w:val="751E69FC"/>
    <w:rsid w:val="752029B7"/>
    <w:rsid w:val="75256A04"/>
    <w:rsid w:val="75275B9B"/>
    <w:rsid w:val="75291F14"/>
    <w:rsid w:val="752A5F89"/>
    <w:rsid w:val="75303018"/>
    <w:rsid w:val="7530722C"/>
    <w:rsid w:val="753400EA"/>
    <w:rsid w:val="753B3BD9"/>
    <w:rsid w:val="753C5952"/>
    <w:rsid w:val="75480514"/>
    <w:rsid w:val="7548581C"/>
    <w:rsid w:val="75505ED1"/>
    <w:rsid w:val="75546D59"/>
    <w:rsid w:val="756F7DD2"/>
    <w:rsid w:val="757313EF"/>
    <w:rsid w:val="757350CB"/>
    <w:rsid w:val="757C028F"/>
    <w:rsid w:val="757F0B32"/>
    <w:rsid w:val="758157A1"/>
    <w:rsid w:val="758E68E9"/>
    <w:rsid w:val="75971571"/>
    <w:rsid w:val="759A405B"/>
    <w:rsid w:val="75A635D8"/>
    <w:rsid w:val="75BB69C6"/>
    <w:rsid w:val="75C13BBF"/>
    <w:rsid w:val="75C23793"/>
    <w:rsid w:val="75C73537"/>
    <w:rsid w:val="75CA04F1"/>
    <w:rsid w:val="75D06039"/>
    <w:rsid w:val="75DA67C6"/>
    <w:rsid w:val="75DC4673"/>
    <w:rsid w:val="75E55C7C"/>
    <w:rsid w:val="75E975B4"/>
    <w:rsid w:val="75EE1C30"/>
    <w:rsid w:val="76053A40"/>
    <w:rsid w:val="76092598"/>
    <w:rsid w:val="760E2B08"/>
    <w:rsid w:val="761A2D58"/>
    <w:rsid w:val="76201FB0"/>
    <w:rsid w:val="76275B71"/>
    <w:rsid w:val="762878B8"/>
    <w:rsid w:val="76304066"/>
    <w:rsid w:val="76324913"/>
    <w:rsid w:val="764E4CA1"/>
    <w:rsid w:val="76536204"/>
    <w:rsid w:val="76545CDA"/>
    <w:rsid w:val="765927F0"/>
    <w:rsid w:val="766B0829"/>
    <w:rsid w:val="766B7C88"/>
    <w:rsid w:val="76702EC9"/>
    <w:rsid w:val="76867187"/>
    <w:rsid w:val="768E2102"/>
    <w:rsid w:val="76992564"/>
    <w:rsid w:val="769C4061"/>
    <w:rsid w:val="76A27CA7"/>
    <w:rsid w:val="76A50F09"/>
    <w:rsid w:val="76A97C23"/>
    <w:rsid w:val="76AB04C5"/>
    <w:rsid w:val="76AB7040"/>
    <w:rsid w:val="76AC4B43"/>
    <w:rsid w:val="76AF2641"/>
    <w:rsid w:val="76AF7FDA"/>
    <w:rsid w:val="76B7128D"/>
    <w:rsid w:val="76B92607"/>
    <w:rsid w:val="76C17FE3"/>
    <w:rsid w:val="76C31E58"/>
    <w:rsid w:val="76CE5FBC"/>
    <w:rsid w:val="76D73390"/>
    <w:rsid w:val="76DF3B1A"/>
    <w:rsid w:val="76E146B2"/>
    <w:rsid w:val="76ED0FF0"/>
    <w:rsid w:val="76EE4621"/>
    <w:rsid w:val="76EF5408"/>
    <w:rsid w:val="76F057BB"/>
    <w:rsid w:val="76F125B0"/>
    <w:rsid w:val="76F459ED"/>
    <w:rsid w:val="76FA305D"/>
    <w:rsid w:val="76FB0C8A"/>
    <w:rsid w:val="76FF49E3"/>
    <w:rsid w:val="770277B3"/>
    <w:rsid w:val="7703613C"/>
    <w:rsid w:val="77062342"/>
    <w:rsid w:val="77081DA4"/>
    <w:rsid w:val="770C1075"/>
    <w:rsid w:val="77140350"/>
    <w:rsid w:val="771B2074"/>
    <w:rsid w:val="771C27FB"/>
    <w:rsid w:val="772F0D9E"/>
    <w:rsid w:val="7731383A"/>
    <w:rsid w:val="77316E1B"/>
    <w:rsid w:val="773439AB"/>
    <w:rsid w:val="773857C7"/>
    <w:rsid w:val="77395FD1"/>
    <w:rsid w:val="773A3407"/>
    <w:rsid w:val="773C6973"/>
    <w:rsid w:val="77465356"/>
    <w:rsid w:val="77471FC0"/>
    <w:rsid w:val="7753269B"/>
    <w:rsid w:val="775766A7"/>
    <w:rsid w:val="775D16DA"/>
    <w:rsid w:val="77642728"/>
    <w:rsid w:val="77707941"/>
    <w:rsid w:val="777A3251"/>
    <w:rsid w:val="778D609B"/>
    <w:rsid w:val="77910638"/>
    <w:rsid w:val="77915B01"/>
    <w:rsid w:val="779455FA"/>
    <w:rsid w:val="779D14EF"/>
    <w:rsid w:val="77A34323"/>
    <w:rsid w:val="77A65B87"/>
    <w:rsid w:val="77A80666"/>
    <w:rsid w:val="77B07B65"/>
    <w:rsid w:val="77B61908"/>
    <w:rsid w:val="77B875B5"/>
    <w:rsid w:val="77BF249E"/>
    <w:rsid w:val="77CA6D43"/>
    <w:rsid w:val="77CB0E43"/>
    <w:rsid w:val="77CB3423"/>
    <w:rsid w:val="77CC3C1F"/>
    <w:rsid w:val="77DE0525"/>
    <w:rsid w:val="77E3682C"/>
    <w:rsid w:val="77E55C6E"/>
    <w:rsid w:val="77EA1FCC"/>
    <w:rsid w:val="77F26394"/>
    <w:rsid w:val="78047ADC"/>
    <w:rsid w:val="780B13C6"/>
    <w:rsid w:val="78104AA8"/>
    <w:rsid w:val="7819651D"/>
    <w:rsid w:val="78230C83"/>
    <w:rsid w:val="78260816"/>
    <w:rsid w:val="7827295B"/>
    <w:rsid w:val="78344B84"/>
    <w:rsid w:val="78363C2E"/>
    <w:rsid w:val="783863BB"/>
    <w:rsid w:val="783C3009"/>
    <w:rsid w:val="783E7028"/>
    <w:rsid w:val="784048B0"/>
    <w:rsid w:val="78406B99"/>
    <w:rsid w:val="784550CA"/>
    <w:rsid w:val="786D018D"/>
    <w:rsid w:val="786E7F1C"/>
    <w:rsid w:val="78771DBC"/>
    <w:rsid w:val="78773E66"/>
    <w:rsid w:val="787771B4"/>
    <w:rsid w:val="78782D79"/>
    <w:rsid w:val="787A08FC"/>
    <w:rsid w:val="788617F8"/>
    <w:rsid w:val="78915BE9"/>
    <w:rsid w:val="78956019"/>
    <w:rsid w:val="78967EE6"/>
    <w:rsid w:val="789D5FA3"/>
    <w:rsid w:val="78A218EF"/>
    <w:rsid w:val="78A91481"/>
    <w:rsid w:val="78AD18CD"/>
    <w:rsid w:val="78AF606F"/>
    <w:rsid w:val="78B55C2D"/>
    <w:rsid w:val="78B728D1"/>
    <w:rsid w:val="78BF6FCF"/>
    <w:rsid w:val="78CC6C21"/>
    <w:rsid w:val="78D83818"/>
    <w:rsid w:val="78DB6D2F"/>
    <w:rsid w:val="78DE5D91"/>
    <w:rsid w:val="78E156A6"/>
    <w:rsid w:val="78EA354B"/>
    <w:rsid w:val="78FD0163"/>
    <w:rsid w:val="790D5A20"/>
    <w:rsid w:val="79133EC0"/>
    <w:rsid w:val="791343B5"/>
    <w:rsid w:val="79183C14"/>
    <w:rsid w:val="79193211"/>
    <w:rsid w:val="791B4241"/>
    <w:rsid w:val="79247B02"/>
    <w:rsid w:val="79272AC6"/>
    <w:rsid w:val="792A5904"/>
    <w:rsid w:val="79344FBB"/>
    <w:rsid w:val="793A6280"/>
    <w:rsid w:val="793E20A0"/>
    <w:rsid w:val="79406C7D"/>
    <w:rsid w:val="794157FA"/>
    <w:rsid w:val="7944432A"/>
    <w:rsid w:val="794F1482"/>
    <w:rsid w:val="79531FF8"/>
    <w:rsid w:val="795D5ACB"/>
    <w:rsid w:val="795E05F0"/>
    <w:rsid w:val="7965553A"/>
    <w:rsid w:val="7967201E"/>
    <w:rsid w:val="79677791"/>
    <w:rsid w:val="797D521B"/>
    <w:rsid w:val="797E6685"/>
    <w:rsid w:val="797F7F69"/>
    <w:rsid w:val="798412AA"/>
    <w:rsid w:val="79927407"/>
    <w:rsid w:val="799E3102"/>
    <w:rsid w:val="79A166DA"/>
    <w:rsid w:val="79A73CAE"/>
    <w:rsid w:val="79A92B2C"/>
    <w:rsid w:val="79B040F9"/>
    <w:rsid w:val="79B772FD"/>
    <w:rsid w:val="79BD12D1"/>
    <w:rsid w:val="79C07750"/>
    <w:rsid w:val="79C16700"/>
    <w:rsid w:val="79C2046E"/>
    <w:rsid w:val="79C36276"/>
    <w:rsid w:val="79C44BD8"/>
    <w:rsid w:val="79CA2809"/>
    <w:rsid w:val="79CF17DD"/>
    <w:rsid w:val="79D7229C"/>
    <w:rsid w:val="79DA413D"/>
    <w:rsid w:val="79DC7338"/>
    <w:rsid w:val="79EE4B5B"/>
    <w:rsid w:val="79F77AF5"/>
    <w:rsid w:val="79F941A2"/>
    <w:rsid w:val="7A0A223C"/>
    <w:rsid w:val="7A111D4D"/>
    <w:rsid w:val="7A184D2E"/>
    <w:rsid w:val="7A2405F1"/>
    <w:rsid w:val="7A2E0E81"/>
    <w:rsid w:val="7A2E44A9"/>
    <w:rsid w:val="7A363D8C"/>
    <w:rsid w:val="7A3B5BCE"/>
    <w:rsid w:val="7A3C4454"/>
    <w:rsid w:val="7A407C4C"/>
    <w:rsid w:val="7A500491"/>
    <w:rsid w:val="7A512156"/>
    <w:rsid w:val="7A69004B"/>
    <w:rsid w:val="7A6F368C"/>
    <w:rsid w:val="7A73406D"/>
    <w:rsid w:val="7A73614D"/>
    <w:rsid w:val="7A736722"/>
    <w:rsid w:val="7A8017A1"/>
    <w:rsid w:val="7A8105BA"/>
    <w:rsid w:val="7A861051"/>
    <w:rsid w:val="7A861422"/>
    <w:rsid w:val="7A88301C"/>
    <w:rsid w:val="7A8D60AA"/>
    <w:rsid w:val="7A936D01"/>
    <w:rsid w:val="7A9754D9"/>
    <w:rsid w:val="7A9C2623"/>
    <w:rsid w:val="7AA808E5"/>
    <w:rsid w:val="7AAC6D0A"/>
    <w:rsid w:val="7AB3186A"/>
    <w:rsid w:val="7AB932A6"/>
    <w:rsid w:val="7ABF31A7"/>
    <w:rsid w:val="7AC30DFB"/>
    <w:rsid w:val="7AC7367E"/>
    <w:rsid w:val="7AC85E24"/>
    <w:rsid w:val="7AC8601E"/>
    <w:rsid w:val="7ACA4FA1"/>
    <w:rsid w:val="7ACB4CB6"/>
    <w:rsid w:val="7ACC0D0C"/>
    <w:rsid w:val="7AD74082"/>
    <w:rsid w:val="7ADB489D"/>
    <w:rsid w:val="7ADB4DD1"/>
    <w:rsid w:val="7ADB6A52"/>
    <w:rsid w:val="7ADE2C3C"/>
    <w:rsid w:val="7AE30BFE"/>
    <w:rsid w:val="7AE75F94"/>
    <w:rsid w:val="7AEC4C94"/>
    <w:rsid w:val="7AFB2FEF"/>
    <w:rsid w:val="7B03255D"/>
    <w:rsid w:val="7B045ED3"/>
    <w:rsid w:val="7B0A2EBE"/>
    <w:rsid w:val="7B1D759B"/>
    <w:rsid w:val="7B2B3F6C"/>
    <w:rsid w:val="7B305801"/>
    <w:rsid w:val="7B336985"/>
    <w:rsid w:val="7B3B1FDB"/>
    <w:rsid w:val="7B3F0A96"/>
    <w:rsid w:val="7B4120B2"/>
    <w:rsid w:val="7B4B5E55"/>
    <w:rsid w:val="7B4E023F"/>
    <w:rsid w:val="7B502927"/>
    <w:rsid w:val="7B503B39"/>
    <w:rsid w:val="7B542FE3"/>
    <w:rsid w:val="7B5523F7"/>
    <w:rsid w:val="7B5853B8"/>
    <w:rsid w:val="7B60135E"/>
    <w:rsid w:val="7B602912"/>
    <w:rsid w:val="7B731CD9"/>
    <w:rsid w:val="7B7974B6"/>
    <w:rsid w:val="7B7A03B2"/>
    <w:rsid w:val="7B88208C"/>
    <w:rsid w:val="7B964991"/>
    <w:rsid w:val="7B9E1FE7"/>
    <w:rsid w:val="7BA30A74"/>
    <w:rsid w:val="7BAE0860"/>
    <w:rsid w:val="7BAE3549"/>
    <w:rsid w:val="7BB30F09"/>
    <w:rsid w:val="7BB41782"/>
    <w:rsid w:val="7BB52D3B"/>
    <w:rsid w:val="7BBE6C55"/>
    <w:rsid w:val="7BC40083"/>
    <w:rsid w:val="7BC84880"/>
    <w:rsid w:val="7BCA11EA"/>
    <w:rsid w:val="7BD01802"/>
    <w:rsid w:val="7BDE57AE"/>
    <w:rsid w:val="7BE24317"/>
    <w:rsid w:val="7BE92EDF"/>
    <w:rsid w:val="7BEB44B6"/>
    <w:rsid w:val="7C0172A6"/>
    <w:rsid w:val="7C023A9E"/>
    <w:rsid w:val="7C044FE9"/>
    <w:rsid w:val="7C080F50"/>
    <w:rsid w:val="7C086208"/>
    <w:rsid w:val="7C09159D"/>
    <w:rsid w:val="7C0B35E0"/>
    <w:rsid w:val="7C0F2262"/>
    <w:rsid w:val="7C115D98"/>
    <w:rsid w:val="7C1346E2"/>
    <w:rsid w:val="7C2A1D90"/>
    <w:rsid w:val="7C2E19A1"/>
    <w:rsid w:val="7C306DEC"/>
    <w:rsid w:val="7C334C6C"/>
    <w:rsid w:val="7C370855"/>
    <w:rsid w:val="7C3F24AA"/>
    <w:rsid w:val="7C4444A8"/>
    <w:rsid w:val="7C512EB2"/>
    <w:rsid w:val="7C555210"/>
    <w:rsid w:val="7C565C05"/>
    <w:rsid w:val="7C594643"/>
    <w:rsid w:val="7C5F74F0"/>
    <w:rsid w:val="7C8C2AE3"/>
    <w:rsid w:val="7C8D35F8"/>
    <w:rsid w:val="7C91420A"/>
    <w:rsid w:val="7C920D3E"/>
    <w:rsid w:val="7C924327"/>
    <w:rsid w:val="7C975950"/>
    <w:rsid w:val="7C9D4AD7"/>
    <w:rsid w:val="7CAA6168"/>
    <w:rsid w:val="7CAD2D8F"/>
    <w:rsid w:val="7CB42429"/>
    <w:rsid w:val="7CC4169E"/>
    <w:rsid w:val="7CD24477"/>
    <w:rsid w:val="7CEF12B0"/>
    <w:rsid w:val="7CF6301E"/>
    <w:rsid w:val="7D017254"/>
    <w:rsid w:val="7D0F1302"/>
    <w:rsid w:val="7D1F286A"/>
    <w:rsid w:val="7D21599B"/>
    <w:rsid w:val="7D2268A8"/>
    <w:rsid w:val="7D236C66"/>
    <w:rsid w:val="7D26146D"/>
    <w:rsid w:val="7D2C2AAE"/>
    <w:rsid w:val="7D2D3ACA"/>
    <w:rsid w:val="7D342AF4"/>
    <w:rsid w:val="7D417BA4"/>
    <w:rsid w:val="7D551022"/>
    <w:rsid w:val="7D567ED1"/>
    <w:rsid w:val="7D5A62FD"/>
    <w:rsid w:val="7D6A14FC"/>
    <w:rsid w:val="7D851A94"/>
    <w:rsid w:val="7D877EB1"/>
    <w:rsid w:val="7D8F021D"/>
    <w:rsid w:val="7D9B1948"/>
    <w:rsid w:val="7DA05B06"/>
    <w:rsid w:val="7DA10BC5"/>
    <w:rsid w:val="7DA47E97"/>
    <w:rsid w:val="7DA51208"/>
    <w:rsid w:val="7DB76E0E"/>
    <w:rsid w:val="7DBC4899"/>
    <w:rsid w:val="7DC11990"/>
    <w:rsid w:val="7DC1616A"/>
    <w:rsid w:val="7DC474A6"/>
    <w:rsid w:val="7DCD5766"/>
    <w:rsid w:val="7DD16AF9"/>
    <w:rsid w:val="7DDB345D"/>
    <w:rsid w:val="7DDD3A04"/>
    <w:rsid w:val="7DDD5D48"/>
    <w:rsid w:val="7DE54590"/>
    <w:rsid w:val="7DE7499E"/>
    <w:rsid w:val="7DE859ED"/>
    <w:rsid w:val="7DEA23D2"/>
    <w:rsid w:val="7DF453A3"/>
    <w:rsid w:val="7DF7725F"/>
    <w:rsid w:val="7DFA62FA"/>
    <w:rsid w:val="7E0D5D21"/>
    <w:rsid w:val="7E1A02DA"/>
    <w:rsid w:val="7E2C50D3"/>
    <w:rsid w:val="7E317C2C"/>
    <w:rsid w:val="7E374658"/>
    <w:rsid w:val="7E374B3D"/>
    <w:rsid w:val="7E3969E8"/>
    <w:rsid w:val="7E604242"/>
    <w:rsid w:val="7E684EF7"/>
    <w:rsid w:val="7E6E4CD3"/>
    <w:rsid w:val="7E90357F"/>
    <w:rsid w:val="7E953E9E"/>
    <w:rsid w:val="7E96660D"/>
    <w:rsid w:val="7E992B80"/>
    <w:rsid w:val="7E9E1121"/>
    <w:rsid w:val="7E9F40E2"/>
    <w:rsid w:val="7EA6304A"/>
    <w:rsid w:val="7EC23402"/>
    <w:rsid w:val="7ECA7C9F"/>
    <w:rsid w:val="7ED73BEC"/>
    <w:rsid w:val="7EF24F07"/>
    <w:rsid w:val="7EFC1C0D"/>
    <w:rsid w:val="7F087584"/>
    <w:rsid w:val="7F0F7867"/>
    <w:rsid w:val="7F14777D"/>
    <w:rsid w:val="7F163784"/>
    <w:rsid w:val="7F203823"/>
    <w:rsid w:val="7F214438"/>
    <w:rsid w:val="7F2234DD"/>
    <w:rsid w:val="7F417521"/>
    <w:rsid w:val="7F513129"/>
    <w:rsid w:val="7F547970"/>
    <w:rsid w:val="7F576C26"/>
    <w:rsid w:val="7F5C22B2"/>
    <w:rsid w:val="7F5D21DC"/>
    <w:rsid w:val="7F663995"/>
    <w:rsid w:val="7F676F17"/>
    <w:rsid w:val="7F6D0E4A"/>
    <w:rsid w:val="7F7144BD"/>
    <w:rsid w:val="7F78365F"/>
    <w:rsid w:val="7F7A62CE"/>
    <w:rsid w:val="7F831546"/>
    <w:rsid w:val="7F8404EF"/>
    <w:rsid w:val="7F844EE9"/>
    <w:rsid w:val="7F9F1504"/>
    <w:rsid w:val="7FA53D28"/>
    <w:rsid w:val="7FAA3BB0"/>
    <w:rsid w:val="7FB65F35"/>
    <w:rsid w:val="7FC7345C"/>
    <w:rsid w:val="7FC81B4C"/>
    <w:rsid w:val="7FC92509"/>
    <w:rsid w:val="7FCD6BA3"/>
    <w:rsid w:val="7FDD3D43"/>
    <w:rsid w:val="7FDE3356"/>
    <w:rsid w:val="7FE12982"/>
    <w:rsid w:val="7FE837AB"/>
    <w:rsid w:val="7FEC788D"/>
    <w:rsid w:val="7FF2485A"/>
    <w:rsid w:val="7FFD3697"/>
    <w:rsid w:val="7FFD3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iPriority="99" w:semiHidden="0" w:name="annotation text"/>
    <w:lsdException w:qFormat="1" w:uiPriority="99" w:semiHidden="0" w:name="header"/>
    <w:lsdException w:qFormat="1" w:uiPriority="99" w:semiHidden="0" w:name="footer"/>
    <w:lsdException w:uiPriority="0" w:name="index heading"/>
    <w:lsdException w:qFormat="1" w:unhideWhenUsed="0" w:uiPriority="0" w:semiHidden="0" w:name="caption"/>
    <w:lsdException w:qFormat="1" w:uiPriority="99" w:semiHidden="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qFormat="1" w:unhideWhenUsed="0" w:uiPriority="99"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qFormat="1"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99" w:semiHidden="0" w:name="Body Text Indent 2"/>
    <w:lsdException w:qFormat="1" w:uiPriority="0" w:semiHidden="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caption"/>
    <w:basedOn w:val="1"/>
    <w:next w:val="1"/>
    <w:qFormat/>
    <w:uiPriority w:val="0"/>
    <w:pPr>
      <w:jc w:val="center"/>
    </w:pPr>
    <w:rPr>
      <w:rFonts w:eastAsia="黑体" w:cs="Arial"/>
      <w:szCs w:val="20"/>
    </w:rPr>
  </w:style>
  <w:style w:type="paragraph" w:styleId="8">
    <w:name w:val="Document Map"/>
    <w:basedOn w:val="1"/>
    <w:link w:val="83"/>
    <w:autoRedefine/>
    <w:unhideWhenUsed/>
    <w:qFormat/>
    <w:uiPriority w:val="99"/>
    <w:rPr>
      <w:rFonts w:ascii="宋体"/>
      <w:sz w:val="18"/>
      <w:szCs w:val="18"/>
    </w:rPr>
  </w:style>
  <w:style w:type="paragraph" w:styleId="9">
    <w:name w:val="toa heading"/>
    <w:basedOn w:val="1"/>
    <w:next w:val="1"/>
    <w:autoRedefine/>
    <w:qFormat/>
    <w:uiPriority w:val="0"/>
    <w:pPr>
      <w:spacing w:before="120"/>
    </w:pPr>
    <w:rPr>
      <w:rFonts w:ascii="Arial" w:hAnsi="Arial" w:cs="Arial"/>
    </w:rPr>
  </w:style>
  <w:style w:type="paragraph" w:styleId="10">
    <w:name w:val="annotation text"/>
    <w:basedOn w:val="1"/>
    <w:link w:val="75"/>
    <w:autoRedefine/>
    <w:unhideWhenUsed/>
    <w:qFormat/>
    <w:uiPriority w:val="99"/>
    <w:pPr>
      <w:jc w:val="left"/>
    </w:pPr>
  </w:style>
  <w:style w:type="paragraph" w:styleId="11">
    <w:name w:val="Body Text"/>
    <w:basedOn w:val="1"/>
    <w:link w:val="101"/>
    <w:autoRedefine/>
    <w:qFormat/>
    <w:uiPriority w:val="0"/>
    <w:pPr>
      <w:spacing w:after="120"/>
    </w:pPr>
    <w:rPr>
      <w:kern w:val="0"/>
      <w:sz w:val="20"/>
    </w:rPr>
  </w:style>
  <w:style w:type="paragraph" w:styleId="12">
    <w:name w:val="Body Text Indent"/>
    <w:basedOn w:val="1"/>
    <w:next w:val="13"/>
    <w:link w:val="110"/>
    <w:autoRedefine/>
    <w:unhideWhenUsed/>
    <w:qFormat/>
    <w:uiPriority w:val="99"/>
    <w:pPr>
      <w:spacing w:after="120"/>
      <w:ind w:left="420" w:leftChars="200"/>
    </w:pPr>
  </w:style>
  <w:style w:type="paragraph" w:styleId="13">
    <w:name w:val="footer"/>
    <w:basedOn w:val="1"/>
    <w:link w:val="128"/>
    <w:autoRedefine/>
    <w:unhideWhenUsed/>
    <w:qFormat/>
    <w:uiPriority w:val="99"/>
    <w:pPr>
      <w:tabs>
        <w:tab w:val="center" w:pos="4153"/>
        <w:tab w:val="right" w:pos="8306"/>
      </w:tabs>
      <w:snapToGrid w:val="0"/>
      <w:jc w:val="left"/>
    </w:pPr>
    <w:rPr>
      <w:sz w:val="18"/>
      <w:szCs w:val="18"/>
    </w:rPr>
  </w:style>
  <w:style w:type="paragraph" w:styleId="14">
    <w:name w:val="Plain Text"/>
    <w:basedOn w:val="1"/>
    <w:link w:val="63"/>
    <w:autoRedefine/>
    <w:semiHidden/>
    <w:unhideWhenUsed/>
    <w:qFormat/>
    <w:uiPriority w:val="99"/>
    <w:rPr>
      <w:rFonts w:ascii="宋体" w:hAnsi="Courier New" w:cs="Courier New"/>
      <w:szCs w:val="21"/>
    </w:rPr>
  </w:style>
  <w:style w:type="paragraph" w:styleId="15">
    <w:name w:val="List Bullet 5"/>
    <w:basedOn w:val="1"/>
    <w:autoRedefine/>
    <w:semiHidden/>
    <w:unhideWhenUsed/>
    <w:qFormat/>
    <w:uiPriority w:val="0"/>
    <w:pPr>
      <w:numPr>
        <w:ilvl w:val="0"/>
        <w:numId w:val="1"/>
      </w:numPr>
    </w:pPr>
  </w:style>
  <w:style w:type="paragraph" w:styleId="16">
    <w:name w:val="Date"/>
    <w:basedOn w:val="1"/>
    <w:next w:val="1"/>
    <w:autoRedefine/>
    <w:qFormat/>
    <w:uiPriority w:val="0"/>
    <w:pPr>
      <w:ind w:left="100" w:leftChars="2500"/>
    </w:pPr>
    <w:rPr>
      <w:kern w:val="0"/>
      <w:szCs w:val="20"/>
    </w:rPr>
  </w:style>
  <w:style w:type="paragraph" w:styleId="17">
    <w:name w:val="Body Text Indent 2"/>
    <w:basedOn w:val="1"/>
    <w:next w:val="1"/>
    <w:autoRedefine/>
    <w:qFormat/>
    <w:uiPriority w:val="99"/>
    <w:pPr>
      <w:spacing w:before="100" w:beforeAutospacing="1" w:after="120" w:line="480" w:lineRule="auto"/>
      <w:ind w:left="200" w:leftChars="200"/>
    </w:pPr>
    <w:rPr>
      <w:szCs w:val="21"/>
    </w:rPr>
  </w:style>
  <w:style w:type="paragraph" w:styleId="18">
    <w:name w:val="Balloon Text"/>
    <w:basedOn w:val="1"/>
    <w:link w:val="77"/>
    <w:autoRedefine/>
    <w:unhideWhenUsed/>
    <w:qFormat/>
    <w:uiPriority w:val="99"/>
    <w:rPr>
      <w:sz w:val="18"/>
      <w:szCs w:val="18"/>
    </w:rPr>
  </w:style>
  <w:style w:type="paragraph" w:styleId="19">
    <w:name w:val="header"/>
    <w:basedOn w:val="1"/>
    <w:next w:val="11"/>
    <w:link w:val="1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style>
  <w:style w:type="paragraph" w:styleId="21">
    <w:name w:val="List"/>
    <w:basedOn w:val="1"/>
    <w:autoRedefine/>
    <w:qFormat/>
    <w:uiPriority w:val="99"/>
    <w:pPr>
      <w:ind w:left="200" w:hanging="200" w:hangingChars="200"/>
    </w:pPr>
  </w:style>
  <w:style w:type="paragraph" w:styleId="22">
    <w:name w:val="Body Text Indent 3"/>
    <w:basedOn w:val="1"/>
    <w:link w:val="85"/>
    <w:autoRedefine/>
    <w:unhideWhenUsed/>
    <w:qFormat/>
    <w:uiPriority w:val="0"/>
    <w:pPr>
      <w:spacing w:after="120"/>
      <w:ind w:left="420" w:leftChars="200"/>
    </w:pPr>
    <w:rPr>
      <w:sz w:val="16"/>
      <w:szCs w:val="16"/>
      <w:lang w:val="zh-CN"/>
    </w:rPr>
  </w:style>
  <w:style w:type="paragraph" w:styleId="23">
    <w:name w:val="table of figures"/>
    <w:basedOn w:val="1"/>
    <w:next w:val="1"/>
    <w:autoRedefine/>
    <w:unhideWhenUsed/>
    <w:qFormat/>
    <w:uiPriority w:val="99"/>
    <w:pPr>
      <w:ind w:left="200" w:leftChars="200" w:hanging="200" w:hangingChars="200"/>
    </w:pPr>
  </w:style>
  <w:style w:type="paragraph" w:styleId="24">
    <w:name w:val="Normal (Web)"/>
    <w:basedOn w:val="1"/>
    <w:autoRedefine/>
    <w:semiHidden/>
    <w:unhideWhenUsed/>
    <w:qFormat/>
    <w:uiPriority w:val="0"/>
    <w:pPr>
      <w:spacing w:beforeAutospacing="1" w:afterAutospacing="1"/>
      <w:jc w:val="left"/>
    </w:pPr>
    <w:rPr>
      <w:kern w:val="0"/>
    </w:rPr>
  </w:style>
  <w:style w:type="paragraph" w:styleId="25">
    <w:name w:val="annotation subject"/>
    <w:basedOn w:val="10"/>
    <w:next w:val="10"/>
    <w:link w:val="34"/>
    <w:autoRedefine/>
    <w:unhideWhenUsed/>
    <w:qFormat/>
    <w:uiPriority w:val="99"/>
    <w:rPr>
      <w:b/>
      <w:bCs/>
    </w:rPr>
  </w:style>
  <w:style w:type="paragraph" w:styleId="26">
    <w:name w:val="Body Text First Indent"/>
    <w:basedOn w:val="11"/>
    <w:next w:val="1"/>
    <w:autoRedefine/>
    <w:qFormat/>
    <w:uiPriority w:val="0"/>
    <w:pPr>
      <w:ind w:firstLine="420" w:firstLineChars="100"/>
    </w:pPr>
  </w:style>
  <w:style w:type="paragraph" w:styleId="27">
    <w:name w:val="Body Text First Indent 2"/>
    <w:basedOn w:val="12"/>
    <w:autoRedefine/>
    <w:unhideWhenUsed/>
    <w:qFormat/>
    <w:uiPriority w:val="99"/>
    <w:pPr>
      <w:widowControl/>
      <w:ind w:firstLine="420" w:firstLineChars="200"/>
      <w:jc w:val="left"/>
    </w:pPr>
  </w:style>
  <w:style w:type="table" w:styleId="29">
    <w:name w:val="Table Grid"/>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autoRedefine/>
    <w:qFormat/>
    <w:uiPriority w:val="22"/>
    <w:rPr>
      <w:b/>
      <w:bCs/>
    </w:rPr>
  </w:style>
  <w:style w:type="character" w:styleId="32">
    <w:name w:val="Hyperlink"/>
    <w:basedOn w:val="30"/>
    <w:autoRedefine/>
    <w:semiHidden/>
    <w:unhideWhenUsed/>
    <w:qFormat/>
    <w:uiPriority w:val="0"/>
    <w:rPr>
      <w:color w:val="0000FF"/>
      <w:u w:val="single"/>
    </w:rPr>
  </w:style>
  <w:style w:type="character" w:styleId="33">
    <w:name w:val="annotation reference"/>
    <w:autoRedefine/>
    <w:unhideWhenUsed/>
    <w:qFormat/>
    <w:uiPriority w:val="99"/>
    <w:rPr>
      <w:sz w:val="21"/>
      <w:szCs w:val="21"/>
    </w:rPr>
  </w:style>
  <w:style w:type="character" w:customStyle="1" w:styleId="34">
    <w:name w:val="批注主题 字符"/>
    <w:link w:val="25"/>
    <w:autoRedefine/>
    <w:semiHidden/>
    <w:qFormat/>
    <w:uiPriority w:val="99"/>
    <w:rPr>
      <w:b/>
      <w:bCs/>
    </w:rPr>
  </w:style>
  <w:style w:type="character" w:customStyle="1" w:styleId="35">
    <w:name w:val="font11"/>
    <w:basedOn w:val="30"/>
    <w:autoRedefine/>
    <w:qFormat/>
    <w:uiPriority w:val="0"/>
    <w:rPr>
      <w:rFonts w:hint="default" w:ascii="Times New Roman" w:hAnsi="Times New Roman" w:cs="Times New Roman"/>
      <w:color w:val="000000"/>
      <w:sz w:val="21"/>
      <w:szCs w:val="21"/>
      <w:u w:val="none"/>
    </w:rPr>
  </w:style>
  <w:style w:type="paragraph" w:customStyle="1" w:styleId="36">
    <w:name w:val="表格m"/>
    <w:basedOn w:val="1"/>
    <w:autoRedefine/>
    <w:qFormat/>
    <w:uiPriority w:val="0"/>
    <w:pPr>
      <w:adjustRightInd w:val="0"/>
      <w:snapToGrid w:val="0"/>
      <w:jc w:val="center"/>
    </w:pPr>
    <w:rPr>
      <w:sz w:val="18"/>
    </w:rPr>
  </w:style>
  <w:style w:type="paragraph" w:customStyle="1" w:styleId="37">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38">
    <w:name w:val="_Style 377"/>
    <w:basedOn w:val="1"/>
    <w:autoRedefine/>
    <w:qFormat/>
    <w:uiPriority w:val="0"/>
    <w:pPr>
      <w:widowControl/>
    </w:pPr>
  </w:style>
  <w:style w:type="character" w:customStyle="1" w:styleId="39">
    <w:name w:val="表格内容 Char"/>
    <w:link w:val="40"/>
    <w:autoRedefine/>
    <w:qFormat/>
    <w:uiPriority w:val="0"/>
    <w:rPr>
      <w:rFonts w:ascii="Times New Roman" w:hAnsi="Times New Roman" w:eastAsia="宋体" w:cs="Times New Roman"/>
      <w:sz w:val="21"/>
      <w:szCs w:val="21"/>
    </w:rPr>
  </w:style>
  <w:style w:type="paragraph" w:customStyle="1" w:styleId="40">
    <w:name w:val="表格内容"/>
    <w:basedOn w:val="41"/>
    <w:link w:val="39"/>
    <w:autoRedefine/>
    <w:qFormat/>
    <w:uiPriority w:val="0"/>
    <w:pPr>
      <w:spacing w:line="240" w:lineRule="auto"/>
    </w:pPr>
    <w:rPr>
      <w:b w:val="0"/>
      <w:kern w:val="0"/>
      <w:szCs w:val="21"/>
    </w:rPr>
  </w:style>
  <w:style w:type="paragraph" w:customStyle="1" w:styleId="41">
    <w:name w:val="表格标题"/>
    <w:basedOn w:val="7"/>
    <w:qFormat/>
    <w:uiPriority w:val="0"/>
    <w:pPr>
      <w:spacing w:line="360" w:lineRule="auto"/>
    </w:pPr>
    <w:rPr>
      <w:rFonts w:eastAsia="宋体"/>
      <w:b/>
      <w:sz w:val="21"/>
    </w:rPr>
  </w:style>
  <w:style w:type="paragraph" w:customStyle="1" w:styleId="42">
    <w:name w:val="rpt_正文"/>
    <w:autoRedefine/>
    <w:qFormat/>
    <w:uiPriority w:val="0"/>
    <w:pPr>
      <w:spacing w:line="400" w:lineRule="exact"/>
      <w:ind w:firstLine="480" w:firstLineChars="200"/>
    </w:pPr>
    <w:rPr>
      <w:rFonts w:ascii="Times New Roman" w:hAnsi="Times New Roman" w:eastAsia="宋体" w:cs="宋体"/>
      <w:kern w:val="2"/>
      <w:sz w:val="24"/>
      <w:lang w:val="en-US" w:eastAsia="zh-CN" w:bidi="ar-SA"/>
    </w:rPr>
  </w:style>
  <w:style w:type="paragraph" w:customStyle="1" w:styleId="43">
    <w:name w:val="一级标题1"/>
    <w:basedOn w:val="1"/>
    <w:autoRedefine/>
    <w:qFormat/>
    <w:uiPriority w:val="0"/>
    <w:pPr>
      <w:tabs>
        <w:tab w:val="left" w:pos="1260"/>
      </w:tabs>
      <w:adjustRightInd w:val="0"/>
      <w:ind w:firstLine="98" w:firstLineChars="98"/>
      <w:outlineLvl w:val="0"/>
    </w:pPr>
    <w:rPr>
      <w:b/>
      <w:bCs/>
      <w:color w:val="000000"/>
    </w:rPr>
  </w:style>
  <w:style w:type="paragraph" w:customStyle="1" w:styleId="44">
    <w:name w:val="Normal_0"/>
    <w:autoRedefine/>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45">
    <w:name w:val="表"/>
    <w:basedOn w:val="1"/>
    <w:autoRedefine/>
    <w:qFormat/>
    <w:uiPriority w:val="0"/>
    <w:pPr>
      <w:spacing w:line="240" w:lineRule="exact"/>
    </w:pPr>
    <w:rPr>
      <w:rFonts w:ascii="仿宋_GB2312" w:hAnsi="宋体" w:eastAsia="仿宋_GB2312"/>
      <w:sz w:val="18"/>
      <w:szCs w:val="20"/>
    </w:rPr>
  </w:style>
  <w:style w:type="paragraph" w:customStyle="1" w:styleId="46">
    <w:name w:val="表格"/>
    <w:basedOn w:val="47"/>
    <w:autoRedefine/>
    <w:qFormat/>
    <w:uiPriority w:val="0"/>
    <w:rPr>
      <w:szCs w:val="21"/>
    </w:rPr>
  </w:style>
  <w:style w:type="paragraph" w:customStyle="1" w:styleId="47">
    <w:name w:val="报告表格"/>
    <w:basedOn w:val="1"/>
    <w:link w:val="114"/>
    <w:autoRedefine/>
    <w:qFormat/>
    <w:uiPriority w:val="0"/>
    <w:pPr>
      <w:autoSpaceDE w:val="0"/>
      <w:autoSpaceDN w:val="0"/>
      <w:adjustRightInd w:val="0"/>
      <w:spacing w:before="40" w:after="40"/>
      <w:jc w:val="center"/>
      <w:textAlignment w:val="bottom"/>
    </w:pPr>
    <w:rPr>
      <w:kern w:val="0"/>
      <w:szCs w:val="20"/>
    </w:rPr>
  </w:style>
  <w:style w:type="paragraph" w:customStyle="1" w:styleId="48">
    <w:name w:val="四级标题"/>
    <w:basedOn w:val="1"/>
    <w:link w:val="74"/>
    <w:autoRedefine/>
    <w:qFormat/>
    <w:uiPriority w:val="0"/>
    <w:pPr>
      <w:spacing w:line="360" w:lineRule="auto"/>
      <w:ind w:firstLine="200" w:firstLineChars="200"/>
      <w:outlineLvl w:val="3"/>
    </w:pPr>
    <w:rPr>
      <w:b/>
    </w:rPr>
  </w:style>
  <w:style w:type="table" w:customStyle="1" w:styleId="49">
    <w:name w:val="Table Normal"/>
    <w:autoRedefine/>
    <w:unhideWhenUsed/>
    <w:qFormat/>
    <w:uiPriority w:val="0"/>
    <w:tblPr>
      <w:tblCellMar>
        <w:top w:w="0" w:type="dxa"/>
        <w:left w:w="0" w:type="dxa"/>
        <w:bottom w:w="0" w:type="dxa"/>
        <w:right w:w="0" w:type="dxa"/>
      </w:tblCellMar>
    </w:tblPr>
  </w:style>
  <w:style w:type="paragraph" w:styleId="50">
    <w:name w:val="No Spacing"/>
    <w:qFormat/>
    <w:uiPriority w:val="1"/>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51">
    <w:name w:val="章节目录 Char"/>
    <w:link w:val="52"/>
    <w:autoRedefine/>
    <w:qFormat/>
    <w:uiPriority w:val="0"/>
    <w:rPr>
      <w:rFonts w:cs="黑体"/>
      <w:b/>
      <w:kern w:val="2"/>
      <w:sz w:val="28"/>
      <w:szCs w:val="28"/>
    </w:rPr>
  </w:style>
  <w:style w:type="paragraph" w:customStyle="1" w:styleId="52">
    <w:name w:val="章节目录"/>
    <w:basedOn w:val="1"/>
    <w:link w:val="51"/>
    <w:autoRedefine/>
    <w:qFormat/>
    <w:uiPriority w:val="0"/>
    <w:pPr>
      <w:spacing w:line="360" w:lineRule="auto"/>
      <w:outlineLvl w:val="0"/>
    </w:pPr>
    <w:rPr>
      <w:b/>
      <w:sz w:val="28"/>
      <w:szCs w:val="28"/>
    </w:rPr>
  </w:style>
  <w:style w:type="paragraph" w:customStyle="1" w:styleId="53">
    <w:name w:val="正文-蓝色"/>
    <w:basedOn w:val="54"/>
    <w:autoRedefine/>
    <w:qFormat/>
    <w:uiPriority w:val="0"/>
    <w:rPr>
      <w:color w:val="FF0000"/>
      <w:kern w:val="0"/>
      <w:szCs w:val="28"/>
    </w:rPr>
  </w:style>
  <w:style w:type="paragraph" w:customStyle="1" w:styleId="54">
    <w:name w:val="正文-欣欣"/>
    <w:basedOn w:val="14"/>
    <w:next w:val="1"/>
    <w:autoRedefine/>
    <w:qFormat/>
    <w:uiPriority w:val="0"/>
    <w:pPr>
      <w:adjustRightInd w:val="0"/>
      <w:spacing w:line="360" w:lineRule="auto"/>
      <w:ind w:firstLine="200" w:firstLineChars="200"/>
    </w:pPr>
    <w:rPr>
      <w:rFonts w:cs="Times New Roman"/>
      <w:szCs w:val="30"/>
    </w:rPr>
  </w:style>
  <w:style w:type="paragraph" w:customStyle="1" w:styleId="55">
    <w:name w:val="样式 样式 首行缩进:  0.85 厘米1 Char + Times New Roman 首行缩进:  2 字符"/>
    <w:basedOn w:val="1"/>
    <w:autoRedefine/>
    <w:qFormat/>
    <w:uiPriority w:val="0"/>
    <w:rPr>
      <w:rFonts w:eastAsia="华文中宋" w:cs="宋体"/>
      <w:szCs w:val="20"/>
    </w:rPr>
  </w:style>
  <w:style w:type="character" w:customStyle="1" w:styleId="56">
    <w:name w:val="正文文本 (2) + 10.5 pt"/>
    <w:autoRedefine/>
    <w:qFormat/>
    <w:uiPriority w:val="0"/>
    <w:rPr>
      <w:rFonts w:ascii="宋体" w:hAnsi="宋体" w:eastAsia="宋体" w:cs="宋体"/>
      <w:color w:val="000000"/>
      <w:spacing w:val="0"/>
      <w:w w:val="100"/>
      <w:position w:val="0"/>
      <w:sz w:val="21"/>
      <w:szCs w:val="21"/>
      <w:u w:val="none"/>
      <w:shd w:val="clear" w:color="auto" w:fill="FFFFFF"/>
      <w:lang w:val="zh-CN" w:eastAsia="zh-CN" w:bidi="zh-CN"/>
    </w:rPr>
  </w:style>
  <w:style w:type="paragraph" w:customStyle="1" w:styleId="57">
    <w:name w:val="正文标题"/>
    <w:basedOn w:val="1"/>
    <w:autoRedefine/>
    <w:qFormat/>
    <w:uiPriority w:val="0"/>
    <w:pPr>
      <w:spacing w:line="360" w:lineRule="auto"/>
      <w:ind w:firstLine="200" w:firstLineChars="200"/>
      <w:outlineLvl w:val="4"/>
    </w:pPr>
    <w:rPr>
      <w:b/>
    </w:rPr>
  </w:style>
  <w:style w:type="paragraph" w:customStyle="1" w:styleId="58">
    <w:name w:val="表号表名（W）"/>
    <w:basedOn w:val="1"/>
    <w:next w:val="59"/>
    <w:autoRedefine/>
    <w:qFormat/>
    <w:uiPriority w:val="0"/>
    <w:pPr>
      <w:numPr>
        <w:ilvl w:val="4"/>
        <w:numId w:val="2"/>
      </w:numPr>
    </w:pPr>
  </w:style>
  <w:style w:type="paragraph" w:customStyle="1" w:styleId="59">
    <w:name w:val="表格文字内容（W）"/>
    <w:basedOn w:val="1"/>
    <w:link w:val="78"/>
    <w:autoRedefine/>
    <w:qFormat/>
    <w:uiPriority w:val="0"/>
    <w:pPr>
      <w:jc w:val="center"/>
    </w:pPr>
    <w:rPr>
      <w:rFonts w:cs="宋体"/>
      <w:sz w:val="21"/>
      <w:szCs w:val="18"/>
    </w:rPr>
  </w:style>
  <w:style w:type="paragraph" w:customStyle="1" w:styleId="60">
    <w:name w:val="首行缩进:  2 字符（清和）"/>
    <w:basedOn w:val="1"/>
    <w:autoRedefine/>
    <w:qFormat/>
    <w:uiPriority w:val="0"/>
    <w:pPr>
      <w:spacing w:line="500" w:lineRule="exact"/>
      <w:ind w:firstLine="480" w:firstLineChars="200"/>
    </w:pPr>
    <w:rPr>
      <w:rFonts w:cs="宋体"/>
      <w:szCs w:val="20"/>
    </w:rPr>
  </w:style>
  <w:style w:type="paragraph" w:customStyle="1" w:styleId="61">
    <w:name w:val="三级标题新"/>
    <w:basedOn w:val="62"/>
    <w:autoRedefine/>
    <w:qFormat/>
    <w:uiPriority w:val="0"/>
    <w:pPr>
      <w:tabs>
        <w:tab w:val="left" w:pos="1260"/>
      </w:tabs>
      <w:ind w:firstLine="200" w:firstLineChars="200"/>
    </w:pPr>
  </w:style>
  <w:style w:type="paragraph" w:customStyle="1" w:styleId="62">
    <w:name w:val="二级标题新"/>
    <w:basedOn w:val="43"/>
    <w:autoRedefine/>
    <w:qFormat/>
    <w:uiPriority w:val="0"/>
    <w:pPr>
      <w:ind w:firstLine="196" w:firstLineChars="196"/>
      <w:outlineLvl w:val="1"/>
    </w:pPr>
  </w:style>
  <w:style w:type="character" w:customStyle="1" w:styleId="63">
    <w:name w:val="纯文本 字符"/>
    <w:link w:val="14"/>
    <w:autoRedefine/>
    <w:semiHidden/>
    <w:qFormat/>
    <w:uiPriority w:val="99"/>
    <w:rPr>
      <w:rFonts w:ascii="宋体" w:hAnsi="Courier New" w:cs="Courier New"/>
      <w:kern w:val="2"/>
      <w:sz w:val="21"/>
      <w:szCs w:val="21"/>
    </w:rPr>
  </w:style>
  <w:style w:type="character" w:customStyle="1" w:styleId="64">
    <w:name w:val="表头 Char"/>
    <w:link w:val="65"/>
    <w:autoRedefine/>
    <w:qFormat/>
    <w:uiPriority w:val="0"/>
    <w:rPr>
      <w:rFonts w:eastAsia="黑体"/>
      <w:color w:val="FF0000"/>
      <w:kern w:val="2"/>
      <w:sz w:val="21"/>
      <w:szCs w:val="21"/>
    </w:rPr>
  </w:style>
  <w:style w:type="paragraph" w:customStyle="1" w:styleId="65">
    <w:name w:val="表头"/>
    <w:basedOn w:val="46"/>
    <w:link w:val="64"/>
    <w:autoRedefine/>
    <w:qFormat/>
    <w:uiPriority w:val="0"/>
    <w:pPr>
      <w:spacing w:line="360" w:lineRule="auto"/>
    </w:pPr>
    <w:rPr>
      <w:rFonts w:eastAsia="黑体"/>
      <w:color w:val="FF0000"/>
    </w:rPr>
  </w:style>
  <w:style w:type="paragraph" w:customStyle="1" w:styleId="66">
    <w:name w:val="修订1"/>
    <w:hidden/>
    <w:unhideWhenUsed/>
    <w:qFormat/>
    <w:uiPriority w:val="99"/>
    <w:rPr>
      <w:rFonts w:ascii="Times New Roman" w:hAnsi="Times New Roman" w:eastAsia="宋体" w:cs="Times New Roman"/>
      <w:kern w:val="2"/>
      <w:sz w:val="24"/>
      <w:szCs w:val="24"/>
      <w:lang w:val="en-US" w:eastAsia="zh-CN" w:bidi="ar-SA"/>
    </w:rPr>
  </w:style>
  <w:style w:type="paragraph" w:customStyle="1" w:styleId="67">
    <w:name w:val="Default1"/>
    <w:basedOn w:val="1"/>
    <w:autoRedefine/>
    <w:qFormat/>
    <w:uiPriority w:val="0"/>
    <w:pPr>
      <w:autoSpaceDE w:val="0"/>
      <w:autoSpaceDN w:val="0"/>
      <w:adjustRightInd w:val="0"/>
      <w:jc w:val="left"/>
    </w:pPr>
    <w:rPr>
      <w:rFonts w:hint="eastAsia" w:ascii="宋体" w:hAnsi="Calibri"/>
      <w:color w:val="000000"/>
      <w:kern w:val="0"/>
    </w:rPr>
  </w:style>
  <w:style w:type="paragraph" w:customStyle="1" w:styleId="68">
    <w:name w:val="表文"/>
    <w:basedOn w:val="1"/>
    <w:autoRedefine/>
    <w:qFormat/>
    <w:uiPriority w:val="0"/>
    <w:pPr>
      <w:jc w:val="center"/>
    </w:pPr>
    <w:rPr>
      <w:sz w:val="21"/>
      <w:szCs w:val="20"/>
    </w:rPr>
  </w:style>
  <w:style w:type="paragraph" w:customStyle="1" w:styleId="69">
    <w:name w:val="报告正文"/>
    <w:basedOn w:val="1"/>
    <w:autoRedefine/>
    <w:qFormat/>
    <w:uiPriority w:val="0"/>
    <w:pPr>
      <w:spacing w:line="360" w:lineRule="auto"/>
      <w:ind w:firstLine="200" w:firstLineChars="200"/>
      <w:textAlignment w:val="baseline"/>
    </w:pPr>
    <w:rPr>
      <w:szCs w:val="20"/>
    </w:rPr>
  </w:style>
  <w:style w:type="paragraph" w:customStyle="1" w:styleId="70">
    <w:name w:val="表格首行"/>
    <w:basedOn w:val="1"/>
    <w:next w:val="1"/>
    <w:autoRedefine/>
    <w:qFormat/>
    <w:uiPriority w:val="0"/>
    <w:pPr>
      <w:jc w:val="center"/>
    </w:pPr>
    <w:rPr>
      <w:rFonts w:cs="宋体"/>
      <w:b/>
      <w:szCs w:val="20"/>
    </w:rPr>
  </w:style>
  <w:style w:type="paragraph" w:customStyle="1" w:styleId="71">
    <w:name w:val="报告书"/>
    <w:basedOn w:val="1"/>
    <w:autoRedefine/>
    <w:qFormat/>
    <w:uiPriority w:val="0"/>
    <w:pPr>
      <w:autoSpaceDE w:val="0"/>
      <w:autoSpaceDN w:val="0"/>
      <w:adjustRightInd w:val="0"/>
      <w:spacing w:line="360" w:lineRule="auto"/>
      <w:ind w:firstLine="505"/>
      <w:jc w:val="left"/>
      <w:textAlignment w:val="bottom"/>
    </w:pPr>
    <w:rPr>
      <w:kern w:val="0"/>
      <w:szCs w:val="20"/>
    </w:rPr>
  </w:style>
  <w:style w:type="paragraph" w:customStyle="1" w:styleId="72">
    <w:name w:val="Table Text"/>
    <w:basedOn w:val="1"/>
    <w:autoRedefine/>
    <w:semiHidden/>
    <w:qFormat/>
    <w:uiPriority w:val="0"/>
    <w:rPr>
      <w:rFonts w:ascii="宋体" w:hAnsi="宋体" w:cs="宋体"/>
      <w:sz w:val="22"/>
      <w:lang w:eastAsia="en-US"/>
    </w:rPr>
  </w:style>
  <w:style w:type="paragraph" w:customStyle="1" w:styleId="73">
    <w:name w:val="SSEC 1级序号"/>
    <w:autoRedefine/>
    <w:qFormat/>
    <w:uiPriority w:val="0"/>
    <w:pPr>
      <w:widowControl w:val="0"/>
      <w:numPr>
        <w:ilvl w:val="0"/>
        <w:numId w:val="3"/>
      </w:numPr>
      <w:adjustRightInd w:val="0"/>
      <w:snapToGrid w:val="0"/>
      <w:spacing w:line="331" w:lineRule="auto"/>
      <w:jc w:val="both"/>
    </w:pPr>
    <w:rPr>
      <w:rFonts w:ascii="宋体" w:hAnsi="宋体" w:eastAsia="宋体" w:cs="Times New Roman"/>
      <w:kern w:val="2"/>
      <w:sz w:val="24"/>
      <w:szCs w:val="24"/>
      <w:lang w:val="en-US" w:eastAsia="zh-CN" w:bidi="ar-SA"/>
    </w:rPr>
  </w:style>
  <w:style w:type="character" w:customStyle="1" w:styleId="74">
    <w:name w:val="四级标题 Char"/>
    <w:link w:val="48"/>
    <w:autoRedefine/>
    <w:qFormat/>
    <w:uiPriority w:val="0"/>
    <w:rPr>
      <w:b/>
      <w:kern w:val="2"/>
      <w:sz w:val="24"/>
      <w:szCs w:val="24"/>
    </w:rPr>
  </w:style>
  <w:style w:type="character" w:customStyle="1" w:styleId="75">
    <w:name w:val="批注文字 字符"/>
    <w:basedOn w:val="30"/>
    <w:link w:val="10"/>
    <w:autoRedefine/>
    <w:semiHidden/>
    <w:qFormat/>
    <w:uiPriority w:val="99"/>
  </w:style>
  <w:style w:type="paragraph" w:customStyle="1" w:styleId="76">
    <w:name w:val="表头lcc1"/>
    <w:basedOn w:val="1"/>
    <w:autoRedefine/>
    <w:qFormat/>
    <w:uiPriority w:val="0"/>
    <w:pPr>
      <w:jc w:val="center"/>
    </w:pPr>
    <w:rPr>
      <w:rFonts w:ascii="Calibri" w:hAnsi="Calibri"/>
      <w:b/>
      <w:snapToGrid w:val="0"/>
      <w:kern w:val="0"/>
      <w:szCs w:val="21"/>
    </w:rPr>
  </w:style>
  <w:style w:type="character" w:customStyle="1" w:styleId="77">
    <w:name w:val="批注框文本 字符"/>
    <w:link w:val="18"/>
    <w:autoRedefine/>
    <w:semiHidden/>
    <w:qFormat/>
    <w:uiPriority w:val="99"/>
    <w:rPr>
      <w:sz w:val="18"/>
      <w:szCs w:val="18"/>
    </w:rPr>
  </w:style>
  <w:style w:type="character" w:customStyle="1" w:styleId="78">
    <w:name w:val="表格文字内容（W） Char"/>
    <w:link w:val="59"/>
    <w:qFormat/>
    <w:uiPriority w:val="0"/>
    <w:rPr>
      <w:rFonts w:cs="宋体"/>
      <w:sz w:val="21"/>
      <w:szCs w:val="18"/>
    </w:rPr>
  </w:style>
  <w:style w:type="character" w:customStyle="1" w:styleId="79">
    <w:name w:val="font61"/>
    <w:basedOn w:val="30"/>
    <w:autoRedefine/>
    <w:qFormat/>
    <w:uiPriority w:val="0"/>
    <w:rPr>
      <w:rFonts w:hint="default" w:ascii="Times New Roman" w:hAnsi="Times New Roman" w:cs="Times New Roman"/>
      <w:color w:val="000000"/>
      <w:sz w:val="21"/>
      <w:szCs w:val="21"/>
      <w:u w:val="none"/>
      <w:vertAlign w:val="superscript"/>
    </w:rPr>
  </w:style>
  <w:style w:type="paragraph" w:customStyle="1" w:styleId="80">
    <w:name w:val="正文 宋体"/>
    <w:basedOn w:val="11"/>
    <w:qFormat/>
    <w:uiPriority w:val="0"/>
    <w:pPr>
      <w:ind w:firstLine="480"/>
    </w:pPr>
    <w:rPr>
      <w:rFonts w:ascii="宋体" w:hAnsi="宋体" w:cs="宋体"/>
    </w:rPr>
  </w:style>
  <w:style w:type="paragraph" w:customStyle="1" w:styleId="81">
    <w:name w:val="表格正文"/>
    <w:basedOn w:val="1"/>
    <w:qFormat/>
    <w:uiPriority w:val="0"/>
    <w:pPr>
      <w:widowControl/>
      <w:ind w:left="-42" w:leftChars="-20" w:right="-42" w:rightChars="-20"/>
      <w:jc w:val="center"/>
    </w:pPr>
    <w:rPr>
      <w:rFonts w:eastAsia="仿宋_GB2312" w:cs="宋体"/>
      <w:kern w:val="0"/>
      <w:sz w:val="18"/>
      <w:szCs w:val="18"/>
      <w:lang w:bidi="bo-CN"/>
    </w:rPr>
  </w:style>
  <w:style w:type="paragraph" w:styleId="82">
    <w:name w:val="List Paragraph"/>
    <w:basedOn w:val="1"/>
    <w:autoRedefine/>
    <w:qFormat/>
    <w:uiPriority w:val="99"/>
    <w:pPr>
      <w:ind w:firstLine="420" w:firstLineChars="200"/>
    </w:pPr>
  </w:style>
  <w:style w:type="character" w:customStyle="1" w:styleId="83">
    <w:name w:val="文档结构图 字符"/>
    <w:link w:val="8"/>
    <w:autoRedefine/>
    <w:semiHidden/>
    <w:qFormat/>
    <w:uiPriority w:val="99"/>
    <w:rPr>
      <w:rFonts w:ascii="宋体" w:eastAsia="宋体"/>
      <w:sz w:val="18"/>
      <w:szCs w:val="18"/>
    </w:rPr>
  </w:style>
  <w:style w:type="paragraph" w:customStyle="1" w:styleId="84">
    <w:name w:val="表格内文字"/>
    <w:basedOn w:val="1"/>
    <w:qFormat/>
    <w:uiPriority w:val="0"/>
    <w:pPr>
      <w:jc w:val="center"/>
    </w:pPr>
    <w:rPr>
      <w:sz w:val="21"/>
      <w:szCs w:val="21"/>
    </w:rPr>
  </w:style>
  <w:style w:type="character" w:customStyle="1" w:styleId="85">
    <w:name w:val="正文文本缩进 3 字符"/>
    <w:link w:val="22"/>
    <w:autoRedefine/>
    <w:qFormat/>
    <w:uiPriority w:val="0"/>
    <w:rPr>
      <w:kern w:val="2"/>
      <w:sz w:val="16"/>
      <w:szCs w:val="16"/>
      <w:lang w:val="zh-CN" w:eastAsia="zh-CN"/>
    </w:rPr>
  </w:style>
  <w:style w:type="paragraph" w:customStyle="1" w:styleId="86">
    <w:name w:val="正文1"/>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87">
    <w:name w:val="标题2"/>
    <w:basedOn w:val="82"/>
    <w:qFormat/>
    <w:uiPriority w:val="0"/>
    <w:pPr>
      <w:numPr>
        <w:ilvl w:val="0"/>
        <w:numId w:val="4"/>
      </w:numPr>
      <w:autoSpaceDE w:val="0"/>
      <w:autoSpaceDN w:val="0"/>
      <w:ind w:left="0" w:firstLine="200"/>
      <w:jc w:val="left"/>
      <w:outlineLvl w:val="1"/>
    </w:pPr>
    <w:rPr>
      <w:b/>
    </w:rPr>
  </w:style>
  <w:style w:type="paragraph" w:customStyle="1" w:styleId="88">
    <w:name w:val="SSEC正文 20150323"/>
    <w:autoRedefine/>
    <w:qFormat/>
    <w:uiPriority w:val="0"/>
    <w:pPr>
      <w:adjustRightInd w:val="0"/>
      <w:snapToGrid w:val="0"/>
      <w:spacing w:line="331" w:lineRule="auto"/>
      <w:ind w:firstLine="200" w:firstLineChars="200"/>
      <w:jc w:val="both"/>
    </w:pPr>
    <w:rPr>
      <w:rFonts w:ascii="宋体" w:hAnsi="宋体" w:eastAsia="宋体" w:cs="Times New Roman"/>
      <w:kern w:val="2"/>
      <w:sz w:val="24"/>
      <w:szCs w:val="24"/>
      <w:lang w:val="en-US" w:eastAsia="zh-CN" w:bidi="ar-SA"/>
    </w:rPr>
  </w:style>
  <w:style w:type="paragraph" w:customStyle="1" w:styleId="89">
    <w:name w:val="rpt_盖章-监测"/>
    <w:basedOn w:val="1"/>
    <w:autoRedefine/>
    <w:qFormat/>
    <w:uiPriority w:val="0"/>
    <w:pPr>
      <w:jc w:val="center"/>
    </w:pPr>
    <w:rPr>
      <w:rFonts w:ascii="黑体" w:hAnsi="黑体" w:eastAsia="黑体" w:cs="宋体"/>
      <w:sz w:val="28"/>
      <w:szCs w:val="20"/>
    </w:rPr>
  </w:style>
  <w:style w:type="character" w:customStyle="1" w:styleId="90">
    <w:name w:val="font21"/>
    <w:basedOn w:val="30"/>
    <w:autoRedefine/>
    <w:qFormat/>
    <w:uiPriority w:val="0"/>
    <w:rPr>
      <w:rFonts w:hint="default" w:ascii="Times New Roman" w:hAnsi="Times New Roman" w:cs="Times New Roman"/>
      <w:color w:val="000000"/>
      <w:sz w:val="21"/>
      <w:szCs w:val="21"/>
      <w:u w:val="none"/>
    </w:rPr>
  </w:style>
  <w:style w:type="paragraph" w:customStyle="1" w:styleId="91">
    <w:name w:val="正文（W）"/>
    <w:basedOn w:val="1"/>
    <w:autoRedefine/>
    <w:qFormat/>
    <w:uiPriority w:val="0"/>
    <w:pPr>
      <w:spacing w:line="500" w:lineRule="exact"/>
      <w:ind w:firstLine="480" w:firstLineChars="200"/>
    </w:pPr>
  </w:style>
  <w:style w:type="paragraph" w:customStyle="1" w:styleId="92">
    <w:name w:val="Char4 Char Char Char Char Char Char1"/>
    <w:basedOn w:val="1"/>
    <w:autoRedefine/>
    <w:qFormat/>
    <w:uiPriority w:val="0"/>
    <w:pPr>
      <w:spacing w:line="360" w:lineRule="auto"/>
      <w:ind w:firstLine="200" w:firstLineChars="200"/>
    </w:pPr>
    <w:rPr>
      <w:rFonts w:ascii="宋体" w:hAnsi="宋体" w:cs="宋体"/>
    </w:rPr>
  </w:style>
  <w:style w:type="paragraph" w:customStyle="1" w:styleId="93">
    <w:name w:val="图表标题"/>
    <w:basedOn w:val="1"/>
    <w:next w:val="1"/>
    <w:autoRedefine/>
    <w:qFormat/>
    <w:uiPriority w:val="0"/>
    <w:pPr>
      <w:adjustRightInd w:val="0"/>
      <w:snapToGrid w:val="0"/>
      <w:spacing w:line="360" w:lineRule="auto"/>
      <w:jc w:val="center"/>
      <w:textAlignment w:val="baseline"/>
    </w:pPr>
    <w:rPr>
      <w:rFonts w:hAnsi="宋体"/>
      <w:b/>
      <w:bCs/>
      <w:kern w:val="0"/>
    </w:rPr>
  </w:style>
  <w:style w:type="paragraph" w:customStyle="1" w:styleId="94">
    <w:name w:val="SSEC表字居中 20150323"/>
    <w:autoRedefine/>
    <w:qFormat/>
    <w:uiPriority w:val="0"/>
    <w:pPr>
      <w:adjustRightInd w:val="0"/>
      <w:snapToGrid w:val="0"/>
      <w:jc w:val="center"/>
    </w:pPr>
    <w:rPr>
      <w:rFonts w:ascii="宋体" w:hAnsi="宋体" w:eastAsia="宋体" w:cs="Times New Roman"/>
      <w:kern w:val="2"/>
      <w:sz w:val="21"/>
      <w:szCs w:val="21"/>
      <w:lang w:val="en-US" w:eastAsia="zh-CN" w:bidi="ar-SA"/>
    </w:rPr>
  </w:style>
  <w:style w:type="paragraph" w:customStyle="1" w:styleId="95">
    <w:name w:val="Other|1"/>
    <w:basedOn w:val="1"/>
    <w:autoRedefine/>
    <w:qFormat/>
    <w:uiPriority w:val="0"/>
    <w:rPr>
      <w:rFonts w:ascii="宋体" w:hAnsi="宋体" w:cs="宋体"/>
      <w:w w:val="80"/>
      <w:sz w:val="28"/>
      <w:szCs w:val="28"/>
      <w:lang w:val="zh-TW" w:eastAsia="zh-TW" w:bidi="zh-TW"/>
    </w:rPr>
  </w:style>
  <w:style w:type="character" w:customStyle="1" w:styleId="96">
    <w:name w:val="font41"/>
    <w:basedOn w:val="30"/>
    <w:autoRedefine/>
    <w:qFormat/>
    <w:uiPriority w:val="0"/>
    <w:rPr>
      <w:rFonts w:hint="default" w:ascii="Times New Roman" w:hAnsi="Times New Roman" w:cs="Times New Roman"/>
      <w:color w:val="000000"/>
      <w:sz w:val="21"/>
      <w:szCs w:val="21"/>
      <w:u w:val="none"/>
      <w:vertAlign w:val="superscript"/>
    </w:rPr>
  </w:style>
  <w:style w:type="paragraph" w:customStyle="1" w:styleId="97">
    <w:name w:val="0正文"/>
    <w:basedOn w:val="1"/>
    <w:autoRedefine/>
    <w:qFormat/>
    <w:uiPriority w:val="0"/>
    <w:pPr>
      <w:widowControl/>
      <w:spacing w:line="360" w:lineRule="auto"/>
      <w:ind w:firstLine="200" w:firstLineChars="200"/>
    </w:pPr>
  </w:style>
  <w:style w:type="paragraph" w:customStyle="1" w:styleId="98">
    <w:name w:val="修订2"/>
    <w:hidden/>
    <w:unhideWhenUsed/>
    <w:qFormat/>
    <w:uiPriority w:val="99"/>
    <w:rPr>
      <w:rFonts w:ascii="Times New Roman" w:hAnsi="Times New Roman" w:eastAsia="宋体" w:cs="Times New Roman"/>
      <w:kern w:val="2"/>
      <w:sz w:val="24"/>
      <w:szCs w:val="24"/>
      <w:lang w:val="en-US" w:eastAsia="zh-CN" w:bidi="ar-SA"/>
    </w:rPr>
  </w:style>
  <w:style w:type="paragraph" w:customStyle="1" w:styleId="99">
    <w:name w:val="图表文字"/>
    <w:autoRedefine/>
    <w:qFormat/>
    <w:uiPriority w:val="0"/>
    <w:pPr>
      <w:widowControl w:val="0"/>
      <w:jc w:val="center"/>
    </w:pPr>
    <w:rPr>
      <w:rFonts w:ascii="Times New Roman" w:hAnsi="Times New Roman" w:eastAsia="宋体" w:cs="Times New Roman"/>
      <w:snapToGrid w:val="0"/>
      <w:kern w:val="2"/>
      <w:sz w:val="21"/>
      <w:szCs w:val="24"/>
      <w:lang w:val="en-US" w:eastAsia="zh-CN" w:bidi="ar-SA"/>
    </w:rPr>
  </w:style>
  <w:style w:type="character" w:customStyle="1" w:styleId="100">
    <w:name w:val="font101"/>
    <w:autoRedefine/>
    <w:qFormat/>
    <w:uiPriority w:val="0"/>
    <w:rPr>
      <w:rFonts w:hint="eastAsia" w:ascii="宋体" w:hAnsi="宋体" w:eastAsia="宋体" w:cs="宋体"/>
      <w:color w:val="FF0000"/>
      <w:sz w:val="21"/>
      <w:szCs w:val="21"/>
      <w:u w:val="none"/>
    </w:rPr>
  </w:style>
  <w:style w:type="character" w:customStyle="1" w:styleId="101">
    <w:name w:val="正文文本 字符"/>
    <w:link w:val="11"/>
    <w:autoRedefine/>
    <w:qFormat/>
    <w:uiPriority w:val="0"/>
    <w:rPr>
      <w:szCs w:val="24"/>
    </w:rPr>
  </w:style>
  <w:style w:type="character" w:customStyle="1" w:styleId="102">
    <w:name w:val="style7 style11"/>
    <w:basedOn w:val="30"/>
    <w:autoRedefine/>
    <w:qFormat/>
    <w:uiPriority w:val="0"/>
    <w:rPr>
      <w:rFonts w:ascii="Times New Roman" w:hAnsi="Times New Roman" w:eastAsia="宋体" w:cs="Times New Roman"/>
    </w:rPr>
  </w:style>
  <w:style w:type="paragraph" w:customStyle="1" w:styleId="103">
    <w:name w:val="表内文字"/>
    <w:basedOn w:val="104"/>
    <w:autoRedefine/>
    <w:qFormat/>
    <w:uiPriority w:val="0"/>
    <w:pPr>
      <w:adjustRightInd w:val="0"/>
      <w:snapToGrid w:val="0"/>
    </w:pPr>
    <w:rPr>
      <w:rFonts w:cs="宋体"/>
      <w:color w:val="000000"/>
      <w:kern w:val="0"/>
      <w:szCs w:val="21"/>
    </w:rPr>
  </w:style>
  <w:style w:type="paragraph" w:customStyle="1" w:styleId="104">
    <w:name w:val="表格文字"/>
    <w:basedOn w:val="11"/>
    <w:next w:val="1"/>
    <w:autoRedefine/>
    <w:qFormat/>
    <w:uiPriority w:val="99"/>
    <w:pPr>
      <w:jc w:val="center"/>
    </w:pPr>
    <w:rPr>
      <w:rFonts w:ascii="仿宋_GB2312" w:hAnsi="Arial Black" w:eastAsia="仿宋_GB2312"/>
      <w:kern w:val="44"/>
    </w:rPr>
  </w:style>
  <w:style w:type="paragraph" w:customStyle="1" w:styleId="105">
    <w:name w:val="Table Paragraph"/>
    <w:basedOn w:val="1"/>
    <w:autoRedefine/>
    <w:qFormat/>
    <w:uiPriority w:val="0"/>
  </w:style>
  <w:style w:type="paragraph" w:customStyle="1" w:styleId="106">
    <w:name w:val="正文111111"/>
    <w:basedOn w:val="1"/>
    <w:qFormat/>
    <w:uiPriority w:val="0"/>
    <w:pPr>
      <w:spacing w:line="360" w:lineRule="auto"/>
      <w:ind w:firstLine="480" w:firstLineChars="200"/>
    </w:pPr>
  </w:style>
  <w:style w:type="paragraph" w:customStyle="1" w:styleId="107">
    <w:name w:val="Normal_0_0"/>
    <w:autoRedefine/>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108">
    <w:name w:val="Table Grid_0"/>
    <w:basedOn w:val="28"/>
    <w:autoRedefine/>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三级标题"/>
    <w:basedOn w:val="4"/>
    <w:autoRedefine/>
    <w:qFormat/>
    <w:uiPriority w:val="0"/>
    <w:pPr>
      <w:spacing w:before="0" w:after="0" w:line="500" w:lineRule="exact"/>
      <w:ind w:firstLine="200" w:firstLineChars="200"/>
    </w:pPr>
    <w:rPr>
      <w:sz w:val="24"/>
    </w:rPr>
  </w:style>
  <w:style w:type="character" w:customStyle="1" w:styleId="110">
    <w:name w:val="正文文本缩进 字符"/>
    <w:basedOn w:val="30"/>
    <w:link w:val="12"/>
    <w:autoRedefine/>
    <w:qFormat/>
    <w:uiPriority w:val="99"/>
  </w:style>
  <w:style w:type="paragraph" w:customStyle="1" w:styleId="111">
    <w:name w:val="表格文字-五号"/>
    <w:basedOn w:val="1"/>
    <w:next w:val="1"/>
    <w:autoRedefine/>
    <w:qFormat/>
    <w:uiPriority w:val="0"/>
    <w:pPr>
      <w:tabs>
        <w:tab w:val="left" w:pos="2340"/>
      </w:tabs>
      <w:jc w:val="center"/>
    </w:pPr>
  </w:style>
  <w:style w:type="paragraph" w:customStyle="1" w:styleId="112">
    <w:name w:val="Char1"/>
    <w:basedOn w:val="1"/>
    <w:autoRedefine/>
    <w:qFormat/>
    <w:uiPriority w:val="0"/>
    <w:pPr>
      <w:ind w:firstLine="200" w:firstLineChars="200"/>
    </w:pPr>
  </w:style>
  <w:style w:type="table" w:customStyle="1" w:styleId="113">
    <w:name w:val="*青龙标准样式6"/>
    <w:basedOn w:val="28"/>
    <w:autoRedefine/>
    <w:qFormat/>
    <w:uiPriority w:val="0"/>
    <w:pPr>
      <w:spacing w:line="0" w:lineRule="atLeast"/>
    </w:pPr>
    <w:tblPr>
      <w:jc w:val="center"/>
      <w:tblBorders>
        <w:top w:val="single" w:color="auto" w:sz="12" w:space="0"/>
        <w:bottom w:val="single" w:color="auto" w:sz="12" w:space="0"/>
        <w:insideH w:val="single" w:color="auto" w:sz="4" w:space="0"/>
        <w:insideV w:val="single" w:color="auto" w:sz="4" w:space="0"/>
      </w:tblBorders>
      <w:tblCellMar>
        <w:left w:w="0" w:type="dxa"/>
        <w:right w:w="0" w:type="dxa"/>
      </w:tblCellMar>
    </w:tblPr>
    <w:trPr>
      <w:cantSplit/>
      <w:jc w:val="center"/>
    </w:trPr>
    <w:tcPr>
      <w:vAlign w:val="center"/>
    </w:tcPr>
  </w:style>
  <w:style w:type="character" w:customStyle="1" w:styleId="114">
    <w:name w:val="报告表格 Char"/>
    <w:link w:val="47"/>
    <w:autoRedefine/>
    <w:qFormat/>
    <w:uiPriority w:val="0"/>
    <w:rPr>
      <w:sz w:val="21"/>
    </w:rPr>
  </w:style>
  <w:style w:type="character" w:customStyle="1" w:styleId="115">
    <w:name w:val="正文文本 Char1"/>
    <w:basedOn w:val="30"/>
    <w:autoRedefine/>
    <w:semiHidden/>
    <w:qFormat/>
    <w:uiPriority w:val="99"/>
  </w:style>
  <w:style w:type="table" w:customStyle="1" w:styleId="116">
    <w:name w:val="自建1"/>
    <w:basedOn w:val="28"/>
    <w:autoRedefine/>
    <w:qFormat/>
    <w:uiPriority w:val="99"/>
    <w:pPr>
      <w:jc w:val="center"/>
    </w:pPr>
    <w:tblPr>
      <w:tblBorders>
        <w:top w:val="double" w:color="auto" w:sz="4" w:space="0"/>
        <w:bottom w:val="double" w:color="auto" w:sz="4" w:space="0"/>
        <w:insideH w:val="single" w:color="auto" w:sz="4" w:space="0"/>
        <w:insideV w:val="single" w:color="auto" w:sz="4" w:space="0"/>
      </w:tblBorders>
    </w:tblPr>
    <w:tcPr>
      <w:vAlign w:val="center"/>
    </w:tcPr>
  </w:style>
  <w:style w:type="paragraph" w:customStyle="1" w:styleId="117">
    <w:name w:val="表格文字2"/>
    <w:basedOn w:val="1"/>
    <w:autoRedefine/>
    <w:qFormat/>
    <w:uiPriority w:val="0"/>
    <w:pPr>
      <w:adjustRightInd w:val="0"/>
      <w:spacing w:before="60"/>
      <w:jc w:val="center"/>
      <w:textAlignment w:val="baseline"/>
    </w:pPr>
    <w:rPr>
      <w:rFonts w:ascii="宋体"/>
      <w:kern w:val="0"/>
      <w:szCs w:val="20"/>
    </w:rPr>
  </w:style>
  <w:style w:type="paragraph" w:customStyle="1" w:styleId="118">
    <w:name w:val="正文2"/>
    <w:basedOn w:val="12"/>
    <w:autoRedefine/>
    <w:qFormat/>
    <w:uiPriority w:val="0"/>
    <w:pPr>
      <w:widowControl/>
      <w:spacing w:line="312" w:lineRule="auto"/>
      <w:ind w:firstLine="200" w:firstLineChars="200"/>
    </w:pPr>
  </w:style>
  <w:style w:type="paragraph" w:customStyle="1" w:styleId="119">
    <w:name w:val="【正文】"/>
    <w:basedOn w:val="1"/>
    <w:qFormat/>
    <w:uiPriority w:val="0"/>
    <w:pPr>
      <w:spacing w:line="440" w:lineRule="exact"/>
      <w:ind w:firstLine="544"/>
    </w:pPr>
    <w:rPr>
      <w:rFonts w:ascii="Calibri" w:hAnsi="Calibri" w:cs="宋体"/>
      <w:szCs w:val="22"/>
    </w:rPr>
  </w:style>
  <w:style w:type="paragraph" w:customStyle="1" w:styleId="120">
    <w:name w:val="TAN表头"/>
    <w:basedOn w:val="1"/>
    <w:autoRedefine/>
    <w:qFormat/>
    <w:uiPriority w:val="0"/>
    <w:pPr>
      <w:jc w:val="center"/>
    </w:pPr>
    <w:rPr>
      <w:b/>
      <w:szCs w:val="20"/>
    </w:rPr>
  </w:style>
  <w:style w:type="paragraph" w:customStyle="1" w:styleId="121">
    <w:name w:val="rpt_表项"/>
    <w:basedOn w:val="1"/>
    <w:autoRedefine/>
    <w:qFormat/>
    <w:uiPriority w:val="0"/>
    <w:pPr>
      <w:spacing w:before="60" w:after="60"/>
      <w:jc w:val="center"/>
    </w:pPr>
    <w:rPr>
      <w:rFonts w:cs="宋体"/>
      <w:sz w:val="22"/>
      <w:szCs w:val="20"/>
    </w:rPr>
  </w:style>
  <w:style w:type="table" w:customStyle="1" w:styleId="122">
    <w:name w:val="网格型2"/>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3">
    <w:name w:val="font31"/>
    <w:basedOn w:val="30"/>
    <w:autoRedefine/>
    <w:qFormat/>
    <w:uiPriority w:val="0"/>
    <w:rPr>
      <w:rFonts w:hint="eastAsia" w:ascii="宋体" w:hAnsi="宋体" w:eastAsia="宋体" w:cs="宋体"/>
      <w:color w:val="000000"/>
      <w:sz w:val="21"/>
      <w:szCs w:val="21"/>
      <w:u w:val="none"/>
    </w:rPr>
  </w:style>
  <w:style w:type="paragraph" w:customStyle="1" w:styleId="12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table" w:customStyle="1" w:styleId="125">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6">
    <w:name w:val="NormalCharacter"/>
    <w:autoRedefine/>
    <w:semiHidden/>
    <w:qFormat/>
    <w:uiPriority w:val="0"/>
  </w:style>
  <w:style w:type="character" w:customStyle="1" w:styleId="127">
    <w:name w:val="占位符文本1"/>
    <w:autoRedefine/>
    <w:semiHidden/>
    <w:qFormat/>
    <w:uiPriority w:val="99"/>
    <w:rPr>
      <w:color w:val="808080"/>
    </w:rPr>
  </w:style>
  <w:style w:type="character" w:customStyle="1" w:styleId="128">
    <w:name w:val="页脚 字符"/>
    <w:link w:val="13"/>
    <w:autoRedefine/>
    <w:qFormat/>
    <w:uiPriority w:val="99"/>
    <w:rPr>
      <w:sz w:val="18"/>
      <w:szCs w:val="18"/>
    </w:rPr>
  </w:style>
  <w:style w:type="paragraph" w:customStyle="1" w:styleId="129">
    <w:name w:val="简单回函地址"/>
    <w:basedOn w:val="1"/>
    <w:next w:val="118"/>
    <w:autoRedefine/>
    <w:qFormat/>
    <w:uiPriority w:val="0"/>
    <w:pPr>
      <w:spacing w:line="360" w:lineRule="auto"/>
      <w:ind w:firstLine="200" w:firstLineChars="200"/>
      <w:jc w:val="left"/>
    </w:pPr>
    <w:rPr>
      <w:bCs/>
    </w:rPr>
  </w:style>
  <w:style w:type="character" w:customStyle="1" w:styleId="130">
    <w:name w:val="font01"/>
    <w:basedOn w:val="30"/>
    <w:autoRedefine/>
    <w:qFormat/>
    <w:uiPriority w:val="0"/>
    <w:rPr>
      <w:rFonts w:hint="default" w:ascii="Times New Roman" w:hAnsi="Times New Roman" w:cs="Times New Roman"/>
      <w:color w:val="000000"/>
      <w:sz w:val="21"/>
      <w:szCs w:val="21"/>
      <w:u w:val="none"/>
    </w:rPr>
  </w:style>
  <w:style w:type="paragraph" w:customStyle="1" w:styleId="131">
    <w:name w:val="表格标题格式"/>
    <w:basedOn w:val="1"/>
    <w:autoRedefine/>
    <w:qFormat/>
    <w:uiPriority w:val="0"/>
    <w:pPr>
      <w:jc w:val="center"/>
    </w:pPr>
    <w:rPr>
      <w:b/>
      <w:bCs/>
      <w:sz w:val="21"/>
      <w:szCs w:val="21"/>
    </w:rPr>
  </w:style>
  <w:style w:type="paragraph" w:customStyle="1" w:styleId="132">
    <w:name w:val="01正文"/>
    <w:basedOn w:val="1"/>
    <w:autoRedefine/>
    <w:qFormat/>
    <w:uiPriority w:val="0"/>
    <w:pPr>
      <w:adjustRightInd w:val="0"/>
      <w:snapToGrid w:val="0"/>
      <w:spacing w:line="480" w:lineRule="exact"/>
      <w:ind w:firstLine="520" w:firstLineChars="200"/>
    </w:pPr>
    <w:rPr>
      <w:sz w:val="26"/>
      <w:szCs w:val="26"/>
    </w:rPr>
  </w:style>
  <w:style w:type="character" w:customStyle="1" w:styleId="133">
    <w:name w:val="页眉 字符"/>
    <w:link w:val="19"/>
    <w:autoRedefine/>
    <w:qFormat/>
    <w:uiPriority w:val="99"/>
    <w:rPr>
      <w:sz w:val="18"/>
      <w:szCs w:val="18"/>
    </w:rPr>
  </w:style>
  <w:style w:type="paragraph" w:customStyle="1" w:styleId="134">
    <w:name w:val="TAN正文"/>
    <w:basedOn w:val="1"/>
    <w:autoRedefine/>
    <w:qFormat/>
    <w:uiPriority w:val="0"/>
    <w:pPr>
      <w:topLinePunct/>
      <w:snapToGrid w:val="0"/>
      <w:ind w:firstLine="200"/>
      <w:jc w:val="left"/>
    </w:pPr>
  </w:style>
  <w:style w:type="paragraph" w:customStyle="1" w:styleId="135">
    <w:name w:val="样式 标题 2 + 宋体 行距: 1.5 倍行距"/>
    <w:basedOn w:val="3"/>
    <w:autoRedefine/>
    <w:qFormat/>
    <w:uiPriority w:val="0"/>
    <w:pPr>
      <w:spacing w:before="120" w:after="120" w:line="360" w:lineRule="auto"/>
    </w:pPr>
    <w:rPr>
      <w:rFonts w:ascii="Times New Roman" w:hAnsi="Times New Roman" w:cs="宋体"/>
      <w:b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101</Pages>
  <Words>7730</Words>
  <Characters>8462</Characters>
  <Lines>3564</Lines>
  <Paragraphs>3154</Paragraphs>
  <TotalTime>8</TotalTime>
  <ScaleCrop>false</ScaleCrop>
  <LinksUpToDate>false</LinksUpToDate>
  <CharactersWithSpaces>8620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2026-10-20T15:34:00Z</dcterms:created>
  <dc:creator>sczc-</dc:creator>
  <cp:lastModifiedBy>Administrator</cp:lastModifiedBy>
  <dcterms:modified xsi:type="dcterms:W3CDTF">2026-10-24T15:17:27Z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E9DD5EBE5FF044BFAFBEB777FCA83D80_13</vt:lpwstr>
  </property>
  <property fmtid="{D5CDD505-2E9C-101B-9397-08002B2CF9AE}" pid="4" name="KSOTemplateDocerSaveRecord">
    <vt:lpwstr>eyJoZGlkIjoiZjE3OGNkOGI5YmQ2ZTY2ZDQ4NWMyZjljN2NiNTJlZDEiLCJ1c2VySWQiOiIzODA2OTE1OTYifQ==</vt:lpwstr>
  </property>
</Properties>
</file>